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87AC6" w:rsidRPr="00D6071C" w:rsidRDefault="006E5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Supplementary Materials</w:t>
      </w:r>
    </w:p>
    <w:p w14:paraId="00000002" w14:textId="77777777" w:rsidR="00A87AC6" w:rsidRPr="00D6071C" w:rsidRDefault="00A87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4C55DF54" w:rsidR="00A87AC6" w:rsidRPr="00D6071C" w:rsidRDefault="006E5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Table S1. Epidemiological characteristics of dengue cases in Singapore from 2012-2019</w:t>
      </w:r>
    </w:p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"/>
        <w:gridCol w:w="1056"/>
        <w:gridCol w:w="1149"/>
        <w:gridCol w:w="1267"/>
        <w:gridCol w:w="875"/>
        <w:gridCol w:w="947"/>
        <w:gridCol w:w="1128"/>
        <w:gridCol w:w="1128"/>
        <w:gridCol w:w="1128"/>
        <w:gridCol w:w="1130"/>
        <w:gridCol w:w="1187"/>
        <w:gridCol w:w="2177"/>
      </w:tblGrid>
      <w:tr w:rsidR="00A87AC6" w:rsidRPr="00D6071C" w14:paraId="51881A91" w14:textId="77777777">
        <w:trPr>
          <w:trHeight w:val="338"/>
        </w:trPr>
        <w:tc>
          <w:tcPr>
            <w:tcW w:w="776" w:type="dxa"/>
          </w:tcPr>
          <w:p w14:paraId="00000004" w14:textId="77777777" w:rsidR="00A87AC6" w:rsidRPr="00D6071C" w:rsidRDefault="00A87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5"/>
          </w:tcPr>
          <w:p w14:paraId="00000005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Host</w:t>
            </w:r>
          </w:p>
        </w:tc>
        <w:tc>
          <w:tcPr>
            <w:tcW w:w="4514" w:type="dxa"/>
            <w:gridSpan w:val="4"/>
          </w:tcPr>
          <w:p w14:paraId="0000000A" w14:textId="77777777" w:rsidR="00A87AC6" w:rsidRPr="00D6071C" w:rsidRDefault="00F46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0"/>
                <w:id w:val="-1497484165"/>
              </w:sdtPr>
              <w:sdtEndPr/>
              <w:sdtContent/>
            </w:sdt>
            <w:sdt>
              <w:sdtPr>
                <w:tag w:val="goog_rdk_1"/>
                <w:id w:val="-1822340709"/>
              </w:sdtPr>
              <w:sdtEndPr/>
              <w:sdtContent/>
            </w:sdt>
            <w:sdt>
              <w:sdtPr>
                <w:tag w:val="goog_rdk_2"/>
                <w:id w:val="620192498"/>
              </w:sdtPr>
              <w:sdtEndPr/>
              <w:sdtContent/>
            </w:sdt>
            <w:r w:rsidR="006E56D7"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Virus</w:t>
            </w:r>
          </w:p>
        </w:tc>
        <w:tc>
          <w:tcPr>
            <w:tcW w:w="3364" w:type="dxa"/>
            <w:gridSpan w:val="2"/>
          </w:tcPr>
          <w:p w14:paraId="0000000E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Vector</w:t>
            </w:r>
          </w:p>
        </w:tc>
      </w:tr>
      <w:tr w:rsidR="00A87AC6" w:rsidRPr="00D6071C" w14:paraId="6D700563" w14:textId="77777777">
        <w:trPr>
          <w:trHeight w:val="1082"/>
        </w:trPr>
        <w:tc>
          <w:tcPr>
            <w:tcW w:w="776" w:type="dxa"/>
          </w:tcPr>
          <w:p w14:paraId="00000010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056" w:type="dxa"/>
          </w:tcPr>
          <w:p w14:paraId="00000011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of cases</w:t>
            </w:r>
          </w:p>
        </w:tc>
        <w:tc>
          <w:tcPr>
            <w:tcW w:w="1149" w:type="dxa"/>
          </w:tcPr>
          <w:p w14:paraId="00000012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Incidence per 100,000</w:t>
            </w:r>
          </w:p>
        </w:tc>
        <w:tc>
          <w:tcPr>
            <w:tcW w:w="1267" w:type="dxa"/>
          </w:tcPr>
          <w:p w14:paraId="00000013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of imported cases</w:t>
            </w:r>
          </w:p>
        </w:tc>
        <w:tc>
          <w:tcPr>
            <w:tcW w:w="875" w:type="dxa"/>
          </w:tcPr>
          <w:p w14:paraId="00000014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deaths</w:t>
            </w:r>
          </w:p>
        </w:tc>
        <w:tc>
          <w:tcPr>
            <w:tcW w:w="947" w:type="dxa"/>
          </w:tcPr>
          <w:p w14:paraId="00000015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Case-fatality rate</w:t>
            </w:r>
          </w:p>
        </w:tc>
        <w:tc>
          <w:tcPr>
            <w:tcW w:w="1128" w:type="dxa"/>
          </w:tcPr>
          <w:p w14:paraId="00000016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Serotype 1 (%)</w:t>
            </w:r>
          </w:p>
        </w:tc>
        <w:tc>
          <w:tcPr>
            <w:tcW w:w="1128" w:type="dxa"/>
          </w:tcPr>
          <w:p w14:paraId="00000017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Serotype 2 (%)</w:t>
            </w:r>
          </w:p>
        </w:tc>
        <w:tc>
          <w:tcPr>
            <w:tcW w:w="1128" w:type="dxa"/>
          </w:tcPr>
          <w:p w14:paraId="00000018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Serotype 3 (%)</w:t>
            </w:r>
          </w:p>
        </w:tc>
        <w:tc>
          <w:tcPr>
            <w:tcW w:w="1130" w:type="dxa"/>
          </w:tcPr>
          <w:p w14:paraId="00000019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Serotype 4 (%)</w:t>
            </w:r>
          </w:p>
        </w:tc>
        <w:tc>
          <w:tcPr>
            <w:tcW w:w="1187" w:type="dxa"/>
          </w:tcPr>
          <w:p w14:paraId="0000001A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Aedes House Index (%)</w:t>
            </w:r>
          </w:p>
        </w:tc>
        <w:tc>
          <w:tcPr>
            <w:tcW w:w="2177" w:type="dxa"/>
          </w:tcPr>
          <w:p w14:paraId="0000001B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Clusters as major breeding sites (10 or more cases)</w:t>
            </w:r>
          </w:p>
        </w:tc>
      </w:tr>
      <w:tr w:rsidR="00A87AC6" w:rsidRPr="00D6071C" w14:paraId="7D8BA990" w14:textId="77777777">
        <w:trPr>
          <w:trHeight w:val="350"/>
        </w:trPr>
        <w:tc>
          <w:tcPr>
            <w:tcW w:w="776" w:type="dxa"/>
          </w:tcPr>
          <w:p w14:paraId="0000001C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056" w:type="dxa"/>
          </w:tcPr>
          <w:p w14:paraId="0000001D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4,632</w:t>
            </w:r>
          </w:p>
        </w:tc>
        <w:tc>
          <w:tcPr>
            <w:tcW w:w="1149" w:type="dxa"/>
          </w:tcPr>
          <w:p w14:paraId="0000001E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82.2</w:t>
            </w:r>
          </w:p>
        </w:tc>
        <w:tc>
          <w:tcPr>
            <w:tcW w:w="1267" w:type="dxa"/>
          </w:tcPr>
          <w:p w14:paraId="0000001F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875" w:type="dxa"/>
          </w:tcPr>
          <w:p w14:paraId="00000020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14:paraId="00000021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28" w:type="dxa"/>
          </w:tcPr>
          <w:p w14:paraId="00000022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1128" w:type="dxa"/>
          </w:tcPr>
          <w:p w14:paraId="00000023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74.1</w:t>
            </w:r>
          </w:p>
        </w:tc>
        <w:tc>
          <w:tcPr>
            <w:tcW w:w="1128" w:type="dxa"/>
          </w:tcPr>
          <w:p w14:paraId="00000024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130" w:type="dxa"/>
          </w:tcPr>
          <w:p w14:paraId="00000025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187" w:type="dxa"/>
          </w:tcPr>
          <w:p w14:paraId="00000026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2177" w:type="dxa"/>
          </w:tcPr>
          <w:p w14:paraId="00000027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(21)</w:t>
            </w:r>
          </w:p>
        </w:tc>
      </w:tr>
      <w:tr w:rsidR="00A87AC6" w:rsidRPr="00D6071C" w14:paraId="71F4EA3A" w14:textId="77777777">
        <w:trPr>
          <w:trHeight w:val="338"/>
        </w:trPr>
        <w:tc>
          <w:tcPr>
            <w:tcW w:w="776" w:type="dxa"/>
          </w:tcPr>
          <w:p w14:paraId="00000028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056" w:type="dxa"/>
          </w:tcPr>
          <w:p w14:paraId="00000029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22,170</w:t>
            </w:r>
          </w:p>
        </w:tc>
        <w:tc>
          <w:tcPr>
            <w:tcW w:w="1149" w:type="dxa"/>
          </w:tcPr>
          <w:p w14:paraId="0000002A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404.9</w:t>
            </w:r>
          </w:p>
        </w:tc>
        <w:tc>
          <w:tcPr>
            <w:tcW w:w="1267" w:type="dxa"/>
          </w:tcPr>
          <w:p w14:paraId="0000002B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875" w:type="dxa"/>
          </w:tcPr>
          <w:p w14:paraId="0000002C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7" w:type="dxa"/>
          </w:tcPr>
          <w:p w14:paraId="0000002D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128" w:type="dxa"/>
          </w:tcPr>
          <w:p w14:paraId="0000002E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61.8</w:t>
            </w:r>
          </w:p>
        </w:tc>
        <w:tc>
          <w:tcPr>
            <w:tcW w:w="1128" w:type="dxa"/>
          </w:tcPr>
          <w:p w14:paraId="0000002F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1128" w:type="dxa"/>
          </w:tcPr>
          <w:p w14:paraId="00000030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1130" w:type="dxa"/>
          </w:tcPr>
          <w:p w14:paraId="00000031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187" w:type="dxa"/>
          </w:tcPr>
          <w:p w14:paraId="00000032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2177" w:type="dxa"/>
          </w:tcPr>
          <w:p w14:paraId="00000033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1,475 (188)</w:t>
            </w:r>
          </w:p>
        </w:tc>
      </w:tr>
      <w:tr w:rsidR="00A87AC6" w:rsidRPr="00D6071C" w14:paraId="5BCAA915" w14:textId="77777777">
        <w:trPr>
          <w:trHeight w:val="338"/>
        </w:trPr>
        <w:tc>
          <w:tcPr>
            <w:tcW w:w="776" w:type="dxa"/>
          </w:tcPr>
          <w:p w14:paraId="00000034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056" w:type="dxa"/>
          </w:tcPr>
          <w:p w14:paraId="00000035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18,326</w:t>
            </w:r>
          </w:p>
        </w:tc>
        <w:tc>
          <w:tcPr>
            <w:tcW w:w="1149" w:type="dxa"/>
          </w:tcPr>
          <w:p w14:paraId="00000036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325.6</w:t>
            </w:r>
          </w:p>
        </w:tc>
        <w:tc>
          <w:tcPr>
            <w:tcW w:w="1267" w:type="dxa"/>
          </w:tcPr>
          <w:p w14:paraId="00000037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875" w:type="dxa"/>
          </w:tcPr>
          <w:p w14:paraId="00000038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</w:tcPr>
          <w:p w14:paraId="00000039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128" w:type="dxa"/>
          </w:tcPr>
          <w:p w14:paraId="0000003A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79.4</w:t>
            </w:r>
          </w:p>
        </w:tc>
        <w:tc>
          <w:tcPr>
            <w:tcW w:w="1128" w:type="dxa"/>
          </w:tcPr>
          <w:p w14:paraId="0000003B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128" w:type="dxa"/>
          </w:tcPr>
          <w:p w14:paraId="0000003C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30" w:type="dxa"/>
          </w:tcPr>
          <w:p w14:paraId="0000003D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187" w:type="dxa"/>
          </w:tcPr>
          <w:p w14:paraId="0000003E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2177" w:type="dxa"/>
          </w:tcPr>
          <w:p w14:paraId="0000003F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1,418 (137)</w:t>
            </w:r>
          </w:p>
        </w:tc>
      </w:tr>
      <w:tr w:rsidR="00A87AC6" w:rsidRPr="00D6071C" w14:paraId="08C567C5" w14:textId="77777777">
        <w:trPr>
          <w:trHeight w:val="338"/>
        </w:trPr>
        <w:tc>
          <w:tcPr>
            <w:tcW w:w="776" w:type="dxa"/>
          </w:tcPr>
          <w:p w14:paraId="00000040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056" w:type="dxa"/>
          </w:tcPr>
          <w:p w14:paraId="00000041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11,294</w:t>
            </w:r>
          </w:p>
        </w:tc>
        <w:tc>
          <w:tcPr>
            <w:tcW w:w="1149" w:type="dxa"/>
          </w:tcPr>
          <w:p w14:paraId="00000042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196.1</w:t>
            </w:r>
          </w:p>
        </w:tc>
        <w:tc>
          <w:tcPr>
            <w:tcW w:w="1267" w:type="dxa"/>
          </w:tcPr>
          <w:p w14:paraId="00000043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875" w:type="dxa"/>
          </w:tcPr>
          <w:p w14:paraId="00000044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</w:tcPr>
          <w:p w14:paraId="00000045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128" w:type="dxa"/>
          </w:tcPr>
          <w:p w14:paraId="00000046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43.2</w:t>
            </w:r>
          </w:p>
        </w:tc>
        <w:tc>
          <w:tcPr>
            <w:tcW w:w="1128" w:type="dxa"/>
          </w:tcPr>
          <w:p w14:paraId="00000047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1128" w:type="dxa"/>
          </w:tcPr>
          <w:p w14:paraId="00000048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130" w:type="dxa"/>
          </w:tcPr>
          <w:p w14:paraId="00000049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7" w:type="dxa"/>
          </w:tcPr>
          <w:p w14:paraId="0000004A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2177" w:type="dxa"/>
          </w:tcPr>
          <w:p w14:paraId="0000004B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1,114 (108)</w:t>
            </w:r>
          </w:p>
        </w:tc>
      </w:tr>
      <w:tr w:rsidR="00A87AC6" w:rsidRPr="00D6071C" w14:paraId="182A9B94" w14:textId="77777777">
        <w:trPr>
          <w:trHeight w:val="350"/>
        </w:trPr>
        <w:tc>
          <w:tcPr>
            <w:tcW w:w="776" w:type="dxa"/>
          </w:tcPr>
          <w:p w14:paraId="0000004C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56" w:type="dxa"/>
          </w:tcPr>
          <w:p w14:paraId="0000004D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13,085</w:t>
            </w:r>
          </w:p>
        </w:tc>
        <w:tc>
          <w:tcPr>
            <w:tcW w:w="1149" w:type="dxa"/>
          </w:tcPr>
          <w:p w14:paraId="0000004E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229.1</w:t>
            </w:r>
          </w:p>
        </w:tc>
        <w:tc>
          <w:tcPr>
            <w:tcW w:w="1267" w:type="dxa"/>
          </w:tcPr>
          <w:p w14:paraId="0000004F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875" w:type="dxa"/>
          </w:tcPr>
          <w:p w14:paraId="00000050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7" w:type="dxa"/>
          </w:tcPr>
          <w:p w14:paraId="00000051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128" w:type="dxa"/>
          </w:tcPr>
          <w:p w14:paraId="00000052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128" w:type="dxa"/>
          </w:tcPr>
          <w:p w14:paraId="00000053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51.1</w:t>
            </w:r>
          </w:p>
        </w:tc>
        <w:tc>
          <w:tcPr>
            <w:tcW w:w="1128" w:type="dxa"/>
          </w:tcPr>
          <w:p w14:paraId="00000054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1130" w:type="dxa"/>
          </w:tcPr>
          <w:p w14:paraId="00000055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7" w:type="dxa"/>
          </w:tcPr>
          <w:p w14:paraId="00000056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77" w:type="dxa"/>
          </w:tcPr>
          <w:p w14:paraId="00000057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1,432 (104)</w:t>
            </w:r>
          </w:p>
        </w:tc>
      </w:tr>
      <w:tr w:rsidR="00A87AC6" w:rsidRPr="00D6071C" w14:paraId="359F3A48" w14:textId="77777777">
        <w:trPr>
          <w:trHeight w:val="338"/>
        </w:trPr>
        <w:tc>
          <w:tcPr>
            <w:tcW w:w="776" w:type="dxa"/>
          </w:tcPr>
          <w:p w14:paraId="00000058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056" w:type="dxa"/>
          </w:tcPr>
          <w:p w14:paraId="00000059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2,767</w:t>
            </w:r>
          </w:p>
        </w:tc>
        <w:tc>
          <w:tcPr>
            <w:tcW w:w="1149" w:type="dxa"/>
          </w:tcPr>
          <w:p w14:paraId="0000005A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44.9</w:t>
            </w:r>
          </w:p>
        </w:tc>
        <w:tc>
          <w:tcPr>
            <w:tcW w:w="1267" w:type="dxa"/>
          </w:tcPr>
          <w:p w14:paraId="0000005B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875" w:type="dxa"/>
          </w:tcPr>
          <w:p w14:paraId="0000005C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14:paraId="0000005D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128" w:type="dxa"/>
          </w:tcPr>
          <w:p w14:paraId="0000005E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128" w:type="dxa"/>
          </w:tcPr>
          <w:p w14:paraId="0000005F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45.1</w:t>
            </w:r>
          </w:p>
        </w:tc>
        <w:tc>
          <w:tcPr>
            <w:tcW w:w="1128" w:type="dxa"/>
          </w:tcPr>
          <w:p w14:paraId="00000060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1130" w:type="dxa"/>
          </w:tcPr>
          <w:p w14:paraId="00000061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187" w:type="dxa"/>
          </w:tcPr>
          <w:p w14:paraId="00000062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2177" w:type="dxa"/>
          </w:tcPr>
          <w:p w14:paraId="00000063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(11)</w:t>
            </w:r>
          </w:p>
        </w:tc>
      </w:tr>
      <w:tr w:rsidR="00A87AC6" w:rsidRPr="00D6071C" w14:paraId="388BBADE" w14:textId="77777777">
        <w:trPr>
          <w:trHeight w:val="338"/>
        </w:trPr>
        <w:tc>
          <w:tcPr>
            <w:tcW w:w="776" w:type="dxa"/>
          </w:tcPr>
          <w:p w14:paraId="00000064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6" w:type="dxa"/>
          </w:tcPr>
          <w:p w14:paraId="00000065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3,283</w:t>
            </w:r>
          </w:p>
        </w:tc>
        <w:tc>
          <w:tcPr>
            <w:tcW w:w="1149" w:type="dxa"/>
          </w:tcPr>
          <w:p w14:paraId="00000066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54.4</w:t>
            </w:r>
          </w:p>
        </w:tc>
        <w:tc>
          <w:tcPr>
            <w:tcW w:w="1267" w:type="dxa"/>
          </w:tcPr>
          <w:p w14:paraId="00000067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75" w:type="dxa"/>
          </w:tcPr>
          <w:p w14:paraId="00000068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</w:tcPr>
          <w:p w14:paraId="00000069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128" w:type="dxa"/>
          </w:tcPr>
          <w:p w14:paraId="0000006A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28" w:type="dxa"/>
          </w:tcPr>
          <w:p w14:paraId="0000006B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28" w:type="dxa"/>
          </w:tcPr>
          <w:p w14:paraId="0000006C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30" w:type="dxa"/>
          </w:tcPr>
          <w:p w14:paraId="0000006D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87" w:type="dxa"/>
          </w:tcPr>
          <w:p w14:paraId="0000006E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2177" w:type="dxa"/>
          </w:tcPr>
          <w:p w14:paraId="0000006F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(29)</w:t>
            </w:r>
          </w:p>
        </w:tc>
      </w:tr>
      <w:tr w:rsidR="00A87AC6" w:rsidRPr="00D6071C" w14:paraId="638CA0E7" w14:textId="77777777">
        <w:trPr>
          <w:trHeight w:val="338"/>
        </w:trPr>
        <w:tc>
          <w:tcPr>
            <w:tcW w:w="776" w:type="dxa"/>
          </w:tcPr>
          <w:p w14:paraId="00000070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056" w:type="dxa"/>
          </w:tcPr>
          <w:p w14:paraId="00000071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16,100</w:t>
            </w:r>
          </w:p>
        </w:tc>
        <w:tc>
          <w:tcPr>
            <w:tcW w:w="1149" w:type="dxa"/>
          </w:tcPr>
          <w:p w14:paraId="00000072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282.3</w:t>
            </w:r>
          </w:p>
        </w:tc>
        <w:tc>
          <w:tcPr>
            <w:tcW w:w="1267" w:type="dxa"/>
          </w:tcPr>
          <w:p w14:paraId="00000073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875" w:type="dxa"/>
          </w:tcPr>
          <w:p w14:paraId="00000074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7" w:type="dxa"/>
          </w:tcPr>
          <w:p w14:paraId="00000075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128" w:type="dxa"/>
          </w:tcPr>
          <w:p w14:paraId="00000076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28" w:type="dxa"/>
          </w:tcPr>
          <w:p w14:paraId="00000077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28" w:type="dxa"/>
          </w:tcPr>
          <w:p w14:paraId="00000078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30" w:type="dxa"/>
          </w:tcPr>
          <w:p w14:paraId="00000079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87" w:type="dxa"/>
          </w:tcPr>
          <w:p w14:paraId="0000007A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2177" w:type="dxa"/>
          </w:tcPr>
          <w:p w14:paraId="0000007B" w14:textId="77777777" w:rsidR="00A87AC6" w:rsidRPr="00D6071C" w:rsidRDefault="006E5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</w:tr>
    </w:tbl>
    <w:p w14:paraId="0000007C" w14:textId="77777777" w:rsidR="00A87AC6" w:rsidRPr="00D6071C" w:rsidRDefault="006E5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*NR figures were not reported due to a change in the Ministry of Health’s annual communicable diseases report</w:t>
      </w:r>
    </w:p>
    <w:p w14:paraId="0000007D" w14:textId="77777777" w:rsidR="00A87AC6" w:rsidRPr="00D6071C" w:rsidRDefault="006E5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#NR figures as the 2019 communicable disease report has not been published at the time of writing this paper. Incidence per 100,000 calculated using population figures from Singapore’s Department of Statistics </w:t>
      </w:r>
    </w:p>
    <w:p w14:paraId="00000083" w14:textId="334A1DCD" w:rsidR="00A87AC6" w:rsidRPr="00D6071C" w:rsidRDefault="00A87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87AC6" w:rsidRPr="00D6071C">
          <w:headerReference w:type="default" r:id="rId9"/>
          <w:footerReference w:type="default" r:id="rId10"/>
          <w:pgSz w:w="16838" w:h="11906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087AF998" w14:textId="77777777" w:rsidR="0040579F" w:rsidRPr="00D6071C" w:rsidRDefault="0040579F" w:rsidP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Table S2: Parameters of predictive model using 2012-2018 data as training set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1146"/>
        <w:gridCol w:w="1968"/>
        <w:gridCol w:w="765"/>
        <w:gridCol w:w="916"/>
        <w:gridCol w:w="897"/>
        <w:gridCol w:w="897"/>
      </w:tblGrid>
      <w:tr w:rsidR="0040579F" w:rsidRPr="00D6071C" w14:paraId="2B0EE72A" w14:textId="77777777" w:rsidTr="00436FBF">
        <w:trPr>
          <w:trHeight w:val="468"/>
        </w:trPr>
        <w:tc>
          <w:tcPr>
            <w:tcW w:w="2427" w:type="dxa"/>
          </w:tcPr>
          <w:p w14:paraId="70C5E3A1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Meteorological Factor</w:t>
            </w:r>
          </w:p>
        </w:tc>
        <w:tc>
          <w:tcPr>
            <w:tcW w:w="1146" w:type="dxa"/>
          </w:tcPr>
          <w:p w14:paraId="72BA8628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QAIC</w:t>
            </w:r>
          </w:p>
        </w:tc>
        <w:tc>
          <w:tcPr>
            <w:tcW w:w="1968" w:type="dxa"/>
          </w:tcPr>
          <w:p w14:paraId="78B9914F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 Lag Number</w:t>
            </w:r>
          </w:p>
        </w:tc>
        <w:tc>
          <w:tcPr>
            <w:tcW w:w="765" w:type="dxa"/>
          </w:tcPr>
          <w:p w14:paraId="02086962" w14:textId="77777777" w:rsidR="0040579F" w:rsidRPr="00D6071C" w:rsidRDefault="00F46015" w:rsidP="00436FBF">
            <w:pPr>
              <w:jc w:val="center"/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16" w:type="dxa"/>
          </w:tcPr>
          <w:p w14:paraId="17BF7473" w14:textId="77777777" w:rsidR="0040579F" w:rsidRPr="00D6071C" w:rsidRDefault="00F46015" w:rsidP="00436FBF">
            <w:pPr>
              <w:jc w:val="center"/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97" w:type="dxa"/>
          </w:tcPr>
          <w:p w14:paraId="26E31AD3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MAE</w:t>
            </w:r>
          </w:p>
        </w:tc>
        <w:tc>
          <w:tcPr>
            <w:tcW w:w="897" w:type="dxa"/>
          </w:tcPr>
          <w:p w14:paraId="7188E039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RMSE</w:t>
            </w:r>
          </w:p>
        </w:tc>
      </w:tr>
      <w:tr w:rsidR="0040579F" w:rsidRPr="00D6071C" w14:paraId="0A2DBB5D" w14:textId="77777777" w:rsidTr="00436FBF">
        <w:trPr>
          <w:trHeight w:val="247"/>
        </w:trPr>
        <w:tc>
          <w:tcPr>
            <w:tcW w:w="2427" w:type="dxa"/>
          </w:tcPr>
          <w:p w14:paraId="75C704DB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</w:t>
            </w:r>
          </w:p>
        </w:tc>
        <w:tc>
          <w:tcPr>
            <w:tcW w:w="1146" w:type="dxa"/>
          </w:tcPr>
          <w:p w14:paraId="6F123426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4439.404</w:t>
            </w:r>
          </w:p>
        </w:tc>
        <w:tc>
          <w:tcPr>
            <w:tcW w:w="1968" w:type="dxa"/>
          </w:tcPr>
          <w:p w14:paraId="286799E8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" w:type="dxa"/>
          </w:tcPr>
          <w:p w14:paraId="298815C0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14:paraId="64B730A1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62D16E12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51.63</w:t>
            </w:r>
          </w:p>
        </w:tc>
        <w:tc>
          <w:tcPr>
            <w:tcW w:w="897" w:type="dxa"/>
          </w:tcPr>
          <w:p w14:paraId="1778A3B9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59.61</w:t>
            </w:r>
          </w:p>
        </w:tc>
      </w:tr>
      <w:tr w:rsidR="0040579F" w:rsidRPr="00D6071C" w14:paraId="025D059A" w14:textId="77777777" w:rsidTr="00436FBF">
        <w:trPr>
          <w:trHeight w:val="233"/>
        </w:trPr>
        <w:tc>
          <w:tcPr>
            <w:tcW w:w="2427" w:type="dxa"/>
          </w:tcPr>
          <w:p w14:paraId="17799962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Rainfall</w:t>
            </w:r>
          </w:p>
        </w:tc>
        <w:tc>
          <w:tcPr>
            <w:tcW w:w="1146" w:type="dxa"/>
          </w:tcPr>
          <w:p w14:paraId="2EFDF9BA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4399.869</w:t>
            </w:r>
          </w:p>
        </w:tc>
        <w:tc>
          <w:tcPr>
            <w:tcW w:w="1968" w:type="dxa"/>
          </w:tcPr>
          <w:p w14:paraId="60622617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" w:type="dxa"/>
          </w:tcPr>
          <w:p w14:paraId="305C322C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6" w:type="dxa"/>
          </w:tcPr>
          <w:p w14:paraId="5BFD9873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2ACE6525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48.35</w:t>
            </w:r>
          </w:p>
        </w:tc>
        <w:tc>
          <w:tcPr>
            <w:tcW w:w="897" w:type="dxa"/>
          </w:tcPr>
          <w:p w14:paraId="4B0B0F76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64.31</w:t>
            </w:r>
          </w:p>
        </w:tc>
      </w:tr>
      <w:tr w:rsidR="0040579F" w:rsidRPr="00D6071C" w14:paraId="2E5B82D9" w14:textId="77777777" w:rsidTr="00436FBF">
        <w:trPr>
          <w:trHeight w:val="233"/>
        </w:trPr>
        <w:tc>
          <w:tcPr>
            <w:tcW w:w="2427" w:type="dxa"/>
          </w:tcPr>
          <w:p w14:paraId="45AC8F5B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Temperature</w:t>
            </w:r>
          </w:p>
        </w:tc>
        <w:tc>
          <w:tcPr>
            <w:tcW w:w="1146" w:type="dxa"/>
          </w:tcPr>
          <w:p w14:paraId="08046890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4513.536</w:t>
            </w:r>
          </w:p>
        </w:tc>
        <w:tc>
          <w:tcPr>
            <w:tcW w:w="1968" w:type="dxa"/>
          </w:tcPr>
          <w:p w14:paraId="2C2BFFE8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" w:type="dxa"/>
          </w:tcPr>
          <w:p w14:paraId="2F052579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14:paraId="737B63A7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14:paraId="5FAAEF8F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43.15</w:t>
            </w:r>
          </w:p>
        </w:tc>
        <w:tc>
          <w:tcPr>
            <w:tcW w:w="897" w:type="dxa"/>
          </w:tcPr>
          <w:p w14:paraId="3BB51E63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51.39</w:t>
            </w:r>
          </w:p>
        </w:tc>
      </w:tr>
      <w:tr w:rsidR="0040579F" w:rsidRPr="00D6071C" w14:paraId="4ED8B034" w14:textId="77777777" w:rsidTr="00436FBF">
        <w:trPr>
          <w:trHeight w:val="233"/>
        </w:trPr>
        <w:tc>
          <w:tcPr>
            <w:tcW w:w="2427" w:type="dxa"/>
          </w:tcPr>
          <w:p w14:paraId="07B7923B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 Temperature</w:t>
            </w:r>
          </w:p>
        </w:tc>
        <w:tc>
          <w:tcPr>
            <w:tcW w:w="1146" w:type="dxa"/>
          </w:tcPr>
          <w:p w14:paraId="28719B48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4447.598</w:t>
            </w:r>
          </w:p>
        </w:tc>
        <w:tc>
          <w:tcPr>
            <w:tcW w:w="1968" w:type="dxa"/>
          </w:tcPr>
          <w:p w14:paraId="295ED553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" w:type="dxa"/>
          </w:tcPr>
          <w:p w14:paraId="362AA586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6" w:type="dxa"/>
          </w:tcPr>
          <w:p w14:paraId="1D1CCD63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14:paraId="75002248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46.42</w:t>
            </w:r>
          </w:p>
        </w:tc>
        <w:tc>
          <w:tcPr>
            <w:tcW w:w="897" w:type="dxa"/>
          </w:tcPr>
          <w:p w14:paraId="213023C3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53.84</w:t>
            </w:r>
          </w:p>
        </w:tc>
      </w:tr>
      <w:tr w:rsidR="0040579F" w:rsidRPr="00D6071C" w14:paraId="42A93798" w14:textId="77777777" w:rsidTr="00436FBF">
        <w:trPr>
          <w:trHeight w:val="233"/>
        </w:trPr>
        <w:tc>
          <w:tcPr>
            <w:tcW w:w="2427" w:type="dxa"/>
          </w:tcPr>
          <w:p w14:paraId="69EC95DA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 Temperature</w:t>
            </w:r>
          </w:p>
        </w:tc>
        <w:tc>
          <w:tcPr>
            <w:tcW w:w="1146" w:type="dxa"/>
          </w:tcPr>
          <w:p w14:paraId="343DB9AB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4369.164</w:t>
            </w:r>
          </w:p>
        </w:tc>
        <w:tc>
          <w:tcPr>
            <w:tcW w:w="1968" w:type="dxa"/>
          </w:tcPr>
          <w:p w14:paraId="3F08970F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" w:type="dxa"/>
          </w:tcPr>
          <w:p w14:paraId="4797EE4B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6" w:type="dxa"/>
          </w:tcPr>
          <w:p w14:paraId="2A9D96E7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14:paraId="7AB2E5B8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53.42</w:t>
            </w:r>
          </w:p>
        </w:tc>
        <w:tc>
          <w:tcPr>
            <w:tcW w:w="897" w:type="dxa"/>
          </w:tcPr>
          <w:p w14:paraId="3C23C0D3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61.83</w:t>
            </w:r>
          </w:p>
        </w:tc>
      </w:tr>
      <w:tr w:rsidR="0040579F" w:rsidRPr="00D6071C" w14:paraId="1A4182E4" w14:textId="77777777" w:rsidTr="00436FBF">
        <w:trPr>
          <w:trHeight w:val="233"/>
        </w:trPr>
        <w:tc>
          <w:tcPr>
            <w:tcW w:w="2427" w:type="dxa"/>
          </w:tcPr>
          <w:p w14:paraId="70C68CFF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Wind Speed</w:t>
            </w:r>
          </w:p>
        </w:tc>
        <w:tc>
          <w:tcPr>
            <w:tcW w:w="1146" w:type="dxa"/>
          </w:tcPr>
          <w:p w14:paraId="0C1BF71E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4257.981</w:t>
            </w:r>
          </w:p>
        </w:tc>
        <w:tc>
          <w:tcPr>
            <w:tcW w:w="1968" w:type="dxa"/>
          </w:tcPr>
          <w:p w14:paraId="27E403B4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" w:type="dxa"/>
          </w:tcPr>
          <w:p w14:paraId="716EE701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6" w:type="dxa"/>
          </w:tcPr>
          <w:p w14:paraId="46A110AB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14:paraId="2C093AFA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108.64</w:t>
            </w:r>
          </w:p>
        </w:tc>
        <w:tc>
          <w:tcPr>
            <w:tcW w:w="897" w:type="dxa"/>
          </w:tcPr>
          <w:p w14:paraId="79284DE7" w14:textId="77777777" w:rsidR="0040579F" w:rsidRPr="00D6071C" w:rsidRDefault="0040579F" w:rsidP="00436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127.73</w:t>
            </w:r>
          </w:p>
        </w:tc>
      </w:tr>
    </w:tbl>
    <w:p w14:paraId="5E4734ED" w14:textId="77777777" w:rsidR="0040579F" w:rsidRPr="00D6071C" w:rsidRDefault="0040579F" w:rsidP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6489A" w14:textId="77777777" w:rsidR="0040579F" w:rsidRPr="00D6071C" w:rsidRDefault="0040579F" w:rsidP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Note: MAE = Mean Absolute Error; RMSE = Root Mean Squared Error</w:t>
      </w:r>
    </w:p>
    <w:p w14:paraId="0DDC3A5A" w14:textId="12BD983E" w:rsidR="0040579F" w:rsidRPr="00D6071C" w:rsidRDefault="0040579F" w:rsidP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8631F5" w14:textId="77777777" w:rsidR="00CF04BA" w:rsidRPr="00D6071C" w:rsidRDefault="00CF04BA" w:rsidP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083235" w14:textId="77777777" w:rsidR="0040579F" w:rsidRPr="00D6071C" w:rsidRDefault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2D6087" w14:textId="706A4157" w:rsidR="0040579F" w:rsidRPr="00D6071C" w:rsidRDefault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599101" w14:textId="021CAA82" w:rsidR="00CF04BA" w:rsidRPr="00D6071C" w:rsidRDefault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C5FA38" w14:textId="661D0AA3" w:rsidR="00CF04BA" w:rsidRPr="00D6071C" w:rsidRDefault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2E0D53" w14:textId="18C1D12B" w:rsidR="00CF04BA" w:rsidRPr="00D6071C" w:rsidRDefault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8211F3" w14:textId="3EF77204" w:rsidR="00CF04BA" w:rsidRPr="00D6071C" w:rsidRDefault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DDDC05" w14:textId="1B4E7A1E" w:rsidR="00CF04BA" w:rsidRPr="00D6071C" w:rsidRDefault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AFA39F" w14:textId="77777777" w:rsidR="00CF04BA" w:rsidRPr="00D6071C" w:rsidRDefault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41FD9F" w14:textId="77777777" w:rsidR="0040579F" w:rsidRPr="00D6071C" w:rsidRDefault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E0901A" w14:textId="77777777" w:rsidR="0040579F" w:rsidRPr="00D6071C" w:rsidRDefault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9776AD" w14:textId="77777777" w:rsidR="0040579F" w:rsidRPr="00D6071C" w:rsidRDefault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F09C0E" w14:textId="77777777" w:rsidR="0040579F" w:rsidRPr="00D6071C" w:rsidRDefault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9349C9" w14:textId="77777777" w:rsidR="0040579F" w:rsidRPr="00D6071C" w:rsidRDefault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688683" w14:textId="77777777" w:rsidR="0040579F" w:rsidRPr="00D6071C" w:rsidRDefault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7951AB" w14:textId="77777777" w:rsidR="0040579F" w:rsidRPr="00D6071C" w:rsidRDefault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5C9968" w14:textId="5A389CC7" w:rsidR="0040579F" w:rsidRPr="00D6071C" w:rsidRDefault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D1CD2D" w14:textId="48E35EA7" w:rsidR="0040579F" w:rsidRPr="00D6071C" w:rsidRDefault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84" w14:textId="714AE220" w:rsidR="00A87AC6" w:rsidRPr="00D6071C" w:rsidRDefault="000F2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ARIMA </w:t>
      </w:r>
      <w:r w:rsidR="006E56D7" w:rsidRPr="00D60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Model </w:t>
      </w:r>
    </w:p>
    <w:p w14:paraId="00000085" w14:textId="77777777" w:rsidR="00A87AC6" w:rsidRPr="00D6071C" w:rsidRDefault="00A87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DFDB58" w14:textId="77777777" w:rsidR="0090243B" w:rsidRPr="00D6071C" w:rsidRDefault="006E5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 w:rsidR="007E0103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obvious trend </w:t>
      </w:r>
      <w:r w:rsidR="007E0103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detected </w:t>
      </w: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7E0103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n the time series data</w:t>
      </w:r>
      <w:r w:rsidR="00F30955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differencing </w:t>
      </w:r>
      <w:r w:rsidR="000F24A3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technique was conducted </w:t>
      </w: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to m</w:t>
      </w:r>
      <w:r w:rsidR="00F30955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ake the time series stationary and</w:t>
      </w: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stabilize the variance</w:t>
      </w:r>
      <w:r w:rsidR="00F30955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using log</w:t>
      </w:r>
      <w:r w:rsidR="000F24A3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arithm transformation</w:t>
      </w: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F24A3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Autocorrelation function graph and partial autocorrelation function suggested significant autocorrelation at lag 1</w:t>
      </w:r>
      <w:r w:rsidR="0090243B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(Figure S1)</w:t>
      </w:r>
      <w:r w:rsidR="00F30955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E0103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Hence, t</w:t>
      </w:r>
      <w:r w:rsidR="000F24A3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he final model turns to be</w:t>
      </w:r>
      <w:r w:rsidR="00F30955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ARIMA (1, 1, </w:t>
      </w:r>
      <w:r w:rsidR="00F30955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0). Residual diagnostics was conducted </w:t>
      </w:r>
      <w:r w:rsidR="0090243B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through Figure S2. P-value of ‘Ljung-Box’ test</w:t>
      </w:r>
      <w:r w:rsidR="000F24A3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significance level 0.05</w:t>
      </w:r>
      <w:r w:rsidR="0090243B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10 lags was</w:t>
      </w:r>
      <w:r w:rsidR="00F30955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243B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0.3686.</w:t>
      </w:r>
    </w:p>
    <w:p w14:paraId="7F16B7AE" w14:textId="77777777" w:rsidR="0090243B" w:rsidRPr="00D6071C" w:rsidRDefault="00902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6" w14:textId="3DFF8630" w:rsidR="00A87AC6" w:rsidRPr="00D6071C" w:rsidRDefault="00902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However, some significant signals appeared at lag 43 and lag 49</w:t>
      </w:r>
      <w:r w:rsidR="005936EB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(Figure S1)</w:t>
      </w: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. These spikes might imply some seasonal patterns</w:t>
      </w:r>
      <w:r w:rsidR="005936EB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dengue</w:t>
      </w: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936EB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Figure 1, peaks were observed around mid-year period during 2012-2015, 2019. In 2016, peak appeared at start of year. Although seasonal patterns were apparent, the seasonal period was not strictly 52 weeks (one year)</w:t>
      </w:r>
      <w:r w:rsidR="006F2099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SARIMA (0, 1, 1)(0, 1, 1)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52</m:t>
            </m:r>
          </m:sub>
        </m:sSub>
      </m:oMath>
      <w:r w:rsidR="005C3444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5138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444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was tried but Ljung-Box test was not passed after lag 43 (Figure S2)</w:t>
      </w:r>
      <w:r w:rsidR="00475138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. Thus seasonal patterns in this weekly data should be captured by a more sophisticated model.</w:t>
      </w:r>
    </w:p>
    <w:p w14:paraId="00000087" w14:textId="77777777" w:rsidR="00A87AC6" w:rsidRPr="00D6071C" w:rsidRDefault="00A87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8" w14:textId="77777777" w:rsidR="00A87AC6" w:rsidRPr="00D6071C" w:rsidRDefault="006E56D7" w:rsidP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drawing>
          <wp:inline distT="0" distB="0" distL="0" distR="0" wp14:editId="7ADF7018">
            <wp:extent cx="3803650" cy="2901950"/>
            <wp:effectExtent l="0" t="0" r="6350" b="0"/>
            <wp:docPr id="9604583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4170" cy="2902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89" w14:textId="685342F3" w:rsidR="00A87AC6" w:rsidRPr="00D6071C" w:rsidRDefault="006E56D7" w:rsidP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Figure S1: Acf &amp; Pacf graphs</w:t>
      </w:r>
      <w:r w:rsidR="0090243B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differenced time series of weekly dengue cases</w:t>
      </w:r>
      <w:r w:rsidR="005936EB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logarithm transformation</w:t>
      </w:r>
    </w:p>
    <w:p w14:paraId="0000008A" w14:textId="77777777" w:rsidR="00A87AC6" w:rsidRPr="00D6071C" w:rsidRDefault="00A87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B" w14:textId="77777777" w:rsidR="00A87AC6" w:rsidRPr="00D6071C" w:rsidRDefault="00A87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C" w14:textId="722E2F9B" w:rsidR="00A87AC6" w:rsidRPr="00D6071C" w:rsidRDefault="006E5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drawing>
          <wp:inline distT="0" distB="0" distL="0" distR="0" wp14:editId="7E4F1DB3">
            <wp:extent cx="3911600" cy="3255491"/>
            <wp:effectExtent l="0" t="0" r="0" b="2540"/>
            <wp:docPr id="96045839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2465" cy="32645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C3444" w:rsidRPr="00D607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t xml:space="preserve">                         </w:t>
      </w:r>
      <w:r w:rsidR="005C3444" w:rsidRPr="00D607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drawing>
          <wp:inline distT="0" distB="0" distL="0" distR="0" wp14:anchorId="3D73C730" wp14:editId="536C318E">
            <wp:extent cx="3257550" cy="3257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plo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8D" w14:textId="6924D29E" w:rsidR="00A87AC6" w:rsidRPr="00D6071C" w:rsidRDefault="006E5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Figure S2: </w:t>
      </w:r>
      <w:r w:rsidR="008E4151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Residual plots and </w:t>
      </w:r>
      <w:r w:rsidR="00F30955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Ljung-Box tests (Residual Diagnostics</w:t>
      </w:r>
      <w:r w:rsidR="008E4151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C3444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Left panel is ARIMA(1, 1, 0) and right panel is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SARIMA (0, 1, 1)(0, 1, 1)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52</m:t>
            </m:r>
          </m:sub>
        </m:sSub>
      </m:oMath>
      <w:r w:rsidR="00475138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44B0D8A8" w14:textId="4F747607" w:rsidR="00CF04BA" w:rsidRPr="00D6071C" w:rsidRDefault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E0D1F2" w14:textId="68E2FDDD" w:rsidR="00CF04BA" w:rsidRPr="00D6071C" w:rsidRDefault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31F607" w14:textId="02B85638" w:rsidR="00CF04BA" w:rsidRPr="00D6071C" w:rsidRDefault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D0567E" w14:textId="779309CC" w:rsidR="00CF04BA" w:rsidRPr="00D6071C" w:rsidRDefault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EBC8C6" w14:textId="168242E7" w:rsidR="00CF04BA" w:rsidRPr="00D6071C" w:rsidRDefault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4D4BC5" w14:textId="166092B8" w:rsidR="00CF04BA" w:rsidRPr="00D6071C" w:rsidRDefault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8235E1" w14:textId="3491CF06" w:rsidR="00CF04BA" w:rsidRPr="00D6071C" w:rsidRDefault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A4BD79" w14:textId="77777777" w:rsidR="00CF04BA" w:rsidRPr="00D6071C" w:rsidRDefault="00CF04BA" w:rsidP="00CF04BA">
      <w:pPr>
        <w:pStyle w:val="NoSpacing"/>
        <w:rPr>
          <w:rFonts w:ascii="Times New Roman" w:hAnsi="Times New Roman" w:cs="Times New Roman"/>
          <w:lang w:eastAsia="zh-CN"/>
        </w:rPr>
      </w:pPr>
      <w:r w:rsidRPr="00D6071C">
        <w:rPr>
          <w:noProof/>
          <w:lang w:eastAsia="zh-CN"/>
        </w:rPr>
        <w:lastRenderedPageBreak/>
        <w:drawing>
          <wp:inline distT="0" distB="0" distL="0" distR="0" wp14:anchorId="61A648B4" wp14:editId="0A33EBC8">
            <wp:extent cx="4597400" cy="23435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775" cy="235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5C011" w14:textId="4B108DF1" w:rsidR="00CF04BA" w:rsidRPr="00D6071C" w:rsidRDefault="00CF04BA" w:rsidP="00CF04BA">
      <w:pPr>
        <w:pStyle w:val="NoSpacing"/>
        <w:rPr>
          <w:rFonts w:ascii="Times New Roman" w:hAnsi="Times New Roman" w:cs="Times New Roman"/>
          <w:lang w:eastAsia="zh-CN"/>
        </w:rPr>
      </w:pPr>
      <w:r w:rsidRPr="00D6071C">
        <w:rPr>
          <w:rFonts w:ascii="Times New Roman" w:hAnsi="Times New Roman" w:cs="Times New Roman"/>
          <w:lang w:eastAsia="zh-CN"/>
        </w:rPr>
        <w:t>Figure S3: Time-lagged Spearman correlation between climate factors and dengue incidence</w:t>
      </w:r>
    </w:p>
    <w:p w14:paraId="79128367" w14:textId="564802DF" w:rsidR="00CF04BA" w:rsidRPr="00D6071C" w:rsidRDefault="00CF04BA" w:rsidP="00CF04BA">
      <w:pPr>
        <w:pStyle w:val="NoSpacing"/>
        <w:rPr>
          <w:rFonts w:ascii="Times New Roman" w:hAnsi="Times New Roman" w:cs="Times New Roman"/>
          <w:lang w:eastAsia="zh-CN"/>
        </w:rPr>
      </w:pPr>
    </w:p>
    <w:p w14:paraId="23A319FA" w14:textId="77777777" w:rsidR="00CF04BA" w:rsidRPr="00D6071C" w:rsidRDefault="00CF04BA" w:rsidP="00CF04BA">
      <w:pPr>
        <w:pStyle w:val="NoSpacing"/>
        <w:rPr>
          <w:rFonts w:ascii="Times New Roman" w:hAnsi="Times New Roman" w:cs="Times New Roman"/>
          <w:lang w:eastAsia="zh-CN"/>
        </w:rPr>
      </w:pPr>
    </w:p>
    <w:p w14:paraId="00000090" w14:textId="5BCDC203" w:rsidR="00A87AC6" w:rsidRPr="00D6071C" w:rsidRDefault="006E56D7" w:rsidP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drawing>
          <wp:inline distT="0" distB="0" distL="0" distR="0" wp14:editId="1DB3542E">
            <wp:extent cx="4512733" cy="1862667"/>
            <wp:effectExtent l="0" t="0" r="2540" b="4445"/>
            <wp:docPr id="96045839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3508" cy="1879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91" w14:textId="154321CA" w:rsidR="00A87AC6" w:rsidRPr="00D6071C" w:rsidRDefault="00CF04BA" w:rsidP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Figure S4</w:t>
      </w:r>
      <w:r w:rsidR="006E56D7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: Diagnosis of the residual autocorrelation and overdispersion</w:t>
      </w:r>
    </w:p>
    <w:p w14:paraId="465293A7" w14:textId="55A20A17" w:rsidR="00CF04BA" w:rsidRPr="00D6071C" w:rsidRDefault="00CF04BA" w:rsidP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6A0114" w14:textId="77777777" w:rsidR="00CF04BA" w:rsidRPr="00D6071C" w:rsidRDefault="00CF04BA" w:rsidP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B4D6F1" w14:textId="77777777" w:rsidR="00CF04BA" w:rsidRPr="00D6071C" w:rsidRDefault="00CF04BA" w:rsidP="00CF04BA">
      <w:pPr>
        <w:ind w:right="-1440"/>
        <w:rPr>
          <w:rFonts w:ascii="Times New Roman" w:hAnsi="Times New Roman" w:cs="Times New Roman"/>
          <w:sz w:val="24"/>
          <w:szCs w:val="24"/>
        </w:rPr>
      </w:pPr>
      <w:r w:rsidRPr="00D6071C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lastRenderedPageBreak/>
        <w:drawing>
          <wp:inline distT="0" distB="0" distL="0" distR="0" wp14:anchorId="166AC9FA" wp14:editId="19D32E40">
            <wp:extent cx="5731510" cy="25082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plot26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71C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49A69339" w14:textId="51686060" w:rsidR="00CF04BA" w:rsidRPr="00D6071C" w:rsidRDefault="00CF04BA" w:rsidP="00CF04BA">
      <w:pPr>
        <w:ind w:right="-1440"/>
        <w:rPr>
          <w:rFonts w:ascii="Times New Roman" w:hAnsi="Times New Roman" w:cs="Times New Roman"/>
          <w:sz w:val="24"/>
          <w:szCs w:val="24"/>
        </w:rPr>
      </w:pPr>
      <w:r w:rsidRPr="00D6071C">
        <w:rPr>
          <w:rFonts w:ascii="Times New Roman" w:hAnsi="Times New Roman" w:cs="Times New Roman" w:hint="eastAsia"/>
          <w:sz w:val="24"/>
          <w:szCs w:val="24"/>
        </w:rPr>
        <w:t>F</w:t>
      </w:r>
      <w:r w:rsidRPr="00D6071C">
        <w:rPr>
          <w:rFonts w:ascii="Times New Roman" w:hAnsi="Times New Roman" w:cs="Times New Roman"/>
          <w:sz w:val="24"/>
          <w:szCs w:val="24"/>
        </w:rPr>
        <w:t>igure S5: The estimated number of dengue cases (DLNM with wind speed) juxtaposed against original dengue time series</w:t>
      </w:r>
    </w:p>
    <w:p w14:paraId="744517F4" w14:textId="77777777" w:rsidR="00CF04BA" w:rsidRPr="00D6071C" w:rsidRDefault="00CF04BA" w:rsidP="00405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D7ACF5" w14:textId="77777777" w:rsidR="0040579F" w:rsidRPr="00D6071C" w:rsidRDefault="0040579F" w:rsidP="000A3B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E64E3F" w14:textId="460A226E" w:rsidR="000A3BC7" w:rsidRPr="00D6071C" w:rsidRDefault="0040579F" w:rsidP="00CF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lastRenderedPageBreak/>
        <w:drawing>
          <wp:inline distT="0" distB="0" distL="0" distR="0" wp14:anchorId="21F95562" wp14:editId="43C7259A">
            <wp:extent cx="4495800" cy="23847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plo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799" cy="240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B6CB7" w14:textId="5AC5FC65" w:rsidR="000A3BC7" w:rsidRPr="00D6071C" w:rsidRDefault="00CF04BA" w:rsidP="00CF04BA">
      <w:pPr>
        <w:tabs>
          <w:tab w:val="left" w:pos="42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Figure S6</w:t>
      </w:r>
      <w:r w:rsidR="000A3BC7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: Overall effect of PSI and Wind Speed in multivariate model</w:t>
      </w:r>
    </w:p>
    <w:p w14:paraId="0399B5F6" w14:textId="07AE5333" w:rsidR="000A3BC7" w:rsidRPr="00D6071C" w:rsidRDefault="000A3B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54E843" w14:textId="6B9A1D8E" w:rsidR="000A3BC7" w:rsidRPr="00D6071C" w:rsidRDefault="006F150D" w:rsidP="000A3B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noProof/>
          <w:lang w:eastAsia="zh-CN"/>
        </w:rPr>
      </w:pPr>
      <w:r w:rsidRPr="00D6071C">
        <w:rPr>
          <w:noProof/>
          <w:lang w:eastAsia="zh-CN"/>
        </w:rPr>
        <w:lastRenderedPageBreak/>
        <w:drawing>
          <wp:inline distT="0" distB="0" distL="0" distR="0" wp14:anchorId="2C1F8295" wp14:editId="2A528D28">
            <wp:extent cx="2824464" cy="3059723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plot0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220" cy="308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71C">
        <w:rPr>
          <w:noProof/>
          <w:lang w:eastAsia="zh-CN"/>
        </w:rPr>
        <w:drawing>
          <wp:inline distT="0" distB="0" distL="0" distR="0" wp14:anchorId="22B7C285" wp14:editId="768D7C70">
            <wp:extent cx="2894805" cy="3135923"/>
            <wp:effectExtent l="0" t="0" r="127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plot02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674" cy="316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71C">
        <w:rPr>
          <w:noProof/>
          <w:lang w:eastAsia="zh-CN"/>
        </w:rPr>
        <w:drawing>
          <wp:inline distT="0" distB="0" distL="0" distR="0" wp14:anchorId="126CD104" wp14:editId="2C08DF72">
            <wp:extent cx="2883531" cy="3123710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plot03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134" cy="315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455F3" w14:textId="0BDA2094" w:rsidR="003A4F55" w:rsidRPr="00D6071C" w:rsidRDefault="003A4F55" w:rsidP="003A4F5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(b)                                                                      (c)</w:t>
      </w:r>
    </w:p>
    <w:p w14:paraId="789851A9" w14:textId="77777777" w:rsidR="003A4F55" w:rsidRPr="00D6071C" w:rsidRDefault="003A4F55" w:rsidP="000A3B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C3DF53" w14:textId="6A548608" w:rsidR="000A3BC7" w:rsidRPr="00D6071C" w:rsidRDefault="00CF04BA" w:rsidP="000A3B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noProof/>
          <w:lang w:eastAsia="zh-CN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Figure S7</w:t>
      </w:r>
      <w:r w:rsidR="000A3BC7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Overall effect </w:t>
      </w:r>
      <w:r w:rsidR="006F150D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variation in </w:t>
      </w:r>
      <m:oMath>
        <m:r>
          <w:rPr>
            <w:rFonts w:ascii="Cambria Math" w:hAnsi="Cambria Math" w:cs="Times New Roman"/>
            <w:sz w:val="24"/>
            <w:szCs w:val="24"/>
            <w:lang w:eastAsia="zh-CN"/>
          </w:rPr>
          <m:t>δ</m:t>
        </m:r>
      </m:oMath>
      <w:r w:rsidR="006F150D" w:rsidRPr="00D607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3A4F55" w:rsidRPr="00D607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(a) </w:t>
      </w:r>
      <m:oMath>
        <m:r>
          <w:rPr>
            <w:rFonts w:ascii="Cambria Math" w:hAnsi="Cambria Math" w:cs="Times New Roman"/>
            <w:sz w:val="24"/>
            <w:szCs w:val="24"/>
            <w:lang w:eastAsia="zh-CN"/>
          </w:rPr>
          <m:t>δ</m:t>
        </m:r>
      </m:oMath>
      <w:r w:rsidR="006F150D" w:rsidRPr="00D607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= 8*3 </w:t>
      </w:r>
      <w:r w:rsidR="003A4F55" w:rsidRPr="00D607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(b) </w:t>
      </w:r>
      <m:oMath>
        <m:r>
          <w:rPr>
            <w:rFonts w:ascii="Cambria Math" w:hAnsi="Cambria Math" w:cs="Times New Roman"/>
            <w:sz w:val="24"/>
            <w:szCs w:val="24"/>
            <w:lang w:eastAsia="zh-CN"/>
          </w:rPr>
          <m:t>δ</m:t>
        </m:r>
      </m:oMath>
      <w:r w:rsidR="006F150D" w:rsidRPr="00D607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= 8*5</w:t>
      </w:r>
      <w:r w:rsidR="003A4F55" w:rsidRPr="00D607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(c)</w:t>
      </w:r>
      <w:r w:rsidR="006F150D" w:rsidRPr="00D607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eastAsia="zh-CN"/>
          </w:rPr>
          <m:t>δ</m:t>
        </m:r>
      </m:oMath>
      <w:r w:rsidR="006F150D" w:rsidRPr="00D607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= 8*7 </w:t>
      </w:r>
    </w:p>
    <w:p w14:paraId="19B913F5" w14:textId="42DE89C2" w:rsidR="000A3BC7" w:rsidRPr="00D6071C" w:rsidRDefault="003A4F55" w:rsidP="003A4F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7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lastRenderedPageBreak/>
        <w:drawing>
          <wp:inline distT="0" distB="0" distL="0" distR="0" wp14:anchorId="1F811AB4" wp14:editId="4DF3C7D1">
            <wp:extent cx="2560320" cy="2560320"/>
            <wp:effectExtent l="0" t="0" r="0" b="0"/>
            <wp:docPr id="1512859074" name="Picture 1512859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59074" name="Rplot10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7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drawing>
          <wp:inline distT="0" distB="0" distL="0" distR="0" wp14:anchorId="6496C660" wp14:editId="4EB338A6">
            <wp:extent cx="2560320" cy="2560320"/>
            <wp:effectExtent l="0" t="0" r="0" b="0"/>
            <wp:docPr id="1512859075" name="Picture 1512859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59075" name="Rplot11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7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drawing>
          <wp:inline distT="0" distB="0" distL="0" distR="0" wp14:anchorId="537FF876" wp14:editId="4F178CEA">
            <wp:extent cx="2560320" cy="2560320"/>
            <wp:effectExtent l="0" t="0" r="0" b="0"/>
            <wp:docPr id="1512859076" name="Picture 1512859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59076" name="Rplot12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7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drawing>
          <wp:inline distT="0" distB="0" distL="0" distR="0" wp14:anchorId="2B5EC964" wp14:editId="2EA25D9F">
            <wp:extent cx="2560320" cy="2560320"/>
            <wp:effectExtent l="0" t="0" r="0" b="0"/>
            <wp:docPr id="1512859077" name="Picture 1512859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59077" name="Rplot13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7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drawing>
          <wp:inline distT="0" distB="0" distL="0" distR="0" wp14:anchorId="6BB02EB1" wp14:editId="7EB580E2">
            <wp:extent cx="2560320" cy="2560320"/>
            <wp:effectExtent l="0" t="0" r="0" b="0"/>
            <wp:docPr id="1512859078" name="Picture 1512859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59078" name="Rplot14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7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drawing>
          <wp:inline distT="0" distB="0" distL="0" distR="0" wp14:anchorId="6E57ABD8" wp14:editId="3FAA3C93">
            <wp:extent cx="2560320" cy="2560320"/>
            <wp:effectExtent l="0" t="0" r="0" b="0"/>
            <wp:docPr id="1512859079" name="Picture 1512859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59079" name="Rplot15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19E2F" w14:textId="6B90CFC6" w:rsidR="000A3BC7" w:rsidRPr="00D6071C" w:rsidRDefault="00CF04BA" w:rsidP="000A3B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Figure S8</w:t>
      </w:r>
      <w:r w:rsidR="000A3BC7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: O</w:t>
      </w:r>
      <w:r w:rsidR="003A4F55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verall effect of 6 weather variables with different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1</m:t>
            </m:r>
          </m:sub>
        </m:sSub>
      </m:oMath>
      <w:r w:rsidR="003A4F55" w:rsidRPr="00D6071C">
        <w:rPr>
          <w:rFonts w:ascii="Times New Roman" w:hAnsi="Times New Roman" w:cs="Times New Roman"/>
          <w:sz w:val="24"/>
          <w:szCs w:val="24"/>
          <w:lang w:eastAsia="zh-CN"/>
        </w:rPr>
        <w:t xml:space="preserve"> ranging from 2-6 (Exclude optimal one based on QAIC)</w:t>
      </w:r>
    </w:p>
    <w:p w14:paraId="08FD8B0A" w14:textId="31AF9D2C" w:rsidR="005A6E60" w:rsidRPr="00D6071C" w:rsidRDefault="005A6E60" w:rsidP="000A3B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noProof/>
          <w:lang w:eastAsia="zh-CN"/>
        </w:rPr>
      </w:pPr>
      <w:r w:rsidRPr="00D6071C">
        <w:rPr>
          <w:noProof/>
          <w:lang w:eastAsia="zh-CN"/>
        </w:rPr>
        <w:lastRenderedPageBreak/>
        <w:drawing>
          <wp:inline distT="0" distB="0" distL="0" distR="0" wp14:anchorId="704B888A" wp14:editId="0C72F863">
            <wp:extent cx="5568043" cy="5036797"/>
            <wp:effectExtent l="0" t="0" r="0" b="0"/>
            <wp:docPr id="1512859080" name="Picture 1512859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59080" name="Rplot16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914" cy="504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6078C" w14:textId="3C91FD3E" w:rsidR="000A3BC7" w:rsidRPr="00190F64" w:rsidRDefault="00CF04BA" w:rsidP="008A6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noProof/>
          <w:lang w:eastAsia="zh-CN"/>
        </w:rPr>
      </w:pPr>
      <w:r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Figure S9</w:t>
      </w:r>
      <w:r w:rsidR="005A6E60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: Overall effect of 6 weather variables with equal knots method applied in lag-dimension (Original setting is log knots method</w:t>
      </w:r>
      <w:r w:rsidR="003A7BE6" w:rsidRPr="00D6071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Start w:id="0" w:name="_GoBack"/>
      <w:bookmarkEnd w:id="0"/>
    </w:p>
    <w:sectPr w:rsidR="000A3BC7" w:rsidRPr="00190F64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4588A" w14:textId="77777777" w:rsidR="00F46015" w:rsidRDefault="00F46015">
      <w:pPr>
        <w:spacing w:after="0" w:line="240" w:lineRule="auto"/>
      </w:pPr>
      <w:r>
        <w:separator/>
      </w:r>
    </w:p>
  </w:endnote>
  <w:endnote w:type="continuationSeparator" w:id="0">
    <w:p w14:paraId="6E7EEDFE" w14:textId="77777777" w:rsidR="00F46015" w:rsidRDefault="00F4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10" w14:textId="77777777" w:rsidR="00A87AC6" w:rsidRDefault="00A87AC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0"/>
        <w:szCs w:val="20"/>
      </w:rPr>
    </w:pPr>
  </w:p>
  <w:tbl>
    <w:tblPr>
      <w:tblStyle w:val="a2"/>
      <w:tblW w:w="13959" w:type="dxa"/>
      <w:tblLayout w:type="fixed"/>
      <w:tblLook w:val="0600" w:firstRow="0" w:lastRow="0" w:firstColumn="0" w:lastColumn="0" w:noHBand="1" w:noVBand="1"/>
    </w:tblPr>
    <w:tblGrid>
      <w:gridCol w:w="4653"/>
      <w:gridCol w:w="4653"/>
      <w:gridCol w:w="4653"/>
    </w:tblGrid>
    <w:tr w:rsidR="00A87AC6" w14:paraId="1D871B65" w14:textId="77777777">
      <w:tc>
        <w:tcPr>
          <w:tcW w:w="4653" w:type="dxa"/>
        </w:tcPr>
        <w:p w14:paraId="00000111" w14:textId="77777777" w:rsidR="00A87AC6" w:rsidRDefault="00A87A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115"/>
            <w:rPr>
              <w:color w:val="000000"/>
              <w:sz w:val="20"/>
              <w:szCs w:val="20"/>
            </w:rPr>
          </w:pPr>
        </w:p>
      </w:tc>
      <w:tc>
        <w:tcPr>
          <w:tcW w:w="4653" w:type="dxa"/>
        </w:tcPr>
        <w:p w14:paraId="00000112" w14:textId="77777777" w:rsidR="00A87AC6" w:rsidRDefault="00A87A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0000"/>
              <w:sz w:val="20"/>
              <w:szCs w:val="20"/>
            </w:rPr>
          </w:pPr>
        </w:p>
      </w:tc>
      <w:tc>
        <w:tcPr>
          <w:tcW w:w="4653" w:type="dxa"/>
        </w:tcPr>
        <w:p w14:paraId="00000113" w14:textId="77777777" w:rsidR="00A87AC6" w:rsidRDefault="00A87A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115"/>
            <w:jc w:val="right"/>
            <w:rPr>
              <w:color w:val="000000"/>
              <w:sz w:val="20"/>
              <w:szCs w:val="20"/>
            </w:rPr>
          </w:pPr>
        </w:p>
      </w:tc>
    </w:tr>
  </w:tbl>
  <w:p w14:paraId="00000114" w14:textId="77777777" w:rsidR="00A87AC6" w:rsidRDefault="00A87AC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18FE1" w14:textId="77777777" w:rsidR="00F46015" w:rsidRDefault="00F46015">
      <w:pPr>
        <w:spacing w:after="0" w:line="240" w:lineRule="auto"/>
      </w:pPr>
      <w:r>
        <w:separator/>
      </w:r>
    </w:p>
  </w:footnote>
  <w:footnote w:type="continuationSeparator" w:id="0">
    <w:p w14:paraId="1C4003FE" w14:textId="77777777" w:rsidR="00F46015" w:rsidRDefault="00F4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B" w14:textId="77777777" w:rsidR="00A87AC6" w:rsidRDefault="00A87AC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1"/>
      <w:tblW w:w="13959" w:type="dxa"/>
      <w:tblLayout w:type="fixed"/>
      <w:tblLook w:val="0600" w:firstRow="0" w:lastRow="0" w:firstColumn="0" w:lastColumn="0" w:noHBand="1" w:noVBand="1"/>
    </w:tblPr>
    <w:tblGrid>
      <w:gridCol w:w="4653"/>
      <w:gridCol w:w="4653"/>
      <w:gridCol w:w="4653"/>
    </w:tblGrid>
    <w:tr w:rsidR="00A87AC6" w14:paraId="6E205A0C" w14:textId="77777777">
      <w:tc>
        <w:tcPr>
          <w:tcW w:w="4653" w:type="dxa"/>
        </w:tcPr>
        <w:p w14:paraId="0000010C" w14:textId="77777777" w:rsidR="00A87AC6" w:rsidRDefault="00A87A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115"/>
            <w:rPr>
              <w:color w:val="000000"/>
              <w:sz w:val="20"/>
              <w:szCs w:val="20"/>
            </w:rPr>
          </w:pPr>
        </w:p>
      </w:tc>
      <w:tc>
        <w:tcPr>
          <w:tcW w:w="4653" w:type="dxa"/>
        </w:tcPr>
        <w:p w14:paraId="0000010D" w14:textId="77777777" w:rsidR="00A87AC6" w:rsidRDefault="00A87A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0000"/>
              <w:sz w:val="20"/>
              <w:szCs w:val="20"/>
            </w:rPr>
          </w:pPr>
        </w:p>
      </w:tc>
      <w:tc>
        <w:tcPr>
          <w:tcW w:w="4653" w:type="dxa"/>
        </w:tcPr>
        <w:p w14:paraId="0000010E" w14:textId="77777777" w:rsidR="00A87AC6" w:rsidRDefault="00A87A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115"/>
            <w:jc w:val="right"/>
            <w:rPr>
              <w:color w:val="000000"/>
              <w:sz w:val="20"/>
              <w:szCs w:val="20"/>
            </w:rPr>
          </w:pPr>
        </w:p>
      </w:tc>
    </w:tr>
  </w:tbl>
  <w:p w14:paraId="0000010F" w14:textId="77777777" w:rsidR="00A87AC6" w:rsidRDefault="00A87AC6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2505B"/>
    <w:multiLevelType w:val="hybridMultilevel"/>
    <w:tmpl w:val="D26875A6"/>
    <w:lvl w:ilvl="0" w:tplc="88326FE2">
      <w:start w:val="1"/>
      <w:numFmt w:val="lowerLetter"/>
      <w:lvlText w:val="(%1)"/>
      <w:lvlJc w:val="left"/>
      <w:pPr>
        <w:ind w:left="270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3420" w:hanging="360"/>
      </w:pPr>
    </w:lvl>
    <w:lvl w:ilvl="2" w:tplc="4809001B" w:tentative="1">
      <w:start w:val="1"/>
      <w:numFmt w:val="lowerRoman"/>
      <w:lvlText w:val="%3."/>
      <w:lvlJc w:val="right"/>
      <w:pPr>
        <w:ind w:left="4140" w:hanging="180"/>
      </w:pPr>
    </w:lvl>
    <w:lvl w:ilvl="3" w:tplc="4809000F" w:tentative="1">
      <w:start w:val="1"/>
      <w:numFmt w:val="decimal"/>
      <w:lvlText w:val="%4."/>
      <w:lvlJc w:val="left"/>
      <w:pPr>
        <w:ind w:left="4860" w:hanging="360"/>
      </w:pPr>
    </w:lvl>
    <w:lvl w:ilvl="4" w:tplc="48090019" w:tentative="1">
      <w:start w:val="1"/>
      <w:numFmt w:val="lowerLetter"/>
      <w:lvlText w:val="%5."/>
      <w:lvlJc w:val="left"/>
      <w:pPr>
        <w:ind w:left="5580" w:hanging="360"/>
      </w:pPr>
    </w:lvl>
    <w:lvl w:ilvl="5" w:tplc="4809001B" w:tentative="1">
      <w:start w:val="1"/>
      <w:numFmt w:val="lowerRoman"/>
      <w:lvlText w:val="%6."/>
      <w:lvlJc w:val="right"/>
      <w:pPr>
        <w:ind w:left="6300" w:hanging="180"/>
      </w:pPr>
    </w:lvl>
    <w:lvl w:ilvl="6" w:tplc="4809000F" w:tentative="1">
      <w:start w:val="1"/>
      <w:numFmt w:val="decimal"/>
      <w:lvlText w:val="%7."/>
      <w:lvlJc w:val="left"/>
      <w:pPr>
        <w:ind w:left="7020" w:hanging="360"/>
      </w:pPr>
    </w:lvl>
    <w:lvl w:ilvl="7" w:tplc="48090019" w:tentative="1">
      <w:start w:val="1"/>
      <w:numFmt w:val="lowerLetter"/>
      <w:lvlText w:val="%8."/>
      <w:lvlJc w:val="left"/>
      <w:pPr>
        <w:ind w:left="7740" w:hanging="360"/>
      </w:pPr>
    </w:lvl>
    <w:lvl w:ilvl="8" w:tplc="48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6"/>
    <w:rsid w:val="000442B4"/>
    <w:rsid w:val="000A3BC7"/>
    <w:rsid w:val="000B2B42"/>
    <w:rsid w:val="000D493C"/>
    <w:rsid w:val="000F24A3"/>
    <w:rsid w:val="0014322C"/>
    <w:rsid w:val="00190F64"/>
    <w:rsid w:val="0025475F"/>
    <w:rsid w:val="00376373"/>
    <w:rsid w:val="003A1F4F"/>
    <w:rsid w:val="003A4F55"/>
    <w:rsid w:val="003A7BE6"/>
    <w:rsid w:val="00401293"/>
    <w:rsid w:val="0040579F"/>
    <w:rsid w:val="00475138"/>
    <w:rsid w:val="005936EB"/>
    <w:rsid w:val="005A6E60"/>
    <w:rsid w:val="005C3444"/>
    <w:rsid w:val="006164D6"/>
    <w:rsid w:val="006E56D7"/>
    <w:rsid w:val="006F150D"/>
    <w:rsid w:val="006F2099"/>
    <w:rsid w:val="00744B18"/>
    <w:rsid w:val="007E0103"/>
    <w:rsid w:val="007F6A3A"/>
    <w:rsid w:val="008514A3"/>
    <w:rsid w:val="00892C4A"/>
    <w:rsid w:val="008A6465"/>
    <w:rsid w:val="008B49E2"/>
    <w:rsid w:val="008E4151"/>
    <w:rsid w:val="0090243B"/>
    <w:rsid w:val="00930D26"/>
    <w:rsid w:val="009D439A"/>
    <w:rsid w:val="009E3A33"/>
    <w:rsid w:val="00A87AC6"/>
    <w:rsid w:val="00AD5195"/>
    <w:rsid w:val="00AE1C71"/>
    <w:rsid w:val="00BC3D5B"/>
    <w:rsid w:val="00C86BFF"/>
    <w:rsid w:val="00CB3E3A"/>
    <w:rsid w:val="00CF04BA"/>
    <w:rsid w:val="00D6071C"/>
    <w:rsid w:val="00D70E7D"/>
    <w:rsid w:val="00DB62E6"/>
    <w:rsid w:val="00E1768E"/>
    <w:rsid w:val="00E348A5"/>
    <w:rsid w:val="00F30955"/>
    <w:rsid w:val="00F46015"/>
    <w:rsid w:val="00F5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8C10"/>
  <w15:docId w15:val="{BBFB37BA-2BBC-4F85-BE0D-7C87B1C1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DF0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E0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E0DF0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E0DF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E0DF0"/>
    <w:rPr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E0DF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0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DF0"/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9E0DF0"/>
    <w:pPr>
      <w:spacing w:after="0" w:line="240" w:lineRule="auto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F0"/>
    <w:rPr>
      <w:rFonts w:ascii="Segoe UI" w:hAnsi="Segoe UI" w:cs="Segoe UI"/>
      <w:sz w:val="18"/>
      <w:szCs w:val="18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9E0DF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3444"/>
    <w:rPr>
      <w:color w:val="808080"/>
    </w:rPr>
  </w:style>
  <w:style w:type="paragraph" w:styleId="ListParagraph">
    <w:name w:val="List Paragraph"/>
    <w:basedOn w:val="Normal"/>
    <w:uiPriority w:val="34"/>
    <w:qFormat/>
    <w:rsid w:val="003A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bl22w+SKR0t0998CYRsUVNxHqQ==">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DEA0B0-8E47-4B45-8A16-5EC10676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10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Gwee Xiao Wei</dc:creator>
  <cp:lastModifiedBy>Sylvia Gwee Xiao Wei</cp:lastModifiedBy>
  <cp:revision>13</cp:revision>
  <dcterms:created xsi:type="dcterms:W3CDTF">2020-10-21T16:11:00Z</dcterms:created>
  <dcterms:modified xsi:type="dcterms:W3CDTF">2021-03-23T02:44:00Z</dcterms:modified>
</cp:coreProperties>
</file>