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446" w:rsidRPr="00991A03" w:rsidRDefault="00435446" w:rsidP="00435446">
      <w:pPr>
        <w:spacing w:line="360" w:lineRule="auto"/>
        <w:rPr>
          <w:b/>
          <w:bCs/>
          <w:szCs w:val="24"/>
        </w:rPr>
      </w:pPr>
      <w:r w:rsidRPr="00991A03">
        <w:rPr>
          <w:b/>
          <w:bCs/>
          <w:szCs w:val="24"/>
        </w:rPr>
        <w:t>Supplementary figures</w:t>
      </w:r>
      <w:r>
        <w:rPr>
          <w:b/>
          <w:bCs/>
          <w:szCs w:val="24"/>
        </w:rPr>
        <w:t>:</w:t>
      </w:r>
    </w:p>
    <w:p w:rsidR="00435446" w:rsidRDefault="00435446" w:rsidP="00435446">
      <w:pPr>
        <w:spacing w:line="360" w:lineRule="auto"/>
        <w:rPr>
          <w:szCs w:val="24"/>
        </w:rPr>
      </w:pPr>
      <w:r w:rsidRPr="00991A03">
        <w:rPr>
          <w:b/>
          <w:bCs/>
          <w:szCs w:val="24"/>
        </w:rPr>
        <w:t>Figure S1:</w:t>
      </w:r>
      <w:r>
        <w:rPr>
          <w:szCs w:val="24"/>
        </w:rPr>
        <w:t xml:space="preserve"> Visualization of protein levels in the different lesions for proteins known to be involved in the Warburg effect.</w:t>
      </w:r>
      <w:r>
        <w:rPr>
          <w:szCs w:val="24"/>
        </w:rPr>
        <w:br w:type="page"/>
      </w:r>
    </w:p>
    <w:p w:rsidR="00435446" w:rsidRDefault="00435446" w:rsidP="00435446">
      <w:pPr>
        <w:spacing w:line="360" w:lineRule="auto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73B147E0" wp14:editId="731F5FA6">
            <wp:extent cx="5760000" cy="3196780"/>
            <wp:effectExtent l="0" t="0" r="0" b="3810"/>
            <wp:docPr id="7" name="Image 7" descr="Une image contenant capture d’écran, afficher, horlo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capture d’écran, afficher, horlog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9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5446" w:rsidRDefault="00435446" w:rsidP="00435446">
      <w:pPr>
        <w:spacing w:line="360" w:lineRule="auto"/>
        <w:rPr>
          <w:szCs w:val="24"/>
        </w:rPr>
      </w:pPr>
      <w:r>
        <w:rPr>
          <w:noProof/>
          <w:szCs w:val="24"/>
        </w:rPr>
        <w:drawing>
          <wp:inline distT="0" distB="0" distL="0" distR="0" wp14:anchorId="15A54623" wp14:editId="008076AC">
            <wp:extent cx="5760000" cy="3123877"/>
            <wp:effectExtent l="0" t="0" r="0" b="635"/>
            <wp:docPr id="8" name="Image 8" descr="Une image contenant grand, afficher, tena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grand, afficher, tenan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23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5446" w:rsidRDefault="00435446" w:rsidP="00435446">
      <w:pPr>
        <w:spacing w:line="360" w:lineRule="auto"/>
        <w:rPr>
          <w:b/>
          <w:sz w:val="22"/>
        </w:rPr>
      </w:pPr>
      <w:r>
        <w:rPr>
          <w:szCs w:val="24"/>
        </w:rPr>
        <w:t xml:space="preserve">Figure S1: </w:t>
      </w:r>
      <w:r w:rsidRPr="003C362E">
        <w:rPr>
          <w:b/>
          <w:bCs/>
          <w:szCs w:val="24"/>
        </w:rPr>
        <w:t>Visualization of protein levels in the different lesions for proteins known to be involved in the Warburg effect.</w:t>
      </w:r>
      <w:r>
        <w:rPr>
          <w:szCs w:val="24"/>
        </w:rPr>
        <w:t xml:space="preserve"> Log(LFQ) values were used for the representation of </w:t>
      </w:r>
      <w:r w:rsidRPr="008E33DC">
        <w:rPr>
          <w:szCs w:val="24"/>
        </w:rPr>
        <w:t>Fructose-bisphosphate aldolase A</w:t>
      </w:r>
      <w:r>
        <w:rPr>
          <w:szCs w:val="24"/>
        </w:rPr>
        <w:t xml:space="preserve"> (ALDOA), </w:t>
      </w:r>
      <w:r w:rsidRPr="008E33DC">
        <w:rPr>
          <w:szCs w:val="24"/>
        </w:rPr>
        <w:t>Triosephosphate isomerase</w:t>
      </w:r>
      <w:r>
        <w:rPr>
          <w:szCs w:val="24"/>
        </w:rPr>
        <w:t xml:space="preserve"> (TPI1), </w:t>
      </w:r>
      <w:r w:rsidRPr="008E33DC">
        <w:rPr>
          <w:rFonts w:ascii="Calibri" w:eastAsia="Times New Roman" w:hAnsi="Calibri" w:cs="Calibri"/>
          <w:color w:val="000000"/>
          <w:lang w:eastAsia="fr-FR"/>
        </w:rPr>
        <w:t>Glyceraldehyde-3-phosphate dehydrogenase</w:t>
      </w:r>
      <w:r>
        <w:rPr>
          <w:rFonts w:ascii="Calibri" w:eastAsia="Times New Roman" w:hAnsi="Calibri" w:cs="Calibri"/>
          <w:color w:val="000000"/>
          <w:lang w:eastAsia="fr-FR"/>
        </w:rPr>
        <w:t xml:space="preserve"> (GAPDH), </w:t>
      </w:r>
      <w:r w:rsidRPr="008E33DC">
        <w:rPr>
          <w:rFonts w:ascii="Calibri" w:eastAsia="Times New Roman" w:hAnsi="Calibri" w:cs="Calibri"/>
          <w:color w:val="000000"/>
          <w:lang w:eastAsia="fr-FR"/>
        </w:rPr>
        <w:t>Alpha-enolase</w:t>
      </w:r>
      <w:r>
        <w:rPr>
          <w:rFonts w:ascii="Calibri" w:eastAsia="Times New Roman" w:hAnsi="Calibri" w:cs="Calibri"/>
          <w:color w:val="000000"/>
          <w:lang w:eastAsia="fr-FR"/>
        </w:rPr>
        <w:t xml:space="preserve"> (ENO1), </w:t>
      </w:r>
      <w:r w:rsidRPr="008E33DC">
        <w:rPr>
          <w:rFonts w:ascii="Calibri" w:eastAsia="Times New Roman" w:hAnsi="Calibri" w:cs="Calibri"/>
          <w:color w:val="000000"/>
          <w:lang w:eastAsia="fr-FR"/>
        </w:rPr>
        <w:t>Pyruvate kinase PKM</w:t>
      </w:r>
      <w:r>
        <w:rPr>
          <w:rFonts w:ascii="Calibri" w:eastAsia="Times New Roman" w:hAnsi="Calibri" w:cs="Calibri"/>
          <w:color w:val="000000"/>
          <w:lang w:eastAsia="fr-FR"/>
        </w:rPr>
        <w:t xml:space="preserve"> (PKM), </w:t>
      </w:r>
      <w:r w:rsidRPr="008E33DC">
        <w:rPr>
          <w:rFonts w:ascii="Calibri" w:eastAsia="Times New Roman" w:hAnsi="Calibri" w:cs="Calibri"/>
          <w:color w:val="000000"/>
          <w:lang w:eastAsia="fr-FR"/>
        </w:rPr>
        <w:t>Hexokinase-1</w:t>
      </w:r>
      <w:r>
        <w:rPr>
          <w:rFonts w:ascii="Calibri" w:eastAsia="Times New Roman" w:hAnsi="Calibri" w:cs="Calibri"/>
          <w:color w:val="000000"/>
          <w:lang w:eastAsia="fr-FR"/>
        </w:rPr>
        <w:t xml:space="preserve"> (HK1), </w:t>
      </w:r>
      <w:r w:rsidRPr="008E33DC">
        <w:rPr>
          <w:rFonts w:ascii="Calibri" w:eastAsia="Times New Roman" w:hAnsi="Calibri" w:cs="Calibri"/>
          <w:color w:val="000000"/>
          <w:lang w:eastAsia="fr-FR"/>
        </w:rPr>
        <w:t>Glucose-6-phosphate isomerase</w:t>
      </w:r>
      <w:r>
        <w:rPr>
          <w:rFonts w:ascii="Calibri" w:eastAsia="Times New Roman" w:hAnsi="Calibri" w:cs="Calibri"/>
          <w:color w:val="000000"/>
          <w:lang w:eastAsia="fr-FR"/>
        </w:rPr>
        <w:t xml:space="preserve"> (GPI) and </w:t>
      </w:r>
      <w:r w:rsidRPr="008E33DC">
        <w:rPr>
          <w:rFonts w:ascii="Calibri" w:eastAsia="Times New Roman" w:hAnsi="Calibri" w:cs="Calibri"/>
          <w:color w:val="000000"/>
          <w:lang w:eastAsia="fr-FR"/>
        </w:rPr>
        <w:t>L-lactate dehydrogenase A chain</w:t>
      </w:r>
      <w:r>
        <w:rPr>
          <w:rFonts w:ascii="Calibri" w:eastAsia="Times New Roman" w:hAnsi="Calibri" w:cs="Calibri"/>
          <w:color w:val="000000"/>
          <w:lang w:eastAsia="fr-FR"/>
        </w:rPr>
        <w:t xml:space="preserve"> (LDHA). A</w:t>
      </w:r>
      <w:r>
        <w:rPr>
          <w:szCs w:val="24"/>
        </w:rPr>
        <w:t xml:space="preserve"> t-test is used to compare the value between normal tissue and each lesion. P-value is represented by stars (*** p &lt; 0.001, ** p &lt; 0.01 , * p &lt; 0.05 no star for p &gt; 0.05).</w:t>
      </w:r>
    </w:p>
    <w:p w:rsidR="00F4526F" w:rsidRDefault="00F4526F">
      <w:bookmarkStart w:id="0" w:name="_GoBack"/>
      <w:bookmarkEnd w:id="0"/>
    </w:p>
    <w:sectPr w:rsidR="00F4526F" w:rsidSect="00AD78DA">
      <w:footerReference w:type="default" r:id="rId6"/>
      <w:endnotePr>
        <w:numFmt w:val="decimal"/>
      </w:endnotePr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77876360"/>
      <w:docPartObj>
        <w:docPartGallery w:val="Page Numbers (Bottom of Page)"/>
        <w:docPartUnique/>
      </w:docPartObj>
    </w:sdtPr>
    <w:sdtEndPr/>
    <w:sdtContent>
      <w:p w:rsidR="00AD78DA" w:rsidRDefault="00435446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35446">
          <w:rPr>
            <w:noProof/>
            <w:lang w:val="fr-FR"/>
          </w:rPr>
          <w:t>3</w:t>
        </w:r>
        <w:r>
          <w:rPr>
            <w:noProof/>
            <w:lang w:val="fr-FR"/>
          </w:rPr>
          <w:fldChar w:fldCharType="end"/>
        </w:r>
      </w:p>
    </w:sdtContent>
  </w:sdt>
  <w:p w:rsidR="00AD78DA" w:rsidRDefault="0043544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446"/>
    <w:rsid w:val="003A0A23"/>
    <w:rsid w:val="00435446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448739-2B27-4AF9-94FD-21F0EC9F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446"/>
    <w:pPr>
      <w:spacing w:after="200" w:line="480" w:lineRule="auto"/>
      <w:jc w:val="both"/>
    </w:pPr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354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446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663</Characters>
  <Application>Microsoft Office Word</Application>
  <DocSecurity>0</DocSecurity>
  <Lines>5</Lines>
  <Paragraphs>1</Paragraphs>
  <ScaleCrop>false</ScaleCrop>
  <Company>Springer Nature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2021-01-25T04:06:00Z</dcterms:created>
  <dcterms:modified xsi:type="dcterms:W3CDTF">2021-01-25T04:06:00Z</dcterms:modified>
</cp:coreProperties>
</file>