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E0D5D" w14:textId="783E3DA2" w:rsidR="00DB5F1C" w:rsidRPr="00237D5E" w:rsidRDefault="00237D5E" w:rsidP="00015DAC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ArialUnicodeMS" w:hAnsi="Times New Roman" w:cs="Times New Roman"/>
          <w:b/>
          <w:color w:val="000000"/>
          <w:kern w:val="0"/>
          <w:sz w:val="32"/>
          <w:szCs w:val="24"/>
        </w:rPr>
      </w:pPr>
      <w:bookmarkStart w:id="0" w:name="OLE_LINK59"/>
      <w:bookmarkStart w:id="1" w:name="OLE_LINK60"/>
      <w:bookmarkStart w:id="2" w:name="OLE_LINK25"/>
      <w:r w:rsidRPr="00237D5E">
        <w:rPr>
          <w:rFonts w:ascii="Times New Roman" w:eastAsia="ArialUnicodeMS" w:hAnsi="Times New Roman" w:cs="Times New Roman"/>
          <w:b/>
          <w:color w:val="000000"/>
          <w:kern w:val="0"/>
          <w:sz w:val="32"/>
          <w:szCs w:val="24"/>
        </w:rPr>
        <w:t>S</w:t>
      </w:r>
      <w:r w:rsidRPr="00237D5E">
        <w:rPr>
          <w:rFonts w:ascii="Times New Roman" w:eastAsia="ArialUnicodeMS" w:hAnsi="Times New Roman" w:cs="Times New Roman" w:hint="eastAsia"/>
          <w:b/>
          <w:color w:val="000000"/>
          <w:kern w:val="0"/>
          <w:sz w:val="32"/>
          <w:szCs w:val="24"/>
        </w:rPr>
        <w:t>upplementary</w:t>
      </w:r>
      <w:r w:rsidRPr="00237D5E">
        <w:rPr>
          <w:rFonts w:ascii="Times New Roman" w:eastAsia="ArialUnicodeMS" w:hAnsi="Times New Roman" w:cs="Times New Roman"/>
          <w:b/>
          <w:color w:val="000000"/>
          <w:kern w:val="0"/>
          <w:sz w:val="32"/>
          <w:szCs w:val="24"/>
        </w:rPr>
        <w:t xml:space="preserve"> I</w:t>
      </w:r>
      <w:r w:rsidRPr="00237D5E">
        <w:rPr>
          <w:rFonts w:ascii="Times New Roman" w:eastAsia="ArialUnicodeMS" w:hAnsi="Times New Roman" w:cs="Times New Roman" w:hint="eastAsia"/>
          <w:b/>
          <w:color w:val="000000"/>
          <w:kern w:val="0"/>
          <w:sz w:val="32"/>
          <w:szCs w:val="24"/>
        </w:rPr>
        <w:t>nformation</w:t>
      </w:r>
    </w:p>
    <w:p w14:paraId="0CE372AB" w14:textId="77777777" w:rsidR="00840E93" w:rsidRPr="00AC63DC" w:rsidRDefault="00840E93" w:rsidP="00015DA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63DC"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Cytotoxicity analysis </w:t>
      </w:r>
      <w:bookmarkEnd w:id="0"/>
      <w:bookmarkEnd w:id="1"/>
      <w:r w:rsidRPr="00AC63DC"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of</w:t>
      </w:r>
      <w:r w:rsidRPr="00AC63DC">
        <w:rPr>
          <w:rFonts w:ascii="Times New Roman" w:hAnsi="Times New Roman" w:cs="Times New Roman"/>
          <w:b/>
          <w:sz w:val="24"/>
          <w:szCs w:val="24"/>
        </w:rPr>
        <w:t xml:space="preserve"> biomass combustion particles in human pulmonary alveolar epithelial cells on an air-liquid interface/dynamic culture platform</w:t>
      </w:r>
    </w:p>
    <w:p w14:paraId="416374BA" w14:textId="77777777" w:rsidR="00BA6EE8" w:rsidRDefault="00BA6EE8" w:rsidP="00BA6EE8">
      <w:pPr>
        <w:autoSpaceDE w:val="0"/>
        <w:autoSpaceDN w:val="0"/>
        <w:adjustRightInd w:val="0"/>
        <w:spacing w:line="480" w:lineRule="auto"/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  <w:vertAlign w:val="superscript"/>
        </w:rPr>
      </w:pPr>
      <w:bookmarkStart w:id="3" w:name="_Hlk529286555"/>
      <w:bookmarkEnd w:id="2"/>
      <w:proofErr w:type="spellStart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Shaorui</w:t>
      </w:r>
      <w:proofErr w:type="spellEnd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Ke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  <w:vertAlign w:val="superscript"/>
        </w:rPr>
        <w:t>1,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2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, </w:t>
      </w:r>
      <w:bookmarkStart w:id="4" w:name="OLE_LINK7"/>
      <w:bookmarkStart w:id="5" w:name="OLE_LINK8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Qi Liu</w:t>
      </w:r>
      <w:bookmarkEnd w:id="4"/>
      <w:bookmarkEnd w:id="5"/>
      <w:proofErr w:type="gramStart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  <w:vertAlign w:val="superscript"/>
        </w:rPr>
        <w:t>2,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,</w:t>
      </w:r>
      <w:proofErr w:type="gramEnd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Xinlian</w:t>
      </w:r>
      <w:proofErr w:type="spellEnd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</w:t>
      </w:r>
      <w:bookmarkStart w:id="6" w:name="OLE_LINK10"/>
      <w:bookmarkStart w:id="7" w:name="OLE_LINK11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Zhang</w:t>
      </w:r>
      <w:bookmarkEnd w:id="6"/>
      <w:bookmarkEnd w:id="7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Yuhan</w:t>
      </w:r>
      <w:proofErr w:type="spellEnd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Yao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Xudong</w:t>
      </w:r>
      <w:proofErr w:type="spellEnd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Yang*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  <w:vertAlign w:val="superscript"/>
        </w:rPr>
        <w:t>,3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Guodong</w:t>
      </w:r>
      <w:proofErr w:type="spellEnd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Sui*</w:t>
      </w: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  <w:vertAlign w:val="superscript"/>
        </w:rPr>
        <w:t>,2,4</w:t>
      </w:r>
    </w:p>
    <w:p w14:paraId="1F81CAE8" w14:textId="77777777" w:rsidR="00BA6EE8" w:rsidRDefault="00BA6EE8" w:rsidP="00BA6EE8">
      <w:pPr>
        <w:autoSpaceDE w:val="0"/>
        <w:autoSpaceDN w:val="0"/>
        <w:adjustRightInd w:val="0"/>
        <w:spacing w:line="480" w:lineRule="auto"/>
        <w:rPr>
          <w:rFonts w:ascii="Times New Roman" w:eastAsia="ArialUnicodeMS" w:hAnsi="Times New Roman" w:cs="Times New Roman"/>
          <w:color w:val="000000"/>
          <w:kern w:val="0"/>
          <w:sz w:val="24"/>
          <w:szCs w:val="24"/>
          <w:vertAlign w:val="superscript"/>
        </w:rPr>
      </w:pP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  <w:vertAlign w:val="superscript"/>
        </w:rPr>
        <w:t xml:space="preserve">1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Co-construction Collaborative Innovation Center for Chinese Medicine and Respiratory Diseases by Henan &amp; Education Ministry of P.R. China, Academy of Chinese Medical Sciences, Henan University of Chinese Medicine, Zhengzhou 450046, China.</w:t>
      </w:r>
    </w:p>
    <w:p w14:paraId="5151D6C2" w14:textId="77777777" w:rsidR="00BA6EE8" w:rsidRDefault="00BA6EE8" w:rsidP="00BA6EE8">
      <w:pPr>
        <w:autoSpaceDE w:val="0"/>
        <w:autoSpaceDN w:val="0"/>
        <w:adjustRightInd w:val="0"/>
        <w:spacing w:line="480" w:lineRule="auto"/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  <w:vertAlign w:val="superscript"/>
        </w:rPr>
        <w:t xml:space="preserve">2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Shanghai Key Laboratory of Atmospheric Particle Pollution Prevention (LAP3), Department of Environmental Science &amp; Engineering, Fudan University, Shanghai 200433, P.R. China.</w:t>
      </w:r>
    </w:p>
    <w:p w14:paraId="4BA8BE52" w14:textId="77777777" w:rsidR="00BA6EE8" w:rsidRDefault="00BA6EE8" w:rsidP="00BA6EE8">
      <w:pPr>
        <w:autoSpaceDE w:val="0"/>
        <w:autoSpaceDN w:val="0"/>
        <w:adjustRightInd w:val="0"/>
        <w:spacing w:line="480" w:lineRule="auto"/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Department of Building Science, Tsinghua University, Beijing 100084,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P.R. China.</w:t>
      </w:r>
    </w:p>
    <w:p w14:paraId="239A3492" w14:textId="77777777" w:rsidR="00BA6EE8" w:rsidRDefault="00BA6EE8" w:rsidP="00BA6EE8">
      <w:pPr>
        <w:autoSpaceDE w:val="0"/>
        <w:autoSpaceDN w:val="0"/>
        <w:adjustRightInd w:val="0"/>
        <w:spacing w:line="480" w:lineRule="auto"/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  <w:vertAlign w:val="superscript"/>
        </w:rPr>
        <w:t>4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Jiangsu Collaborative Innovation Center of Atmospheric Environment and Equipment Technology (CICAEET), Nanjing University of Information Science &amp; Technology, Nanjing 210044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P.R. China.</w:t>
      </w:r>
    </w:p>
    <w:p w14:paraId="0B93B810" w14:textId="77777777" w:rsidR="00AD3A35" w:rsidRPr="00AC63DC" w:rsidRDefault="00AD3A35" w:rsidP="00015DAC">
      <w:pPr>
        <w:autoSpaceDE w:val="0"/>
        <w:autoSpaceDN w:val="0"/>
        <w:adjustRightInd w:val="0"/>
        <w:spacing w:line="480" w:lineRule="auto"/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</w:pPr>
      <w:r w:rsidRPr="00AC63DC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>Methods and Materials</w:t>
      </w:r>
    </w:p>
    <w:bookmarkEnd w:id="3"/>
    <w:p w14:paraId="3D08E8F9" w14:textId="77777777" w:rsidR="00AD3A35" w:rsidRPr="00AC63DC" w:rsidRDefault="00AD3A35" w:rsidP="00015DAC">
      <w:pPr>
        <w:spacing w:line="480" w:lineRule="auto"/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</w:pPr>
      <w:r w:rsidRPr="00AC63DC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 xml:space="preserve">Chemicals and reagents </w:t>
      </w:r>
    </w:p>
    <w:p w14:paraId="7047DEA7" w14:textId="7BE5D777" w:rsidR="00D505B0" w:rsidRDefault="00AD3A35" w:rsidP="00015DAC">
      <w:pPr>
        <w:spacing w:line="480" w:lineRule="auto"/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</w:pPr>
      <w:r w:rsidRPr="00AC63DC">
        <w:rPr>
          <w:rFonts w:ascii="Times New Roman" w:hAnsi="Times New Roman" w:cs="Times New Roman"/>
          <w:sz w:val="24"/>
          <w:szCs w:val="24"/>
        </w:rPr>
        <w:t>Human pulmonary alveolar epithelial cells (</w:t>
      </w:r>
      <w:proofErr w:type="spellStart"/>
      <w:r w:rsidRPr="00AC63DC">
        <w:rPr>
          <w:rFonts w:ascii="Times New Roman" w:hAnsi="Times New Roman" w:cs="Times New Roman"/>
          <w:sz w:val="24"/>
          <w:szCs w:val="24"/>
        </w:rPr>
        <w:t>HPAEpiC</w:t>
      </w:r>
      <w:proofErr w:type="spellEnd"/>
      <w:r w:rsidRPr="00AC63DC">
        <w:rPr>
          <w:rFonts w:ascii="Times New Roman" w:hAnsi="Times New Roman" w:cs="Times New Roman"/>
          <w:sz w:val="24"/>
          <w:szCs w:val="24"/>
        </w:rPr>
        <w:t xml:space="preserve">) were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obtained </w:t>
      </w:r>
      <w:r w:rsidRPr="00AC63DC">
        <w:rPr>
          <w:rFonts w:ascii="Times New Roman" w:hAnsi="Times New Roman" w:cs="Times New Roman"/>
          <w:sz w:val="24"/>
          <w:szCs w:val="24"/>
        </w:rPr>
        <w:t>from the Shanghai Institute of Cellular Resources, Chinese Academy of Sciences, China.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Polydimethylsiloxane (PDMS) was </w:t>
      </w:r>
      <w:r w:rsidRPr="00AC63DC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acquired from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Momentive Specialty Chemicals, USA. Fetal bovine serum (FBS), 0.25%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t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rypsin</w:t>
      </w:r>
      <w:r w:rsidRPr="00AC63DC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-EDTA</w:t>
      </w:r>
      <w:r w:rsidR="00181BF1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s</w:t>
      </w:r>
      <w:r w:rsidR="00181BF1" w:rsidRPr="00181BF1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olution</w:t>
      </w:r>
      <w:r w:rsidRPr="00AC63DC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,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d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ulbecco</w:t>
      </w:r>
      <w:r w:rsidR="00237D5E" w:rsidRPr="003C620F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>'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s</w:t>
      </w:r>
      <w:proofErr w:type="spellEnd"/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m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odified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lastRenderedPageBreak/>
        <w:t>e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agle</w:t>
      </w:r>
      <w:r w:rsidR="00237D5E" w:rsidRPr="003C620F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>'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s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m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edium (DMEM) with high glucose,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p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enicillin</w:t>
      </w:r>
      <w:r w:rsidR="00181BF1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/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s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treptomycin</w:t>
      </w:r>
      <w:r w:rsidR="00181BF1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s</w:t>
      </w:r>
      <w:r w:rsidR="00181BF1" w:rsidRPr="00181BF1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olution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, and </w:t>
      </w:r>
      <w:r w:rsidR="00181BF1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p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hosphate buffered saline (PBS) were purchased from Thermo Fisher Scientific, USA.</w:t>
      </w:r>
      <w:r w:rsidRPr="00AC63DC">
        <w:rPr>
          <w:rFonts w:ascii="Times New Roman" w:hAnsi="Times New Roman" w:cs="Times New Roman"/>
          <w:sz w:val="24"/>
          <w:szCs w:val="24"/>
        </w:rPr>
        <w:t xml:space="preserve">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ROS Detection As</w:t>
      </w:r>
      <w:r w:rsidRPr="00513AC7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>say Kit,</w:t>
      </w:r>
      <w:r w:rsidR="00D83A90" w:rsidRPr="00513AC7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 xml:space="preserve"> Antioxidants</w:t>
      </w:r>
      <w:r w:rsidRPr="00513AC7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 xml:space="preserve"> </w:t>
      </w:r>
      <w:r w:rsidR="009535EA" w:rsidRPr="00513AC7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>N-acetyl-cysteine (NAC),</w:t>
      </w:r>
      <w:r w:rsidR="009535EA" w:rsidRPr="00513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13AC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AC63DC">
        <w:rPr>
          <w:rFonts w:ascii="Times New Roman" w:hAnsi="Times New Roman" w:cs="Times New Roman"/>
          <w:sz w:val="24"/>
          <w:szCs w:val="24"/>
        </w:rPr>
        <w:t xml:space="preserve">ubulin Tracker Red,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Enhanced BCA Protein Assay Kit, </w:t>
      </w:r>
      <w:r w:rsidR="00237D5E" w:rsidRPr="007576EF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T</w:t>
      </w:r>
      <w:r w:rsidR="00237D5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r</w:t>
      </w:r>
      <w:r w:rsidR="00237D5E" w:rsidRPr="007576EF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ypan</w:t>
      </w:r>
      <w:r w:rsidR="00237D5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237D5E" w:rsidRPr="007576EF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Blue</w:t>
      </w:r>
      <w:r w:rsidR="00237D5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237D5E" w:rsidRPr="007576EF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Staining Cell Viability</w:t>
      </w:r>
      <w:r w:rsidR="00237D5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237D5E" w:rsidRPr="007576EF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Assay</w:t>
      </w:r>
      <w:r w:rsidR="00237D5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237D5E" w:rsidRPr="007576EF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Kit</w:t>
      </w:r>
      <w:r w:rsidR="007576EF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,</w:t>
      </w:r>
      <w:r w:rsidR="00181BF1" w:rsidRPr="00181BF1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181BF1"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Annexin V-</w:t>
      </w:r>
      <w:r w:rsidR="00181BF1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F</w:t>
      </w:r>
      <w:r w:rsidR="00181BF1"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luorescein </w:t>
      </w:r>
      <w:r w:rsidR="00181BF1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I</w:t>
      </w:r>
      <w:r w:rsidR="00181BF1"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sothiocyanate (FITC) Apoptosis Detection Kit,</w:t>
      </w:r>
      <w:bookmarkStart w:id="8" w:name="_Hlk533191443"/>
      <w:r w:rsidR="00D83A90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8346CE"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Radio Immunoprecipitation Assay</w:t>
      </w:r>
      <w:r w:rsid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(RIPA)</w:t>
      </w:r>
      <w:bookmarkEnd w:id="8"/>
      <w:r w:rsidR="008346CE"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8346CE" w:rsidRPr="008346CE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l</w:t>
      </w:r>
      <w:r w:rsidR="008346CE"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ysis </w:t>
      </w:r>
      <w:r w:rsidR="008346CE">
        <w:rPr>
          <w:rFonts w:ascii="Times New Roman" w:eastAsia="ArialUnicodeMS" w:hAnsi="Times New Roman" w:cs="Times New Roman" w:hint="eastAsia"/>
          <w:bCs/>
          <w:color w:val="000000"/>
          <w:kern w:val="0"/>
          <w:sz w:val="24"/>
          <w:szCs w:val="24"/>
        </w:rPr>
        <w:t>b</w:t>
      </w:r>
      <w:r w:rsidR="008346CE"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uffer </w:t>
      </w:r>
      <w:r w:rsidR="00181BF1"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and</w:t>
      </w:r>
      <w:r w:rsidR="00181BF1"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4</w:t>
      </w:r>
      <w:r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′,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6-Diamidino-2-phenylindole-2-dihydrochloride (DAPI)</w:t>
      </w:r>
      <w:r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were </w:t>
      </w:r>
      <w:r w:rsidRPr="008346CE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purchased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from </w:t>
      </w:r>
      <w:proofErr w:type="spellStart"/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Beyotime</w:t>
      </w:r>
      <w:proofErr w:type="spellEnd"/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Biotechnology, China. </w:t>
      </w:r>
      <w:r w:rsidR="007576EF" w:rsidRPr="00181BF1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 xml:space="preserve">Bacterial </w:t>
      </w:r>
      <w:r w:rsidR="00237D5E" w:rsidRPr="00181BF1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>E</w:t>
      </w:r>
      <w:r w:rsidR="00A67E74" w:rsidRPr="00181BF1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 xml:space="preserve">ndotoxin </w:t>
      </w:r>
      <w:r w:rsidR="00A67E74" w:rsidRPr="00181B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ELISA </w:t>
      </w:r>
      <w:r w:rsidR="00237D5E" w:rsidRPr="00181BF1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="00A67E74" w:rsidRPr="00181B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</w:t>
      </w:r>
      <w:r w:rsidR="00A67E74" w:rsidRPr="00181BF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 w:rsidR="00A67E74" w:rsidRPr="00181BF1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 xml:space="preserve"> obtained </w:t>
      </w:r>
      <w:r w:rsidR="00A67E74" w:rsidRPr="00181B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r w:rsidR="00A67E74" w:rsidRPr="00181BF1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>Shanghai Enzyme-linked Biotechnology, China.</w:t>
      </w:r>
      <w:r w:rsidR="00A67E74" w:rsidRPr="00181BF1">
        <w:rPr>
          <w:rFonts w:ascii="Times New Roman" w:eastAsia="ArialUnicodeMS" w:hAnsi="Times New Roman" w:cs="Times New Roman" w:hint="eastAsia"/>
          <w:bCs/>
          <w:color w:val="000000" w:themeColor="text1"/>
          <w:kern w:val="0"/>
          <w:sz w:val="24"/>
          <w:szCs w:val="24"/>
        </w:rPr>
        <w:t xml:space="preserve">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PC membranes</w:t>
      </w:r>
      <w:r w:rsidRPr="00AC63DC">
        <w:rPr>
          <w:rFonts w:ascii="Times New Roman" w:hAnsi="Times New Roman" w:cs="Times New Roman"/>
          <w:sz w:val="24"/>
          <w:szCs w:val="24"/>
        </w:rPr>
        <w:t xml:space="preserve"> with 3 μm pore size </w:t>
      </w:r>
      <w:r w:rsidRPr="00AC63DC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were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obtained from</w:t>
      </w:r>
      <w:r w:rsidRPr="00AC63DC">
        <w:rPr>
          <w:rFonts w:ascii="Times New Roman" w:hAnsi="Times New Roman" w:cs="Times New Roman"/>
          <w:sz w:val="24"/>
          <w:szCs w:val="24"/>
        </w:rPr>
        <w:t xml:space="preserve">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Whatman, England. </w:t>
      </w:r>
      <w:r w:rsidRPr="00AC63DC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All antibodies were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procured from</w:t>
      </w:r>
      <w:r w:rsidRPr="00AC63DC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Abcam, Hong Kong. </w:t>
      </w:r>
      <w:r w:rsidRPr="00AC63DC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Other reagents were purchased from Sigma-Aldrich, USA.</w:t>
      </w:r>
    </w:p>
    <w:p w14:paraId="4D5EEB07" w14:textId="77777777" w:rsidR="00D505B0" w:rsidRPr="00015DAC" w:rsidRDefault="00D505B0" w:rsidP="00015DAC">
      <w:pPr>
        <w:autoSpaceDE w:val="0"/>
        <w:autoSpaceDN w:val="0"/>
        <w:adjustRightInd w:val="0"/>
        <w:spacing w:line="480" w:lineRule="auto"/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 xml:space="preserve">Optimization of dynamic culture </w:t>
      </w:r>
    </w:p>
    <w:p w14:paraId="3B87F17B" w14:textId="6AE2BB0D" w:rsidR="00D505B0" w:rsidRPr="00015DAC" w:rsidRDefault="00D505B0" w:rsidP="00015DAC">
      <w:pPr>
        <w:spacing w:line="480" w:lineRule="auto"/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To optimize the flow rate of dynamic culture,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HPAEpiC</w:t>
      </w:r>
      <w:proofErr w:type="spellEnd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were cultured on the ALI-DC platform with medium flowing at 10, 20, 30, 40 and 50 μl/min, respectively. Cells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cultured in the 96-well plates (with submerged condition) were taken as controls.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The cell </w:t>
      </w:r>
      <w:bookmarkStart w:id="9" w:name="_Hlk533189699"/>
      <w:r w:rsidRPr="00015DAC">
        <w:rPr>
          <w:rFonts w:ascii="Times New Roman" w:hAnsi="Times New Roman" w:cs="Times New Roman"/>
          <w:color w:val="FF0000"/>
          <w:sz w:val="24"/>
          <w:szCs w:val="24"/>
        </w:rPr>
        <w:t>viabilities</w:t>
      </w:r>
      <w:bookmarkEnd w:id="9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were measured at 6 h, 12 h, 24 h, 48 h, and 72 h.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Briefly, at the end of each experiment,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the medium was removed from the platform by washing with PBS solution. Afterwards,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0.25% trypsin solution was added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onto the surface of PC membranes to harvest cells.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C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ell viability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was tested using Trypan Blue Staining Cell Viability Assay Kit according to the manufacturer</w:t>
      </w:r>
      <w:r w:rsidRPr="00015DAC">
        <w:rPr>
          <w:rFonts w:ascii="Times New Roman" w:hAnsi="Times New Roman" w:cs="Times New Roman"/>
          <w:noProof/>
          <w:color w:val="FF0000"/>
          <w:kern w:val="0"/>
          <w:sz w:val="24"/>
          <w:szCs w:val="24"/>
        </w:rPr>
        <w:t>'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s instruction. </w:t>
      </w:r>
    </w:p>
    <w:p w14:paraId="6C38B027" w14:textId="77777777" w:rsidR="000D553B" w:rsidRPr="00015DAC" w:rsidRDefault="000D553B" w:rsidP="00015D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Determination of </w:t>
      </w: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 xml:space="preserve">cell viability and </w:t>
      </w:r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apoptosis rate </w:t>
      </w:r>
      <w:r w:rsidRPr="00015DAC">
        <w:rPr>
          <w:rFonts w:ascii="Times New Roman" w:hAnsi="Times New Roman" w:cs="Times New Roman" w:hint="eastAsia"/>
          <w:b/>
          <w:color w:val="FF0000"/>
          <w:sz w:val="24"/>
          <w:szCs w:val="24"/>
        </w:rPr>
        <w:t>after</w:t>
      </w:r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exposure to BCSCs</w:t>
      </w:r>
    </w:p>
    <w:p w14:paraId="55CAABE6" w14:textId="77556693" w:rsidR="00134AAC" w:rsidRPr="00015DAC" w:rsidRDefault="00134AAC" w:rsidP="00015DAC">
      <w:pPr>
        <w:spacing w:line="480" w:lineRule="auto"/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A</w:t>
      </w:r>
      <w:r w:rsidRPr="00015DAC">
        <w:rPr>
          <w:rFonts w:ascii="Times New Roman" w:eastAsia="微软雅黑" w:hAnsi="Times New Roman" w:cs="Times New Roman"/>
          <w:bCs/>
          <w:color w:val="FF0000"/>
          <w:kern w:val="0"/>
          <w:sz w:val="24"/>
          <w:szCs w:val="24"/>
        </w:rPr>
        <w:t>fter exposure to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BCSCs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at concentrations of 0, 25, 50, 100, and 200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μg</w:t>
      </w:r>
      <w:proofErr w:type="spellEnd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/ml </w:t>
      </w:r>
      <w:r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>for 24 h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,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lastRenderedPageBreak/>
        <w:t xml:space="preserve">the cells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on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the</w:t>
      </w:r>
      <w:r w:rsidR="00D505B0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ALI-DC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platform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and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="006944C7"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the</w:t>
      </w:r>
      <w:r w:rsidR="006944C7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96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-well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plates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were collected in</w:t>
      </w:r>
      <w:r w:rsidR="00D83A90"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to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flow cytometry tube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s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, respectively. </w:t>
      </w:r>
      <w:r w:rsidR="006944C7" w:rsidRPr="00015DAC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="006944C7"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he</w:t>
      </w:r>
      <w:r w:rsidR="006944C7"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cell viabilit</w:t>
      </w:r>
      <w:r w:rsidR="006944C7"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ies</w:t>
      </w:r>
      <w:r w:rsidR="006944C7"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w</w:t>
      </w:r>
      <w:r w:rsidR="006944C7"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ere</w:t>
      </w:r>
      <w:r w:rsidR="006944C7"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measured</w:t>
      </w:r>
      <w:r w:rsidR="006944C7"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</w:t>
      </w:r>
      <w:r w:rsidR="006944C7" w:rsidRPr="00015DAC">
        <w:rPr>
          <w:rFonts w:ascii="Times New Roman" w:hAnsi="Times New Roman" w:cs="Times New Roman"/>
          <w:color w:val="FF0000"/>
          <w:sz w:val="24"/>
          <w:szCs w:val="24"/>
        </w:rPr>
        <w:t>following the method mentioned above</w:t>
      </w:r>
      <w:r w:rsidR="006944C7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.</w:t>
      </w:r>
      <w:r w:rsidR="006944C7"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</w:t>
      </w:r>
      <w:r w:rsidR="006944C7" w:rsidRPr="00015DAC">
        <w:rPr>
          <w:rFonts w:ascii="Times New Roman" w:eastAsia="ArialUnicodeMS" w:hAnsi="Times New Roman" w:cs="Times New Roman" w:hint="eastAsia"/>
          <w:color w:val="FF0000"/>
          <w:kern w:val="0"/>
          <w:sz w:val="24"/>
          <w:szCs w:val="24"/>
        </w:rPr>
        <w:t>For</w:t>
      </w:r>
      <w:r w:rsidR="006944C7"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</w:t>
      </w:r>
      <w:r w:rsidR="006944C7" w:rsidRPr="00015DAC">
        <w:rPr>
          <w:rFonts w:ascii="Times New Roman" w:eastAsia="ArialUnicodeMS" w:hAnsi="Times New Roman" w:cs="Times New Roman" w:hint="eastAsia"/>
          <w:color w:val="FF0000"/>
          <w:kern w:val="0"/>
          <w:sz w:val="24"/>
          <w:szCs w:val="24"/>
        </w:rPr>
        <w:t>evaluation</w:t>
      </w:r>
      <w:r w:rsidR="006944C7"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</w:t>
      </w:r>
      <w:r w:rsidR="006944C7" w:rsidRPr="00015DAC">
        <w:rPr>
          <w:rFonts w:ascii="Times New Roman" w:eastAsia="ArialUnicodeMS" w:hAnsi="Times New Roman" w:cs="Times New Roman" w:hint="eastAsia"/>
          <w:color w:val="FF0000"/>
          <w:kern w:val="0"/>
          <w:sz w:val="24"/>
          <w:szCs w:val="24"/>
        </w:rPr>
        <w:t>of</w:t>
      </w:r>
      <w:r w:rsidR="006944C7"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apoptosis rate, </w:t>
      </w:r>
      <w:r w:rsidR="006944C7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the collected cells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were </w:t>
      </w:r>
      <w:r w:rsidR="00D83A90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stained using Annexin V-FITC Apoptosis Detection Kit</w:t>
      </w:r>
      <w:r w:rsidR="00D83A90"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according to the manufacturer</w:t>
      </w:r>
      <w:r w:rsidRPr="00015DAC">
        <w:rPr>
          <w:rFonts w:ascii="Times New Roman" w:hAnsi="Times New Roman" w:cs="Times New Roman"/>
          <w:noProof/>
          <w:color w:val="FF0000"/>
          <w:kern w:val="0"/>
          <w:sz w:val="24"/>
          <w:szCs w:val="24"/>
        </w:rPr>
        <w:t>'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s instructions.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FITC and PI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were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both excited </w:t>
      </w:r>
      <w:r w:rsidRPr="00015DAC">
        <w:rPr>
          <w:rFonts w:ascii="Times New Roman" w:eastAsia="微软雅黑" w:hAnsi="Times New Roman" w:cs="Times New Roman"/>
          <w:bCs/>
          <w:color w:val="FF0000"/>
          <w:kern w:val="0"/>
          <w:sz w:val="24"/>
          <w:szCs w:val="24"/>
        </w:rPr>
        <w:t>by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a 488-nm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laser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and detected </w:t>
      </w:r>
      <w:r w:rsidRPr="00015DAC">
        <w:rPr>
          <w:rFonts w:ascii="Times New Roman" w:eastAsia="AdvGulliv-I" w:hAnsi="Times New Roman" w:cs="Times New Roman"/>
          <w:color w:val="FF0000"/>
          <w:kern w:val="0"/>
          <w:sz w:val="24"/>
          <w:szCs w:val="24"/>
        </w:rPr>
        <w:t>under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wavelengths of 525 nm and 620 nm, respectively. The apoptosis rate was directly</w:t>
      </w:r>
      <w:r w:rsidRPr="00015DAC">
        <w:rPr>
          <w:color w:val="FF0000"/>
        </w:rPr>
        <w:t xml:space="preserve">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determined using a flow cytometer 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(</w:t>
      </w:r>
      <w:proofErr w:type="spellStart"/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Gallios</w:t>
      </w:r>
      <w:proofErr w:type="spellEnd"/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, Beckman Coulter, America)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. </w:t>
      </w:r>
    </w:p>
    <w:p w14:paraId="5B316767" w14:textId="77777777" w:rsidR="00AD3A35" w:rsidRPr="00AC63DC" w:rsidRDefault="00AD3A35" w:rsidP="00015DAC">
      <w:pPr>
        <w:spacing w:line="480" w:lineRule="auto"/>
        <w:rPr>
          <w:rFonts w:ascii="Times New Roman" w:eastAsia="AdvGulliv-I" w:hAnsi="Times New Roman" w:cs="Times New Roman"/>
          <w:b/>
          <w:kern w:val="0"/>
          <w:sz w:val="24"/>
          <w:szCs w:val="24"/>
        </w:rPr>
      </w:pPr>
      <w:r w:rsidRPr="00AC63DC">
        <w:rPr>
          <w:rFonts w:ascii="Times New Roman" w:hAnsi="Times New Roman" w:cs="Times New Roman"/>
          <w:b/>
          <w:sz w:val="24"/>
          <w:szCs w:val="24"/>
        </w:rPr>
        <w:t>Detection of mitochondrial R</w:t>
      </w:r>
      <w:r w:rsidRPr="00AC63DC">
        <w:rPr>
          <w:rFonts w:ascii="Times New Roman" w:eastAsia="AdvGulliv-I" w:hAnsi="Times New Roman" w:cs="Times New Roman"/>
          <w:b/>
          <w:kern w:val="0"/>
          <w:sz w:val="24"/>
          <w:szCs w:val="24"/>
        </w:rPr>
        <w:t>OS</w:t>
      </w:r>
    </w:p>
    <w:p w14:paraId="2101051F" w14:textId="55AADF3C" w:rsidR="009A6B58" w:rsidRPr="00307749" w:rsidRDefault="006944C7" w:rsidP="00015DAC">
      <w:pPr>
        <w:spacing w:line="480" w:lineRule="auto"/>
        <w:rPr>
          <w:rFonts w:ascii="Times New Roman" w:eastAsia="AdvGulliv-I" w:hAnsi="Times New Roman" w:cs="Times New Roman"/>
          <w:kern w:val="0"/>
          <w:sz w:val="24"/>
          <w:szCs w:val="24"/>
        </w:rPr>
      </w:pPr>
      <w:proofErr w:type="spellStart"/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HPAEpiC</w:t>
      </w:r>
      <w:proofErr w:type="spellEnd"/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sz w:val="24"/>
          <w:szCs w:val="24"/>
        </w:rPr>
        <w:t xml:space="preserve">were </w:t>
      </w:r>
      <w:r>
        <w:rPr>
          <w:rFonts w:ascii="Times New Roman" w:hAnsi="Times New Roman" w:cs="Times New Roman"/>
          <w:sz w:val="24"/>
          <w:szCs w:val="24"/>
        </w:rPr>
        <w:t>collected after the exposure to BCSCs</w:t>
      </w:r>
      <w:r w:rsidRPr="00B1742D">
        <w:rPr>
          <w:rFonts w:ascii="Times New Roman" w:hAnsi="Times New Roman" w:cs="Times New Roman"/>
          <w:sz w:val="24"/>
          <w:szCs w:val="24"/>
        </w:rPr>
        <w:t xml:space="preserve"> at concentrations of </w:t>
      </w:r>
      <w:r w:rsidRPr="00B1742D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0, 25, 50, 100,</w:t>
      </w:r>
      <w:r w:rsidRPr="00B1742D">
        <w:rPr>
          <w:rFonts w:ascii="Times New Roman" w:hAnsi="Times New Roman" w:cs="Times New Roman"/>
          <w:sz w:val="24"/>
          <w:szCs w:val="24"/>
        </w:rPr>
        <w:t xml:space="preserve"> and 200 </w:t>
      </w:r>
      <w:proofErr w:type="spellStart"/>
      <w:r w:rsidRPr="00B1742D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B1742D">
        <w:rPr>
          <w:rFonts w:ascii="Times New Roman" w:hAnsi="Times New Roman" w:cs="Times New Roman"/>
          <w:sz w:val="24"/>
          <w:szCs w:val="24"/>
        </w:rPr>
        <w:t>/ml for 24 h</w:t>
      </w:r>
      <w:r>
        <w:rPr>
          <w:rFonts w:ascii="Times New Roman" w:hAnsi="Times New Roman" w:cs="Times New Roman"/>
          <w:sz w:val="24"/>
          <w:szCs w:val="24"/>
        </w:rPr>
        <w:t>, respectively</w:t>
      </w:r>
      <w:r w:rsidRPr="00B1742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Subsequently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the 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>specimens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were re-suspended in 5 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sym w:font="Symbol" w:char="F06D"/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M of </w:t>
      </w:r>
      <w:proofErr w:type="spellStart"/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>MitoSOX</w:t>
      </w:r>
      <w:proofErr w:type="spellEnd"/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solution and incubated in the dark for 15 min at 37°C.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After</w:t>
      </w:r>
      <w:r w:rsidR="00D83A90" w:rsidRPr="00D83A90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</w:t>
      </w:r>
      <w:r w:rsidR="00D83A90">
        <w:rPr>
          <w:rFonts w:ascii="Times New Roman" w:eastAsia="AdvGulliv-I" w:hAnsi="Times New Roman" w:cs="Times New Roman"/>
          <w:kern w:val="0"/>
          <w:sz w:val="24"/>
          <w:szCs w:val="24"/>
        </w:rPr>
        <w:t>the staining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>, t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he 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>treated cell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>s were washed three times with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PBS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to remove extra</w:t>
      </w:r>
      <w:r w:rsidRPr="00AC6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>MitoSOX</w:t>
      </w:r>
      <w:proofErr w:type="spellEnd"/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probes,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AdvGulliv-I" w:hAnsi="Times New Roman" w:cs="Times New Roman" w:hint="eastAsia"/>
          <w:kern w:val="0"/>
          <w:sz w:val="24"/>
          <w:szCs w:val="24"/>
        </w:rPr>
        <w:t>finally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>re-suspended in 200</w:t>
      </w:r>
      <w:r w:rsidR="00632521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</w:t>
      </w:r>
      <w:r w:rsidR="00632521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sym w:font="Symbol" w:char="F06D"/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l of PBS, and immediately measured with </w:t>
      </w:r>
      <w:r>
        <w:rPr>
          <w:rFonts w:ascii="Times New Roman" w:eastAsia="AdvGulliv-I" w:hAnsi="Times New Roman" w:cs="Times New Roman"/>
          <w:kern w:val="0"/>
          <w:sz w:val="24"/>
          <w:szCs w:val="24"/>
        </w:rPr>
        <w:t>the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flow cytometer. Fluorescence was excited with a 488</w:t>
      </w:r>
      <w:r w:rsidR="00D505B0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</w:t>
      </w:r>
      <w:r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nm beam, and emissions were obtained at a wavelength of 525 nm. </w:t>
      </w:r>
      <w:r w:rsidR="00134AAC"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</w:t>
      </w:r>
      <w:r w:rsidR="00AD3A35" w:rsidRPr="00AC63DC">
        <w:rPr>
          <w:rFonts w:ascii="Times New Roman" w:eastAsia="AdvGulliv-I" w:hAnsi="Times New Roman" w:cs="Times New Roman"/>
          <w:kern w:val="0"/>
          <w:sz w:val="24"/>
          <w:szCs w:val="24"/>
        </w:rPr>
        <w:t xml:space="preserve"> </w:t>
      </w:r>
    </w:p>
    <w:p w14:paraId="12F9BA4C" w14:textId="77777777" w:rsidR="00B70819" w:rsidRPr="00015DAC" w:rsidRDefault="00B70819" w:rsidP="00015DAC">
      <w:pPr>
        <w:spacing w:line="480" w:lineRule="auto"/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>Endotoxin</w:t>
      </w:r>
      <w:r w:rsidRPr="00015DAC">
        <w:rPr>
          <w:b/>
          <w:color w:val="FF0000"/>
        </w:rPr>
        <w:t xml:space="preserve"> </w:t>
      </w: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>measurement by ELISA</w:t>
      </w:r>
    </w:p>
    <w:p w14:paraId="0CE6CD15" w14:textId="18132D23" w:rsidR="006944C7" w:rsidRPr="00015DAC" w:rsidRDefault="00134AAC" w:rsidP="00015DAC">
      <w:pPr>
        <w:spacing w:line="480" w:lineRule="auto"/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For </w:t>
      </w:r>
      <w:r w:rsidR="006944C7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quantitative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standard curve plotting, solution of endotoxin (ET) standards was prepared at final concentrations of 0.01, 0.02, 0.04, 0.08 and 0.</w:t>
      </w:r>
      <w:r w:rsidR="008346CE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16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>ng/</w:t>
      </w:r>
      <w:r w:rsidR="008346CE" w:rsidRPr="00015DAC"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>ml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and then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tested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by the Bacterial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E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ndotoxin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ELISA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K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it.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The color change of each specimen</w:t>
      </w:r>
      <w:r w:rsidRPr="00015DAC" w:rsidDel="001A0218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was analyzed by a Microplate Reader at 450 nm (</w:t>
      </w:r>
      <w:proofErr w:type="spellStart"/>
      <w:r w:rsidR="008346CE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Multiskan</w:t>
      </w:r>
      <w:proofErr w:type="spellEnd"/>
      <w:r w:rsidR="008346CE"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 xml:space="preserve"> </w:t>
      </w:r>
      <w:r w:rsidR="008346CE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FC, Thermo, USA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).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T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he standard curve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was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plotted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by</w:t>
      </w:r>
      <w:r w:rsidRPr="00015DAC">
        <w:rPr>
          <w:rFonts w:ascii="Times New Roman" w:eastAsia="微软雅黑" w:hAnsi="Times New Roman" w:cs="Times New Roman"/>
          <w:bCs/>
          <w:color w:val="FF0000"/>
          <w:kern w:val="0"/>
          <w:sz w:val="24"/>
          <w:szCs w:val="24"/>
        </w:rPr>
        <w:t xml:space="preserve"> t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aking the concentrations of the ET as the X-axis, and the OD value as the Y-axis. </w:t>
      </w:r>
      <w:r w:rsidR="006944C7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Then, the ET</w:t>
      </w:r>
      <w:r w:rsidR="006944C7"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level in</w:t>
      </w:r>
      <w:r w:rsidR="006944C7"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1-mg/ml BCSCs</w:t>
      </w:r>
      <w:r w:rsidR="00D83A90"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stock</w:t>
      </w:r>
      <w:r w:rsidR="006944C7"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solution</w:t>
      </w:r>
      <w:r w:rsidR="006944C7" w:rsidRPr="00015DAC">
        <w:rPr>
          <w:color w:val="FF0000"/>
        </w:rPr>
        <w:t xml:space="preserve"> </w:t>
      </w:r>
      <w:r w:rsidR="006944C7"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was</w:t>
      </w:r>
      <w:r w:rsidR="006944C7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="006944C7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lastRenderedPageBreak/>
        <w:t>determined using the standard curve.</w:t>
      </w:r>
    </w:p>
    <w:p w14:paraId="5787D22E" w14:textId="70314A22" w:rsidR="00D83A90" w:rsidRPr="00015DAC" w:rsidRDefault="00D83A90" w:rsidP="00015DAC">
      <w:pPr>
        <w:spacing w:line="480" w:lineRule="auto"/>
        <w:ind w:firstLineChars="100" w:firstLine="252"/>
        <w:rPr>
          <w:rFonts w:ascii="Times New Roman" w:hAnsi="Times New Roman" w:cs="Times New Roman"/>
          <w:noProof/>
          <w:color w:val="FF0000"/>
          <w:sz w:val="24"/>
          <w:szCs w:val="24"/>
        </w:rPr>
      </w:pPr>
      <w:bookmarkStart w:id="10" w:name="_Hlk534571725"/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In order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to verify whether levels of ET in BCSCs solutions had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impacts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on the growth of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HPAEpiC</w:t>
      </w:r>
      <w:proofErr w:type="spellEnd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, a series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concentration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of ET solutions (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>0.025, 0.5, 0.75 and 1 ng/m</w:t>
      </w:r>
      <w:r w:rsidRPr="00015DAC"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>l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) were prepared to cover the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concentration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of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ET in the BCSCs (25-200 </w:t>
      </w:r>
      <w:proofErr w:type="spellStart"/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μg</w:t>
      </w:r>
      <w:proofErr w:type="spellEnd"/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/ml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).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Then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, the ET solutions of 60 </w:t>
      </w:r>
      <w:r w:rsidR="00632521"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sym w:font="Symbol" w:char="F06D"/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l were sprayed on the ALI</w:t>
      </w:r>
      <w:r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carrying HPAEpiC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for 24-h exposures, respectively. </w:t>
      </w:r>
      <w:bookmarkEnd w:id="10"/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Finally, the cell viabilities were tested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following the method mentioned above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.</w:t>
      </w:r>
    </w:p>
    <w:p w14:paraId="13A4BFE1" w14:textId="77777777" w:rsidR="00C4415F" w:rsidRDefault="00C4415F" w:rsidP="00015DAC">
      <w:pPr>
        <w:spacing w:line="480" w:lineRule="auto"/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W</w:t>
      </w:r>
      <w:bookmarkStart w:id="11" w:name="_Hlk524515247"/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>estern blot analysis</w:t>
      </w:r>
      <w:bookmarkEnd w:id="11"/>
    </w:p>
    <w:p w14:paraId="3261D1BD" w14:textId="77777777" w:rsidR="00C4415F" w:rsidRPr="00C4415F" w:rsidRDefault="00C4415F" w:rsidP="00015DAC">
      <w:pPr>
        <w:spacing w:line="480" w:lineRule="auto"/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After </w:t>
      </w:r>
      <w:r>
        <w:rPr>
          <w:rFonts w:ascii="Times New Roman" w:eastAsia="微软雅黑" w:hAnsi="Times New Roman" w:cs="Times New Roman"/>
          <w:bCs/>
          <w:color w:val="000000"/>
          <w:kern w:val="0"/>
          <w:sz w:val="24"/>
          <w:szCs w:val="24"/>
        </w:rPr>
        <w:t>exposure t</w:t>
      </w:r>
      <w:r w:rsidRPr="006944C7">
        <w:rPr>
          <w:rFonts w:ascii="Times New Roman" w:eastAsia="微软雅黑" w:hAnsi="Times New Roman" w:cs="Times New Roman"/>
          <w:bCs/>
          <w:color w:val="000000" w:themeColor="text1"/>
          <w:kern w:val="0"/>
          <w:sz w:val="24"/>
          <w:szCs w:val="24"/>
        </w:rPr>
        <w:t xml:space="preserve">o </w:t>
      </w:r>
      <w:r w:rsidR="008346CE" w:rsidRPr="006944C7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>BCSCs solutions of 0, 25, 50, 100,</w:t>
      </w:r>
      <w:r w:rsidR="008346CE" w:rsidRPr="006944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200 </w:t>
      </w:r>
      <w:proofErr w:type="spellStart"/>
      <w:r w:rsidR="008346CE" w:rsidRPr="006944C7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="008346CE" w:rsidRPr="006944C7">
        <w:rPr>
          <w:rFonts w:ascii="Times New Roman" w:eastAsia="ArialUnicodeMS" w:hAnsi="Times New Roman" w:cs="Times New Roman"/>
          <w:bCs/>
          <w:color w:val="000000" w:themeColor="text1"/>
          <w:kern w:val="0"/>
          <w:sz w:val="24"/>
          <w:szCs w:val="24"/>
        </w:rPr>
        <w:t>/ml</w:t>
      </w:r>
      <w:r w:rsidR="00905956" w:rsidRPr="006944C7">
        <w:rPr>
          <w:rFonts w:ascii="Times New Roman" w:eastAsia="微软雅黑" w:hAnsi="Times New Roman" w:cs="Times New Roman"/>
          <w:bCs/>
          <w:color w:val="000000" w:themeColor="text1"/>
          <w:kern w:val="0"/>
          <w:sz w:val="24"/>
          <w:szCs w:val="24"/>
        </w:rPr>
        <w:t xml:space="preserve"> </w:t>
      </w:r>
      <w:r w:rsidR="00905956" w:rsidRPr="006944C7">
        <w:rPr>
          <w:rFonts w:ascii="Times New Roman" w:hAnsi="Times New Roman" w:cs="Times New Roman"/>
          <w:color w:val="000000" w:themeColor="text1"/>
          <w:sz w:val="24"/>
          <w:szCs w:val="24"/>
        </w:rPr>
        <w:t>for 24</w:t>
      </w:r>
      <w:r w:rsidR="00905956" w:rsidRPr="00B1742D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, the cells were harvested and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lysed in cold RIPA</w:t>
      </w:r>
      <w:r w:rsidR="000A4B70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 w:rsidR="000A4B70">
        <w:rPr>
          <w:rFonts w:ascii="Times New Roman" w:eastAsia="ArialUnicodeMS" w:hAnsi="Times New Roman" w:cs="Times New Roman" w:hint="eastAsia"/>
          <w:color w:val="000000"/>
          <w:kern w:val="0"/>
          <w:sz w:val="24"/>
          <w:szCs w:val="24"/>
        </w:rPr>
        <w:t>lysis</w:t>
      </w:r>
      <w:r w:rsidR="000A4B70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buffer with</w:t>
      </w:r>
      <w:r>
        <w:rPr>
          <w:rFonts w:ascii="Times New Roman" w:hAnsi="Times New Roman" w:cs="Times New Roman"/>
          <w:sz w:val="24"/>
          <w:szCs w:val="24"/>
        </w:rPr>
        <w:t xml:space="preserve"> 1mM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phenylmethanesulfonyl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fluoride (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PMSF) for 5 min. The supernatants containing proteins were collected for western blotting analysis after centrifugation at 14000 rpm for 3 min. The total protein content of each group was determined using an enhanced BCA Protein Assay Kit. Protein samples were denatured at 100 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°C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for 10 min, separated on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12% sodium dodecyl sulfate polyacrylamide gel electrophoresis (SDS-PAGE) gels, and transferred to polyvinylidene difluoride (PVDF) membranes</w:t>
      </w:r>
      <w:r w:rsidR="000A4B70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.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The PVDF membranes were blocked with 5% bovine serum albumin (BSA) in PBST buffered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for 2 h at room temperature and 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incubated with primary antibody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solutions 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in Tris-buffered saline, 0.1% Tween-20 (TBST) at 4 °C overnight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. Subsequently, the membranes were washed with PBST buffer three times and incubated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with secondary antibody solutions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for 2 h at room temperature. The immunoreactive bands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were developed with the ECL reagents and visualized after exposure of the X-ray film. 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The band density of the target 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lastRenderedPageBreak/>
        <w:t xml:space="preserve">proteins was standardized according to that of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β-actin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6DB7FF92" w14:textId="77777777" w:rsidR="00401543" w:rsidRDefault="00401543" w:rsidP="00015DAC">
      <w:pPr>
        <w:spacing w:line="480" w:lineRule="auto"/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</w:pPr>
      <w:r w:rsidRPr="00B1742D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 xml:space="preserve">Results  </w:t>
      </w:r>
    </w:p>
    <w:p w14:paraId="1E4F22E1" w14:textId="77777777" w:rsidR="00C7111F" w:rsidRPr="00015DAC" w:rsidRDefault="00C7111F" w:rsidP="00015DAC">
      <w:pPr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</w:pPr>
      <w:bookmarkStart w:id="12" w:name="_Hlk532829443"/>
      <w:r w:rsidRPr="00015DAC">
        <w:rPr>
          <w:rFonts w:ascii="Times New Roman" w:hAnsi="Times New Roman" w:cs="Times New Roman" w:hint="eastAsia"/>
          <w:b/>
          <w:color w:val="FF0000"/>
          <w:sz w:val="24"/>
          <w:szCs w:val="24"/>
        </w:rPr>
        <w:t>O</w:t>
      </w:r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>ptimization</w:t>
      </w:r>
      <w:bookmarkEnd w:id="12"/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of medium </w:t>
      </w:r>
      <w:r w:rsidRPr="00015DAC">
        <w:rPr>
          <w:rFonts w:ascii="Times New Roman" w:hAnsi="Times New Roman" w:cs="Times New Roman" w:hint="eastAsia"/>
          <w:b/>
          <w:color w:val="FF0000"/>
          <w:sz w:val="24"/>
          <w:szCs w:val="24"/>
        </w:rPr>
        <w:t>f</w:t>
      </w:r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low rate on ALI-DC platform for </w:t>
      </w:r>
      <w:proofErr w:type="spellStart"/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>HPAEpiC</w:t>
      </w:r>
      <w:proofErr w:type="spellEnd"/>
      <w:r w:rsidR="00636E77" w:rsidRPr="00015DA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/>
          <w:b/>
          <w:color w:val="FF0000"/>
          <w:sz w:val="24"/>
          <w:szCs w:val="24"/>
        </w:rPr>
        <w:t>culture</w:t>
      </w:r>
    </w:p>
    <w:p w14:paraId="2F9BC1A6" w14:textId="3AD01EC7" w:rsidR="009B5FF5" w:rsidRPr="00015DAC" w:rsidRDefault="006D5144" w:rsidP="00015DAC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We</w:t>
      </w:r>
      <w:r w:rsidRPr="00015DAC">
        <w:rPr>
          <w:rFonts w:ascii="Times New Roman" w:eastAsia="ArialUnicodeMS" w:hAnsi="Times New Roman" w:cs="Times New Roman" w:hint="eastAsia"/>
          <w:color w:val="FF0000"/>
          <w:kern w:val="0"/>
          <w:sz w:val="24"/>
          <w:szCs w:val="24"/>
        </w:rPr>
        <w:t xml:space="preserve"> m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easured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the cell viabilities of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HPAEpiC</w:t>
      </w:r>
      <w:proofErr w:type="spellEnd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under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each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f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low rate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with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different cultivation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time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. As shown in Fig</w:t>
      </w:r>
      <w:r w:rsidR="00DC7461" w:rsidRPr="00015DAC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S2, with prolong of cultivation time, </w:t>
      </w:r>
      <w:bookmarkStart w:id="13" w:name="_Hlk534559295"/>
      <w:r w:rsidRPr="00015DAC">
        <w:rPr>
          <w:rFonts w:ascii="Times New Roman" w:hAnsi="Times New Roman" w:cs="Times New Roman"/>
          <w:color w:val="FF0000"/>
          <w:sz w:val="24"/>
          <w:szCs w:val="24"/>
        </w:rPr>
        <w:t>cell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viabilit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ies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in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submerged conditions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de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clined from 91.4% to 85.4%</w:t>
      </w:r>
      <w:bookmarkEnd w:id="13"/>
      <w:r w:rsidRPr="00015DAC">
        <w:rPr>
          <w:rFonts w:ascii="Times New Roman" w:hAnsi="Times New Roman" w:cs="Times New Roman"/>
          <w:color w:val="FF0000"/>
          <w:sz w:val="24"/>
          <w:szCs w:val="24"/>
        </w:rPr>
        <w:t>. A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t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6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h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and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12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h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the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c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ell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viabilit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ies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under the flow rates from 10 to 50 μl/min did not show apparently rises. While at 24 h,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the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c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ell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viabilit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ies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gradually increased to 9</w:t>
      </w:r>
      <w:r w:rsidR="00CD0939" w:rsidRPr="00015DAC">
        <w:rPr>
          <w:rFonts w:ascii="Times New Roman" w:hAnsi="Times New Roman" w:cs="Times New Roman"/>
          <w:color w:val="FF0000"/>
          <w:sz w:val="24"/>
          <w:szCs w:val="24"/>
        </w:rPr>
        <w:t>6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CD0939" w:rsidRPr="00015DAC">
        <w:rPr>
          <w:rFonts w:ascii="Times New Roman" w:hAnsi="Times New Roman" w:cs="Times New Roman"/>
          <w:color w:val="FF0000"/>
          <w:sz w:val="24"/>
          <w:szCs w:val="24"/>
        </w:rPr>
        <w:t>2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% </w:t>
      </w:r>
      <w:bookmarkStart w:id="14" w:name="_Hlk534559626"/>
      <w:r w:rsidRPr="00015DAC">
        <w:rPr>
          <w:rFonts w:ascii="Times New Roman" w:hAnsi="Times New Roman" w:cs="Times New Roman"/>
          <w:color w:val="FF0000"/>
          <w:sz w:val="24"/>
          <w:szCs w:val="24"/>
        </w:rPr>
        <w:t>with the rising flow rate from 0 to 30 μl/min.</w:t>
      </w:r>
      <w:bookmarkEnd w:id="14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The significant differences between the control and the DC cultures were obtained at 48 h and 72 h. However, the changes of cell viability were not obvious when the flow rate exceeded 30 μl/min.</w:t>
      </w:r>
    </w:p>
    <w:p w14:paraId="45F6D415" w14:textId="608970D0" w:rsidR="000A4B70" w:rsidRPr="000A4B70" w:rsidRDefault="002F66B0" w:rsidP="00015D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9BBB37" wp14:editId="7B96BACE">
            <wp:extent cx="3044825" cy="1561465"/>
            <wp:effectExtent l="0" t="0" r="317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156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304F8" w14:textId="7EE08107" w:rsidR="00C7111F" w:rsidRPr="00015DAC" w:rsidRDefault="00C7111F" w:rsidP="00015DAC">
      <w:pPr>
        <w:spacing w:line="480" w:lineRule="auto"/>
        <w:rPr>
          <w:rFonts w:ascii="Times New Roman" w:hAnsi="Times New Roman" w:cs="Times New Roman"/>
          <w:noProof/>
          <w:color w:val="FF0000"/>
          <w:sz w:val="24"/>
          <w:szCs w:val="24"/>
        </w:rPr>
      </w:pPr>
      <w:r w:rsidRPr="00015DAC">
        <w:rPr>
          <w:rFonts w:ascii="Times New Roman" w:hAnsi="Times New Roman" w:cs="Times New Roman"/>
          <w:color w:val="FF0000"/>
          <w:sz w:val="24"/>
          <w:szCs w:val="24"/>
        </w:rPr>
        <w:t>Fig. S</w:t>
      </w:r>
      <w:r w:rsidR="00BF35CD" w:rsidRPr="00015DAC">
        <w:rPr>
          <w:rFonts w:ascii="Times New Roman" w:hAnsi="Times New Roman" w:cs="Times New Roman"/>
          <w:color w:val="FF0000"/>
          <w:sz w:val="24"/>
          <w:szCs w:val="24"/>
        </w:rPr>
        <w:t>1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gram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The</w:t>
      </w:r>
      <w:proofErr w:type="gramEnd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cell viabilities of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HPAEpiC</w:t>
      </w:r>
      <w:proofErr w:type="spellEnd"/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under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flowing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medium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with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different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f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low rate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on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ALI-DC platform</w:t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(*: </w:t>
      </w:r>
      <w:r w:rsidR="00E7200A" w:rsidRPr="00015DAC">
        <w:rPr>
          <w:rFonts w:ascii="Times New Roman" w:hAnsi="Times New Roman" w:cs="Times New Roman"/>
          <w:i/>
          <w:noProof/>
          <w:color w:val="FF0000"/>
          <w:sz w:val="24"/>
          <w:szCs w:val="24"/>
        </w:rPr>
        <w:t>P</w:t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</w:t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sym w:font="Symbol" w:char="F03C"/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0.05</w:t>
      </w:r>
      <w:r w:rsidR="00E7200A"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**: </w:t>
      </w:r>
      <w:r w:rsidR="00E7200A" w:rsidRPr="00015DAC">
        <w:rPr>
          <w:rFonts w:ascii="Times New Roman" w:hAnsi="Times New Roman" w:cs="Times New Roman"/>
          <w:i/>
          <w:noProof/>
          <w:color w:val="FF0000"/>
          <w:sz w:val="24"/>
          <w:szCs w:val="24"/>
        </w:rPr>
        <w:t>P</w:t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</w:t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sym w:font="Symbol" w:char="F03C"/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0.01, </w:t>
      </w:r>
      <w:r w:rsidR="00E7200A" w:rsidRPr="00015DAC">
        <w:rPr>
          <w:rFonts w:ascii="Times New Roman" w:hAnsi="Times New Roman" w:cs="Times New Roman"/>
          <w:color w:val="FF0000"/>
          <w:sz w:val="24"/>
          <w:szCs w:val="24"/>
        </w:rPr>
        <w:t>compared with the</w:t>
      </w:r>
      <w:r w:rsidR="00E7200A" w:rsidRPr="00015DAC">
        <w:rPr>
          <w:color w:val="FF0000"/>
        </w:rPr>
        <w:t xml:space="preserve"> </w:t>
      </w:r>
      <w:r w:rsidR="00E7200A" w:rsidRPr="00015DAC">
        <w:rPr>
          <w:rFonts w:ascii="Times New Roman" w:hAnsi="Times New Roman" w:cs="Times New Roman"/>
          <w:color w:val="FF0000"/>
          <w:sz w:val="24"/>
          <w:szCs w:val="24"/>
        </w:rPr>
        <w:t>submerged conditions values</w:t>
      </w:r>
      <w:r w:rsidR="00E7200A"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>).</w:t>
      </w:r>
    </w:p>
    <w:p w14:paraId="5960C924" w14:textId="77777777" w:rsidR="00BF35CD" w:rsidRPr="00015DAC" w:rsidRDefault="00BF35CD" w:rsidP="00015DAC">
      <w:pPr>
        <w:spacing w:line="480" w:lineRule="auto"/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>Detection of</w:t>
      </w:r>
      <w:bookmarkStart w:id="15" w:name="_Hlk532205806"/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 xml:space="preserve"> ET</w:t>
      </w:r>
      <w:bookmarkEnd w:id="15"/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 xml:space="preserve"> concentrations in BCSC</w:t>
      </w:r>
      <w:r w:rsidRPr="00015DAC">
        <w:rPr>
          <w:rFonts w:ascii="Times New Roman" w:eastAsia="ArialUnicodeMS" w:hAnsi="Times New Roman" w:cs="Times New Roman" w:hint="eastAsia"/>
          <w:b/>
          <w:bCs/>
          <w:color w:val="FF0000"/>
          <w:kern w:val="0"/>
          <w:sz w:val="24"/>
          <w:szCs w:val="24"/>
        </w:rPr>
        <w:t>s</w:t>
      </w: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/>
          <w:bCs/>
          <w:color w:val="FF0000"/>
          <w:kern w:val="0"/>
          <w:sz w:val="24"/>
          <w:szCs w:val="24"/>
        </w:rPr>
        <w:t>solution</w:t>
      </w:r>
    </w:p>
    <w:p w14:paraId="71114736" w14:textId="77777777" w:rsidR="00BF35CD" w:rsidRPr="00015DAC" w:rsidRDefault="00BF35CD" w:rsidP="00015DAC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The standard curve of ET was shown in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Fig.S1A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, the ET concentration had a good linear relationship with the OD value in</w:t>
      </w:r>
      <w:r w:rsidRPr="00015DAC">
        <w:rPr>
          <w:color w:val="FF0000"/>
        </w:rPr>
        <w:t xml:space="preserve">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the range of 0.01 to 0.16 ng/ml. The R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quared value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was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greater than 0.99, demonstrating the standard curve can be used to quantify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ET in the samples. By the calculating (Fig.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1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A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>), ET concentration in the BCSCs test solution (20-folds dilution from the 1-mg/ml stock solution) was approximately 0.11 ±0.03 ng/ml. S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o,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the 1-mg/ml BCSCs solution (stock solution)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contain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ed approximately 2.2 ng/ml ET. And the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ET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levels in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BCSCs samples of 0, 25, 50, 100,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and 200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μg</w:t>
      </w:r>
      <w:proofErr w:type="spellEnd"/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/ml 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>were about 0.06, 0.11, 0.22 and 0.44 ng/m</w:t>
      </w:r>
      <w:r w:rsidRPr="00015DAC"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>l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, respectively. 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To verify whether such levels of ET had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impacts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on the growth of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HPAEpiC</w:t>
      </w:r>
      <w:proofErr w:type="spellEnd"/>
      <w:r w:rsidRPr="00015DAC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ET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solutions at concentrations from 0 to 1 ng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>/ml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were exposed to </w:t>
      </w:r>
      <w:proofErr w:type="spellStart"/>
      <w:r w:rsidRPr="00015DAC">
        <w:rPr>
          <w:rFonts w:ascii="Times New Roman" w:hAnsi="Times New Roman" w:cs="Times New Roman"/>
          <w:color w:val="FF0000"/>
          <w:sz w:val="24"/>
          <w:szCs w:val="24"/>
        </w:rPr>
        <w:t>HPAEpiC</w:t>
      </w:r>
      <w:proofErr w:type="spellEnd"/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cultured in ALI conditions. As shown in Fig. S1B</w:t>
      </w:r>
      <w:r w:rsidRPr="00015DAC"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>,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</w:t>
      </w:r>
      <w:bookmarkStart w:id="16" w:name="_Hlk534571795"/>
      <w:bookmarkStart w:id="17" w:name="_Hlk534571782"/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>the cell viabilities could keep between</w:t>
      </w:r>
      <w:r w:rsidRPr="00015DAC"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>about 92% and 96% after treatment with ET within 24 h</w:t>
      </w:r>
      <w:r w:rsidRPr="00015DAC"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>.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Even the ET concentration raised to 1 ng/m</w:t>
      </w:r>
      <w:r w:rsidRPr="00015DAC"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>l</w:t>
      </w:r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, there were still no significant effects on the </w:t>
      </w:r>
      <w:proofErr w:type="spellStart"/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>HPAEpiC</w:t>
      </w:r>
      <w:proofErr w:type="spellEnd"/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growth</w:t>
      </w:r>
      <w:bookmarkEnd w:id="16"/>
      <w:r w:rsidRPr="00015DAC">
        <w:rPr>
          <w:rFonts w:ascii="Times New Roman" w:hAnsi="Times New Roman" w:cs="Times New Roman"/>
          <w:color w:val="FF0000"/>
          <w:kern w:val="0"/>
          <w:sz w:val="24"/>
          <w:szCs w:val="24"/>
        </w:rPr>
        <w:t>.</w:t>
      </w:r>
      <w:bookmarkEnd w:id="17"/>
    </w:p>
    <w:p w14:paraId="3EE5DA5A" w14:textId="292ACAD7" w:rsidR="00BF35CD" w:rsidRPr="00DA5896" w:rsidRDefault="002F66B0" w:rsidP="00015DAC">
      <w:pPr>
        <w:spacing w:line="480" w:lineRule="auto"/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045E4072" wp14:editId="10DDD46B">
            <wp:extent cx="5270500" cy="1751330"/>
            <wp:effectExtent l="0" t="0" r="635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5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19623" w14:textId="6EF52697" w:rsidR="00BF35CD" w:rsidRPr="00015DAC" w:rsidRDefault="00BF35CD" w:rsidP="00015DAC">
      <w:pPr>
        <w:spacing w:line="480" w:lineRule="auto"/>
        <w:rPr>
          <w:rFonts w:ascii="Times New Roman" w:hAnsi="Times New Roman" w:cs="Times New Roman"/>
          <w:noProof/>
          <w:color w:val="FF0000"/>
          <w:sz w:val="24"/>
          <w:szCs w:val="24"/>
        </w:rPr>
      </w:pP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>Fig. S2:</w:t>
      </w:r>
      <w:r w:rsidRPr="00015DAC">
        <w:rPr>
          <w:b/>
          <w:color w:val="FF0000"/>
        </w:rPr>
        <w:t xml:space="preserve"> </w:t>
      </w:r>
      <w:r w:rsidRPr="00015DAC">
        <w:rPr>
          <w:rFonts w:ascii="Times New Roman" w:eastAsia="ArialUnicodeMS" w:hAnsi="Times New Roman" w:cs="Times New Roman"/>
          <w:b/>
          <w:bCs/>
          <w:color w:val="FF0000"/>
          <w:kern w:val="0"/>
          <w:sz w:val="24"/>
          <w:szCs w:val="24"/>
        </w:rPr>
        <w:t xml:space="preserve">Detection of ET concentration and cytotoxicity. </w:t>
      </w:r>
      <w:bookmarkStart w:id="18" w:name="_Hlk42787406"/>
      <w:r w:rsidRPr="00D6466E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>(A)</w:t>
      </w:r>
      <w:bookmarkEnd w:id="18"/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The standard curve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for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quantitative test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of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ET; B:</w:t>
      </w:r>
      <w:bookmarkStart w:id="19" w:name="_Hlk524529183"/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The cell viabilities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of HPAEpiC for 24-h </w:t>
      </w:r>
      <w:r w:rsidRPr="00015DAC">
        <w:rPr>
          <w:rFonts w:ascii="Times New Roman" w:eastAsia="ArialUnicodeMS" w:hAnsi="Times New Roman" w:cs="Times New Roman" w:hint="eastAsia"/>
          <w:color w:val="FF0000"/>
          <w:kern w:val="0"/>
          <w:sz w:val="24"/>
          <w:szCs w:val="24"/>
        </w:rPr>
        <w:t>exposures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color w:val="FF0000"/>
          <w:kern w:val="0"/>
          <w:sz w:val="24"/>
          <w:szCs w:val="24"/>
        </w:rPr>
        <w:t>to</w:t>
      </w:r>
      <w:r w:rsidRPr="00015DAC">
        <w:rPr>
          <w:rFonts w:ascii="Times New Roman" w:eastAsia="ArialUnicodeMS" w:hAnsi="Times New Roman" w:cs="Times New Roman"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hAnsi="Times New Roman" w:cs="Times New Roman" w:hint="eastAsia"/>
          <w:color w:val="FF0000"/>
          <w:sz w:val="24"/>
          <w:szCs w:val="24"/>
        </w:rPr>
        <w:t>different</w:t>
      </w:r>
      <w:r w:rsidRPr="00015DAC">
        <w:rPr>
          <w:rFonts w:ascii="Times New Roman" w:hAnsi="Times New Roman" w:cs="Times New Roman"/>
          <w:color w:val="FF0000"/>
          <w:sz w:val="24"/>
          <w:szCs w:val="24"/>
        </w:rPr>
        <w:t xml:space="preserve"> concentrations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of ET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on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the</w:t>
      </w:r>
      <w:r w:rsidRPr="00015DAC">
        <w:rPr>
          <w:rFonts w:ascii="Times New Roman" w:eastAsia="ArialUnicodeMS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Pr="00015DAC">
        <w:rPr>
          <w:rFonts w:ascii="Times New Roman" w:eastAsia="ArialUnicodeMS" w:hAnsi="Times New Roman" w:cs="Times New Roman" w:hint="eastAsia"/>
          <w:bCs/>
          <w:color w:val="FF0000"/>
          <w:kern w:val="0"/>
          <w:sz w:val="24"/>
          <w:szCs w:val="24"/>
        </w:rPr>
        <w:t>platform</w:t>
      </w:r>
      <w:r w:rsidRPr="00015DAC">
        <w:rPr>
          <w:rFonts w:ascii="Times New Roman" w:hAnsi="Times New Roman" w:cs="Times New Roman"/>
          <w:noProof/>
          <w:color w:val="FF0000"/>
          <w:sz w:val="24"/>
          <w:szCs w:val="24"/>
        </w:rPr>
        <w:t>.</w:t>
      </w:r>
      <w:bookmarkEnd w:id="19"/>
    </w:p>
    <w:p w14:paraId="255261AE" w14:textId="77777777" w:rsidR="00E90740" w:rsidRPr="00E90740" w:rsidRDefault="0099744B" w:rsidP="00015DAC">
      <w:pPr>
        <w:spacing w:line="480" w:lineRule="auto"/>
        <w:rPr>
          <w:rFonts w:ascii="Times New Roman" w:eastAsia="ArialUnicodeMS" w:hAnsi="Times New Roman" w:cs="Times New Roman"/>
          <w:b/>
          <w:kern w:val="0"/>
          <w:sz w:val="24"/>
          <w:szCs w:val="24"/>
        </w:rPr>
      </w:pPr>
      <w:r w:rsidRPr="00E23339">
        <w:rPr>
          <w:rFonts w:ascii="Times New Roman" w:eastAsia="ArialUnicodeMS" w:hAnsi="Times New Roman" w:cs="Times New Roman"/>
          <w:b/>
          <w:kern w:val="0"/>
          <w:sz w:val="24"/>
          <w:szCs w:val="24"/>
        </w:rPr>
        <w:t>Mitochondrial ROS generatio</w:t>
      </w:r>
      <w:r w:rsidRPr="00E90740">
        <w:rPr>
          <w:rFonts w:ascii="Times New Roman" w:eastAsia="ArialUnicodeMS" w:hAnsi="Times New Roman" w:cs="Times New Roman"/>
          <w:b/>
          <w:kern w:val="0"/>
          <w:sz w:val="24"/>
          <w:szCs w:val="24"/>
        </w:rPr>
        <w:t xml:space="preserve">n </w:t>
      </w:r>
      <w:r w:rsidRPr="00E90740">
        <w:rPr>
          <w:rFonts w:ascii="Times New Roman" w:hAnsi="Times New Roman" w:cs="Times New Roman"/>
          <w:b/>
          <w:sz w:val="24"/>
          <w:szCs w:val="24"/>
        </w:rPr>
        <w:t xml:space="preserve">after exposure of </w:t>
      </w:r>
      <w:proofErr w:type="spellStart"/>
      <w:r w:rsidRPr="00E90740">
        <w:rPr>
          <w:rFonts w:ascii="Times New Roman" w:hAnsi="Times New Roman" w:cs="Times New Roman"/>
          <w:b/>
          <w:sz w:val="24"/>
          <w:szCs w:val="24"/>
        </w:rPr>
        <w:t>HPAEpiC</w:t>
      </w:r>
      <w:proofErr w:type="spellEnd"/>
      <w:r w:rsidRPr="00E90740">
        <w:rPr>
          <w:rFonts w:ascii="Times New Roman" w:hAnsi="Times New Roman" w:cs="Times New Roman"/>
          <w:b/>
          <w:sz w:val="24"/>
          <w:szCs w:val="24"/>
        </w:rPr>
        <w:t xml:space="preserve"> to BCSCs</w:t>
      </w:r>
      <w:r w:rsidRPr="00E90740">
        <w:rPr>
          <w:rFonts w:ascii="Times New Roman" w:eastAsia="ArialUnicodeMS" w:hAnsi="Times New Roman" w:cs="Times New Roman"/>
          <w:b/>
          <w:kern w:val="0"/>
          <w:sz w:val="24"/>
          <w:szCs w:val="24"/>
        </w:rPr>
        <w:t xml:space="preserve"> </w:t>
      </w:r>
    </w:p>
    <w:p w14:paraId="68B07BAD" w14:textId="2CF94976" w:rsidR="006D5144" w:rsidRPr="00D75C9C" w:rsidRDefault="006D5144" w:rsidP="00015D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0" w:name="_Hlk529265728"/>
      <w:r w:rsidRPr="00D75C9C">
        <w:rPr>
          <w:rFonts w:ascii="Times New Roman" w:hAnsi="Times New Roman" w:cs="Times New Roman"/>
          <w:sz w:val="24"/>
          <w:szCs w:val="24"/>
        </w:rPr>
        <w:t xml:space="preserve">Compared with 0 </w:t>
      </w:r>
      <w:proofErr w:type="spellStart"/>
      <w:r w:rsidRPr="00D75C9C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D75C9C">
        <w:rPr>
          <w:rFonts w:ascii="Times New Roman" w:hAnsi="Times New Roman" w:cs="Times New Roman"/>
          <w:sz w:val="24"/>
          <w:szCs w:val="24"/>
        </w:rPr>
        <w:t xml:space="preserve">/ml of BCSCs as control, the area proportion of positive peaks </w:t>
      </w:r>
      <w:r w:rsidRPr="00D75C9C">
        <w:rPr>
          <w:rFonts w:ascii="Times New Roman" w:hAnsi="Times New Roman" w:cs="Times New Roman" w:hint="eastAsia"/>
          <w:sz w:val="24"/>
          <w:szCs w:val="24"/>
        </w:rPr>
        <w:t>w</w:t>
      </w:r>
      <w:r w:rsidRPr="00D75C9C">
        <w:rPr>
          <w:rFonts w:ascii="Times New Roman" w:hAnsi="Times New Roman" w:cs="Times New Roman"/>
          <w:sz w:val="24"/>
          <w:szCs w:val="24"/>
        </w:rPr>
        <w:t>ere remarkably increased with the BCSCs</w:t>
      </w:r>
      <w:r w:rsidRPr="00D75C9C" w:rsidDel="0013390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5C9C">
        <w:rPr>
          <w:rFonts w:ascii="Times New Roman" w:hAnsi="Times New Roman" w:cs="Times New Roman" w:hint="eastAsia"/>
          <w:sz w:val="24"/>
          <w:szCs w:val="24"/>
        </w:rPr>
        <w:t>concentration</w:t>
      </w:r>
      <w:r w:rsidRPr="00D75C9C">
        <w:rPr>
          <w:rFonts w:ascii="Times New Roman" w:hAnsi="Times New Roman" w:cs="Times New Roman"/>
          <w:sz w:val="24"/>
          <w:szCs w:val="24"/>
        </w:rPr>
        <w:t xml:space="preserve"> rising </w:t>
      </w:r>
      <w:r w:rsidRPr="00D75C9C">
        <w:rPr>
          <w:rFonts w:ascii="Times New Roman" w:hAnsi="Times New Roman" w:cs="Times New Roman" w:hint="eastAsia"/>
          <w:sz w:val="24"/>
          <w:szCs w:val="24"/>
        </w:rPr>
        <w:t>(</w:t>
      </w:r>
      <w:r w:rsidRPr="00D75C9C">
        <w:rPr>
          <w:rFonts w:ascii="Times New Roman" w:hAnsi="Times New Roman" w:cs="Times New Roman"/>
          <w:sz w:val="24"/>
          <w:szCs w:val="24"/>
        </w:rPr>
        <w:t>Fig.</w:t>
      </w:r>
      <w:r w:rsidR="00C86A8C">
        <w:rPr>
          <w:rFonts w:ascii="Times New Roman" w:hAnsi="Times New Roman" w:cs="Times New Roman"/>
          <w:sz w:val="24"/>
          <w:szCs w:val="24"/>
        </w:rPr>
        <w:t xml:space="preserve"> </w:t>
      </w:r>
      <w:r w:rsidRPr="00D75C9C">
        <w:rPr>
          <w:rFonts w:ascii="Times New Roman" w:hAnsi="Times New Roman" w:cs="Times New Roman"/>
          <w:sz w:val="24"/>
          <w:szCs w:val="24"/>
        </w:rPr>
        <w:t>S3</w:t>
      </w:r>
      <w:r w:rsidRPr="00D75C9C">
        <w:rPr>
          <w:rFonts w:ascii="Times New Roman" w:hAnsi="Times New Roman" w:cs="Times New Roman" w:hint="eastAsia"/>
          <w:sz w:val="24"/>
          <w:szCs w:val="24"/>
        </w:rPr>
        <w:t>)</w:t>
      </w:r>
      <w:r w:rsidRPr="00D75C9C">
        <w:rPr>
          <w:rFonts w:ascii="Times New Roman" w:hAnsi="Times New Roman" w:cs="Times New Roman"/>
          <w:sz w:val="24"/>
          <w:szCs w:val="24"/>
        </w:rPr>
        <w:t>. The mitochondrial ROS</w:t>
      </w:r>
      <w:r w:rsidRPr="00D75C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5C9C">
        <w:rPr>
          <w:rFonts w:ascii="Times New Roman" w:hAnsi="Times New Roman" w:cs="Times New Roman"/>
          <w:sz w:val="24"/>
          <w:szCs w:val="24"/>
        </w:rPr>
        <w:t xml:space="preserve">increased more than 30% after treatment with 25 </w:t>
      </w:r>
      <w:proofErr w:type="spellStart"/>
      <w:r w:rsidRPr="00D75C9C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D75C9C">
        <w:rPr>
          <w:rFonts w:ascii="Times New Roman" w:hAnsi="Times New Roman" w:cs="Times New Roman"/>
          <w:sz w:val="24"/>
          <w:szCs w:val="24"/>
        </w:rPr>
        <w:t>/ml of BCSCs,</w:t>
      </w:r>
      <w:r w:rsidRPr="00D75C9C">
        <w:t xml:space="preserve"> </w:t>
      </w:r>
      <w:r w:rsidRPr="00D75C9C">
        <w:rPr>
          <w:rFonts w:ascii="Times New Roman" w:hAnsi="Times New Roman" w:cs="Times New Roman"/>
          <w:sz w:val="24"/>
          <w:szCs w:val="24"/>
        </w:rPr>
        <w:t xml:space="preserve">even up to 80% </w:t>
      </w:r>
      <w:r w:rsidRPr="00D75C9C">
        <w:rPr>
          <w:rFonts w:ascii="Times New Roman" w:hAnsi="Times New Roman" w:cs="Times New Roman" w:hint="eastAsia"/>
          <w:sz w:val="24"/>
          <w:szCs w:val="24"/>
        </w:rPr>
        <w:t>in</w:t>
      </w:r>
      <w:r w:rsidRPr="00D75C9C">
        <w:rPr>
          <w:rFonts w:ascii="Times New Roman" w:hAnsi="Times New Roman" w:cs="Times New Roman"/>
          <w:sz w:val="24"/>
          <w:szCs w:val="24"/>
        </w:rPr>
        <w:t xml:space="preserve"> 200 </w:t>
      </w:r>
      <w:proofErr w:type="spellStart"/>
      <w:r w:rsidRPr="00D75C9C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D75C9C">
        <w:rPr>
          <w:rFonts w:ascii="Times New Roman" w:hAnsi="Times New Roman" w:cs="Times New Roman"/>
          <w:sz w:val="24"/>
          <w:szCs w:val="24"/>
        </w:rPr>
        <w:t xml:space="preserve">/ml of BCSCs. The results demonstrated that the ROS generation was </w:t>
      </w:r>
      <w:r w:rsidRPr="00D75C9C">
        <w:rPr>
          <w:rFonts w:ascii="Times New Roman" w:hAnsi="Times New Roman" w:cs="Times New Roman"/>
          <w:sz w:val="24"/>
          <w:szCs w:val="24"/>
        </w:rPr>
        <w:lastRenderedPageBreak/>
        <w:t>associated with BCSCs</w:t>
      </w:r>
      <w:r w:rsidRPr="00D75C9C" w:rsidDel="00BA7545">
        <w:rPr>
          <w:rFonts w:ascii="Times New Roman" w:hAnsi="Times New Roman" w:cs="Times New Roman"/>
          <w:sz w:val="24"/>
          <w:szCs w:val="24"/>
        </w:rPr>
        <w:t xml:space="preserve"> </w:t>
      </w:r>
      <w:r w:rsidRPr="00D75C9C">
        <w:rPr>
          <w:rFonts w:ascii="Times New Roman" w:hAnsi="Times New Roman" w:cs="Times New Roman"/>
          <w:sz w:val="24"/>
          <w:szCs w:val="24"/>
        </w:rPr>
        <w:t>concentration in a dose-response manner.</w:t>
      </w:r>
    </w:p>
    <w:bookmarkEnd w:id="20"/>
    <w:p w14:paraId="73AF8539" w14:textId="453F19F1" w:rsidR="0099744B" w:rsidRPr="00B1742D" w:rsidRDefault="002F66B0" w:rsidP="00015D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98E431" wp14:editId="68028F44">
            <wp:extent cx="3044825" cy="1958340"/>
            <wp:effectExtent l="0" t="0" r="3175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6E20E" w14:textId="77777777" w:rsidR="0099744B" w:rsidRPr="00B1742D" w:rsidRDefault="0099744B" w:rsidP="00015D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742D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>Fig</w:t>
      </w:r>
      <w:r w:rsidRPr="00B1742D">
        <w:rPr>
          <w:rFonts w:ascii="Times New Roman" w:eastAsia="ArialUnicodeMS" w:hAnsi="Times New Roman" w:cs="Times New Roman" w:hint="eastAsia"/>
          <w:b/>
          <w:bCs/>
          <w:color w:val="000000"/>
          <w:kern w:val="0"/>
          <w:sz w:val="24"/>
          <w:szCs w:val="24"/>
        </w:rPr>
        <w:t>.</w:t>
      </w:r>
      <w:r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 xml:space="preserve"> S</w:t>
      </w:r>
      <w:r w:rsidR="003B22ED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b/>
          <w:sz w:val="24"/>
          <w:szCs w:val="24"/>
        </w:rPr>
        <w:t xml:space="preserve">Effects of </w:t>
      </w:r>
      <w:r>
        <w:rPr>
          <w:rFonts w:ascii="Times New Roman" w:hAnsi="Times New Roman" w:cs="Times New Roman"/>
          <w:b/>
          <w:sz w:val="24"/>
          <w:szCs w:val="24"/>
        </w:rPr>
        <w:t>BCSCs</w:t>
      </w:r>
      <w:r w:rsidRPr="00B1742D">
        <w:rPr>
          <w:rFonts w:ascii="Times New Roman" w:hAnsi="Times New Roman" w:cs="Times New Roman"/>
          <w:b/>
          <w:sz w:val="24"/>
          <w:szCs w:val="24"/>
        </w:rPr>
        <w:t xml:space="preserve"> on ROS generation in </w:t>
      </w:r>
      <w:bookmarkStart w:id="21" w:name="_Hlk529265660"/>
      <w:proofErr w:type="spellStart"/>
      <w:r w:rsidRPr="00B1742D">
        <w:rPr>
          <w:rFonts w:ascii="Times New Roman" w:hAnsi="Times New Roman" w:cs="Times New Roman"/>
          <w:b/>
          <w:sz w:val="24"/>
          <w:szCs w:val="24"/>
        </w:rPr>
        <w:t>HPAEpiC</w:t>
      </w:r>
      <w:bookmarkEnd w:id="21"/>
      <w:proofErr w:type="spellEnd"/>
      <w:r w:rsidRPr="00B1742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1742D">
        <w:rPr>
          <w:rFonts w:ascii="Times New Roman" w:hAnsi="Times New Roman" w:cs="Times New Roman"/>
          <w:sz w:val="24"/>
          <w:szCs w:val="24"/>
        </w:rPr>
        <w:t xml:space="preserve">The histograms are representative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1742D">
        <w:rPr>
          <w:rFonts w:ascii="Times New Roman" w:hAnsi="Times New Roman" w:cs="Times New Roman"/>
          <w:sz w:val="24"/>
          <w:szCs w:val="24"/>
        </w:rPr>
        <w:t xml:space="preserve">three independent experiments and the percentage of intracellular ROS is expressed as average ± standard deviation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1742D">
        <w:rPr>
          <w:rFonts w:ascii="Times New Roman" w:hAnsi="Times New Roman" w:cs="Times New Roman"/>
          <w:sz w:val="24"/>
          <w:szCs w:val="24"/>
        </w:rPr>
        <w:t xml:space="preserve">three </w:t>
      </w:r>
      <w:r>
        <w:rPr>
          <w:rFonts w:ascii="Times New Roman" w:hAnsi="Times New Roman" w:cs="Times New Roman"/>
          <w:sz w:val="24"/>
          <w:szCs w:val="24"/>
        </w:rPr>
        <w:t>independent</w:t>
      </w:r>
      <w:r w:rsidRPr="00B1742D">
        <w:rPr>
          <w:rFonts w:ascii="Times New Roman" w:hAnsi="Times New Roman" w:cs="Times New Roman"/>
          <w:sz w:val="24"/>
          <w:szCs w:val="24"/>
        </w:rPr>
        <w:t xml:space="preserve"> experiments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1742D">
        <w:rPr>
          <w:rFonts w:ascii="Times New Roman" w:hAnsi="Times New Roman" w:cs="Times New Roman"/>
          <w:noProof/>
          <w:sz w:val="24"/>
          <w:szCs w:val="24"/>
        </w:rPr>
        <w:t>*</w:t>
      </w:r>
      <w:r>
        <w:rPr>
          <w:rFonts w:ascii="Times New Roman" w:hAnsi="Times New Roman" w:cs="Times New Roman"/>
          <w:noProof/>
          <w:sz w:val="24"/>
          <w:szCs w:val="24"/>
        </w:rPr>
        <w:t>: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i/>
          <w:noProof/>
          <w:sz w:val="24"/>
          <w:szCs w:val="24"/>
        </w:rPr>
        <w:t>P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noProof/>
          <w:sz w:val="24"/>
          <w:szCs w:val="24"/>
        </w:rPr>
        <w:sym w:font="Symbol" w:char="F03C"/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0.05, </w:t>
      </w:r>
      <w:r w:rsidRPr="00B1742D">
        <w:rPr>
          <w:rFonts w:ascii="Times New Roman" w:hAnsi="Times New Roman" w:cs="Times New Roman"/>
          <w:sz w:val="24"/>
          <w:szCs w:val="24"/>
        </w:rPr>
        <w:t>**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1742D">
        <w:rPr>
          <w:rFonts w:ascii="Times New Roman" w:hAnsi="Times New Roman" w:cs="Times New Roman"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i/>
          <w:sz w:val="24"/>
          <w:szCs w:val="24"/>
        </w:rPr>
        <w:t>P</w:t>
      </w:r>
      <w:r w:rsidRPr="00B1742D">
        <w:rPr>
          <w:rFonts w:ascii="Times New Roman" w:hAnsi="Times New Roman" w:cs="Times New Roman"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noProof/>
          <w:sz w:val="24"/>
          <w:szCs w:val="24"/>
        </w:rPr>
        <w:sym w:font="Symbol" w:char="F03C"/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sz w:val="24"/>
          <w:szCs w:val="24"/>
        </w:rPr>
        <w:t>0.01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1742D">
        <w:rPr>
          <w:rFonts w:ascii="Times New Roman" w:hAnsi="Times New Roman" w:cs="Times New Roman"/>
          <w:sz w:val="24"/>
          <w:szCs w:val="24"/>
        </w:rPr>
        <w:t>.</w:t>
      </w:r>
    </w:p>
    <w:p w14:paraId="4A6B00C9" w14:textId="77777777" w:rsidR="0099744B" w:rsidRPr="00B1742D" w:rsidRDefault="0099744B" w:rsidP="00015DAC">
      <w:pPr>
        <w:spacing w:line="480" w:lineRule="auto"/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</w:pPr>
      <w:r w:rsidRPr="00B1742D"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Activation of caspase-9 and caspase-3 </w:t>
      </w:r>
    </w:p>
    <w:p w14:paraId="49018D39" w14:textId="02AAEAAA" w:rsidR="006D5144" w:rsidRPr="00D75C9C" w:rsidRDefault="006D5144" w:rsidP="00015D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75C9C">
        <w:rPr>
          <w:rFonts w:ascii="Times New Roman" w:hAnsi="Times New Roman" w:cs="Times New Roman"/>
          <w:sz w:val="24"/>
          <w:szCs w:val="24"/>
        </w:rPr>
        <w:t xml:space="preserve">As shown in Fig. S4, </w:t>
      </w:r>
      <w:r w:rsidRPr="00D75C9C">
        <w:rPr>
          <w:rFonts w:ascii="Times New Roman" w:hAnsi="Times New Roman" w:cs="Times New Roman" w:hint="eastAsia"/>
          <w:sz w:val="24"/>
          <w:szCs w:val="24"/>
        </w:rPr>
        <w:t>t</w:t>
      </w:r>
      <w:r w:rsidRPr="00D75C9C">
        <w:rPr>
          <w:rFonts w:ascii="Times New Roman" w:hAnsi="Times New Roman" w:cs="Times New Roman"/>
          <w:sz w:val="24"/>
          <w:szCs w:val="24"/>
        </w:rPr>
        <w:t>he expression of caspase-9 and caspase-3 declined apparently with the increasing</w:t>
      </w:r>
      <w:r w:rsidRPr="00D75C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5C9C">
        <w:rPr>
          <w:rFonts w:ascii="Times New Roman" w:hAnsi="Times New Roman" w:cs="Times New Roman"/>
          <w:sz w:val="24"/>
          <w:szCs w:val="24"/>
        </w:rPr>
        <w:t>concentration of BCSC</w:t>
      </w:r>
      <w:r w:rsidRPr="00D75C9C">
        <w:rPr>
          <w:rFonts w:ascii="Times New Roman" w:hAnsi="Times New Roman" w:cs="Times New Roman" w:hint="eastAsia"/>
          <w:sz w:val="24"/>
          <w:szCs w:val="24"/>
        </w:rPr>
        <w:t>s</w:t>
      </w:r>
      <w:r w:rsidRPr="00D75C9C">
        <w:rPr>
          <w:rFonts w:ascii="Times New Roman" w:hAnsi="Times New Roman" w:cs="Times New Roman"/>
          <w:sz w:val="24"/>
          <w:szCs w:val="24"/>
        </w:rPr>
        <w:t xml:space="preserve">, </w:t>
      </w:r>
      <w:r w:rsidRPr="00D75C9C">
        <w:rPr>
          <w:rFonts w:ascii="Times New Roman" w:hAnsi="Times New Roman" w:cs="Times New Roman" w:hint="eastAsia"/>
          <w:sz w:val="24"/>
          <w:szCs w:val="24"/>
        </w:rPr>
        <w:t>while</w:t>
      </w:r>
      <w:r w:rsidRPr="00D75C9C">
        <w:rPr>
          <w:rFonts w:ascii="Times New Roman" w:hAnsi="Times New Roman" w:cs="Times New Roman"/>
          <w:sz w:val="24"/>
          <w:szCs w:val="24"/>
        </w:rPr>
        <w:t xml:space="preserve"> </w:t>
      </w:r>
      <w:r w:rsidRPr="00D75C9C">
        <w:rPr>
          <w:rFonts w:ascii="Times New Roman" w:hAnsi="Times New Roman" w:cs="Times New Roman" w:hint="eastAsia"/>
          <w:sz w:val="24"/>
          <w:szCs w:val="24"/>
        </w:rPr>
        <w:t>t</w:t>
      </w:r>
      <w:r w:rsidRPr="00D75C9C">
        <w:rPr>
          <w:rFonts w:ascii="Times New Roman" w:hAnsi="Times New Roman" w:cs="Times New Roman"/>
          <w:sz w:val="24"/>
          <w:szCs w:val="24"/>
        </w:rPr>
        <w:t>he expression of cleaved caspase-9 and -3 increased.</w:t>
      </w:r>
      <w:r w:rsidRPr="00D75C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5C9C">
        <w:rPr>
          <w:rFonts w:ascii="Times New Roman" w:hAnsi="Times New Roman" w:cs="Times New Roman"/>
          <w:sz w:val="24"/>
          <w:szCs w:val="24"/>
        </w:rPr>
        <w:t xml:space="preserve">Compared with the control group (0 </w:t>
      </w:r>
      <w:proofErr w:type="spellStart"/>
      <w:r w:rsidRPr="00D75C9C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D75C9C">
        <w:rPr>
          <w:rFonts w:ascii="Times New Roman" w:hAnsi="Times New Roman" w:cs="Times New Roman"/>
          <w:sz w:val="24"/>
          <w:szCs w:val="24"/>
        </w:rPr>
        <w:t>/ml of BCSCs)</w:t>
      </w:r>
      <w:r w:rsidRPr="00D75C9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D75C9C">
        <w:rPr>
          <w:rFonts w:ascii="Times New Roman" w:hAnsi="Times New Roman" w:cs="Times New Roman"/>
          <w:sz w:val="24"/>
          <w:szCs w:val="24"/>
        </w:rPr>
        <w:t>the expression of cleaved caspase-9 and -3 both increased remarkably after exposure to 25-μg/ml BCSC</w:t>
      </w:r>
      <w:r w:rsidRPr="00D75C9C">
        <w:rPr>
          <w:rFonts w:ascii="Times New Roman" w:hAnsi="Times New Roman" w:cs="Times New Roman" w:hint="eastAsia"/>
          <w:sz w:val="24"/>
          <w:szCs w:val="24"/>
        </w:rPr>
        <w:t>s</w:t>
      </w:r>
      <w:r w:rsidRPr="00D75C9C">
        <w:rPr>
          <w:rFonts w:ascii="Times New Roman" w:hAnsi="Times New Roman" w:cs="Times New Roman"/>
          <w:sz w:val="24"/>
          <w:szCs w:val="24"/>
        </w:rPr>
        <w:t>.</w:t>
      </w:r>
    </w:p>
    <w:p w14:paraId="49B0A9AB" w14:textId="467685C6" w:rsidR="0099744B" w:rsidRPr="00B1742D" w:rsidRDefault="002F66B0" w:rsidP="00015DAC">
      <w:pPr>
        <w:spacing w:line="480" w:lineRule="auto"/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012B6038" wp14:editId="7352B1A9">
            <wp:extent cx="2363470" cy="4572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9E362" w14:textId="72749863" w:rsidR="0099744B" w:rsidRPr="00B1742D" w:rsidRDefault="0099744B" w:rsidP="00015DAC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B1742D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3B22ED">
        <w:rPr>
          <w:rFonts w:ascii="Times New Roman" w:hAnsi="Times New Roman" w:cs="Times New Roman"/>
          <w:b/>
          <w:sz w:val="24"/>
          <w:szCs w:val="24"/>
        </w:rPr>
        <w:t>4</w:t>
      </w:r>
      <w:r w:rsidRPr="00B174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F53D6C">
        <w:rPr>
          <w:rFonts w:ascii="Times New Roman" w:hAnsi="Times New Roman" w:cs="Times New Roman"/>
          <w:b/>
          <w:kern w:val="0"/>
          <w:sz w:val="24"/>
          <w:szCs w:val="24"/>
        </w:rPr>
        <w:t>The</w:t>
      </w:r>
      <w:proofErr w:type="gramEnd"/>
      <w:r w:rsidR="00F53D6C">
        <w:rPr>
          <w:rFonts w:ascii="Times New Roman" w:hAnsi="Times New Roman" w:cs="Times New Roman"/>
          <w:b/>
          <w:kern w:val="0"/>
          <w:sz w:val="24"/>
          <w:szCs w:val="24"/>
        </w:rPr>
        <w:t xml:space="preserve"> expression and activation of caspase-3, and caspase-9 in</w:t>
      </w:r>
      <w:r w:rsidR="00F53D6C"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</w:t>
      </w:r>
      <w:proofErr w:type="spellStart"/>
      <w:r w:rsidR="00F53D6C">
        <w:rPr>
          <w:rFonts w:ascii="Times New Roman" w:hAnsi="Times New Roman" w:cs="Times New Roman"/>
          <w:b/>
          <w:kern w:val="0"/>
          <w:sz w:val="24"/>
          <w:szCs w:val="24"/>
        </w:rPr>
        <w:t>HPAEpiC</w:t>
      </w:r>
      <w:proofErr w:type="spellEnd"/>
      <w:r w:rsidR="00F53D6C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="00F53D6C">
        <w:rPr>
          <w:rFonts w:ascii="Times New Roman" w:hAnsi="Times New Roman" w:cs="Times New Roman"/>
          <w:kern w:val="0"/>
          <w:sz w:val="24"/>
          <w:szCs w:val="24"/>
        </w:rPr>
        <w:t>(A) Representative Western blot analysis of cleaved caspase-3, caspase-3, cleaved caspase-9, and caspase-9, with β-</w:t>
      </w:r>
      <w:proofErr w:type="spellStart"/>
      <w:r w:rsidR="00F53D6C">
        <w:rPr>
          <w:rFonts w:ascii="Times New Roman" w:hAnsi="Times New Roman" w:cs="Times New Roman"/>
          <w:kern w:val="0"/>
          <w:sz w:val="24"/>
          <w:szCs w:val="24"/>
        </w:rPr>
        <w:t>actin</w:t>
      </w:r>
      <w:proofErr w:type="spellEnd"/>
      <w:r w:rsidR="00F53D6C">
        <w:rPr>
          <w:rFonts w:ascii="Times New Roman" w:hAnsi="Times New Roman" w:cs="Times New Roman"/>
          <w:kern w:val="0"/>
          <w:sz w:val="24"/>
          <w:szCs w:val="24"/>
        </w:rPr>
        <w:t xml:space="preserve"> as a loading control. The relative gray value of cleaved caspase-3 (B) and cleaved caspase-9 (C) in </w:t>
      </w:r>
      <w:proofErr w:type="spellStart"/>
      <w:r w:rsidR="00F53D6C">
        <w:rPr>
          <w:rFonts w:ascii="Times New Roman" w:hAnsi="Times New Roman" w:cs="Times New Roman"/>
          <w:kern w:val="0"/>
          <w:sz w:val="24"/>
          <w:szCs w:val="24"/>
        </w:rPr>
        <w:t>HPAEpiC</w:t>
      </w:r>
      <w:proofErr w:type="spellEnd"/>
      <w:r w:rsidR="00F53D6C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F53D6C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* </w:t>
      </w:r>
      <w:r w:rsidR="00F53D6C">
        <w:rPr>
          <w:rFonts w:ascii="Times New Roman" w:hAnsi="Times New Roman" w:cs="Times New Roman"/>
          <w:i/>
          <w:noProof/>
          <w:kern w:val="0"/>
          <w:sz w:val="24"/>
          <w:szCs w:val="24"/>
        </w:rPr>
        <w:t>P</w:t>
      </w:r>
      <w:r w:rsidR="00F53D6C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</w:t>
      </w:r>
      <w:r w:rsidR="00F53D6C">
        <w:rPr>
          <w:rFonts w:ascii="Times New Roman" w:hAnsi="Times New Roman" w:cs="Times New Roman"/>
          <w:noProof/>
          <w:kern w:val="0"/>
          <w:sz w:val="24"/>
          <w:szCs w:val="24"/>
        </w:rPr>
        <w:sym w:font="Symbol" w:char="F03C"/>
      </w:r>
      <w:r w:rsidR="00F53D6C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0.05, ** </w:t>
      </w:r>
      <w:r w:rsidR="00F53D6C">
        <w:rPr>
          <w:rFonts w:ascii="Times New Roman" w:hAnsi="Times New Roman" w:cs="Times New Roman"/>
          <w:i/>
          <w:noProof/>
          <w:kern w:val="0"/>
          <w:sz w:val="24"/>
          <w:szCs w:val="24"/>
        </w:rPr>
        <w:t>P</w:t>
      </w:r>
      <w:r w:rsidR="00F53D6C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</w:t>
      </w:r>
      <w:r w:rsidR="00F53D6C">
        <w:rPr>
          <w:rFonts w:ascii="Times New Roman" w:hAnsi="Times New Roman" w:cs="Times New Roman"/>
          <w:noProof/>
          <w:kern w:val="0"/>
          <w:sz w:val="24"/>
          <w:szCs w:val="24"/>
        </w:rPr>
        <w:sym w:font="Symbol" w:char="F03C"/>
      </w:r>
      <w:r w:rsidR="00F53D6C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0.01.</w:t>
      </w:r>
    </w:p>
    <w:p w14:paraId="0E44ED6A" w14:textId="77777777" w:rsidR="0099744B" w:rsidRPr="00B1742D" w:rsidRDefault="0099744B" w:rsidP="00015DAC">
      <w:pPr>
        <w:spacing w:line="480" w:lineRule="auto"/>
        <w:ind w:left="126" w:hangingChars="50" w:hanging="1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Protective effects of </w:t>
      </w:r>
      <w:r w:rsidRPr="00B1742D"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NAC </w:t>
      </w:r>
      <w:r>
        <w:rPr>
          <w:rFonts w:ascii="Times New Roman" w:hAnsi="Times New Roman" w:cs="Times New Roman"/>
          <w:b/>
          <w:sz w:val="24"/>
          <w:szCs w:val="24"/>
        </w:rPr>
        <w:t>against BCSCs</w:t>
      </w:r>
      <w:r w:rsidRPr="00B1742D">
        <w:rPr>
          <w:rFonts w:ascii="Times New Roman" w:hAnsi="Times New Roman" w:cs="Times New Roman"/>
          <w:b/>
          <w:sz w:val="24"/>
          <w:szCs w:val="24"/>
        </w:rPr>
        <w:t>-induced cytotoxicity</w:t>
      </w:r>
      <w:r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HPAEpiC</w:t>
      </w:r>
      <w:proofErr w:type="spellEnd"/>
      <w:r w:rsidRPr="00B174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BD3137" w14:textId="7A4B4E44" w:rsidR="00C72556" w:rsidRPr="00D75C9C" w:rsidRDefault="006D5144" w:rsidP="00015D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shown in Fig. S5,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a</w:t>
      </w:r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fter </w:t>
      </w:r>
      <w:r>
        <w:rPr>
          <w:rFonts w:ascii="Times New Roman" w:eastAsia="ArialUnicodeMS" w:hAnsi="Times New Roman" w:cs="Times New Roman" w:hint="eastAsia"/>
          <w:color w:val="000000"/>
          <w:kern w:val="0"/>
          <w:sz w:val="24"/>
          <w:szCs w:val="24"/>
        </w:rPr>
        <w:t>exposure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UnicodeMS" w:hAnsi="Times New Roman" w:cs="Times New Roman" w:hint="eastAsia"/>
          <w:color w:val="000000"/>
          <w:kern w:val="0"/>
          <w:sz w:val="24"/>
          <w:szCs w:val="24"/>
        </w:rPr>
        <w:t>to</w:t>
      </w:r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sz w:val="24"/>
          <w:szCs w:val="24"/>
        </w:rPr>
        <w:t xml:space="preserve">200 </w:t>
      </w:r>
      <w:proofErr w:type="spellStart"/>
      <w:r w:rsidRPr="00B1742D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B1742D">
        <w:rPr>
          <w:rFonts w:ascii="Times New Roman" w:hAnsi="Times New Roman" w:cs="Times New Roman"/>
          <w:sz w:val="24"/>
          <w:szCs w:val="24"/>
        </w:rPr>
        <w:t>/ml</w:t>
      </w:r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of BCSCs,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1742D">
        <w:rPr>
          <w:rFonts w:ascii="Times New Roman" w:hAnsi="Times New Roman" w:cs="Times New Roman"/>
          <w:sz w:val="24"/>
          <w:szCs w:val="24"/>
        </w:rPr>
        <w:t xml:space="preserve">ROS production, </w:t>
      </w:r>
      <w:r>
        <w:rPr>
          <w:rFonts w:ascii="Times New Roman" w:hAnsi="Times New Roman" w:cs="Times New Roman"/>
          <w:sz w:val="24"/>
          <w:szCs w:val="24"/>
        </w:rPr>
        <w:t>the e</w:t>
      </w:r>
      <w:r w:rsidRPr="00B1742D">
        <w:rPr>
          <w:rFonts w:ascii="Times New Roman" w:hAnsi="Times New Roman" w:cs="Times New Roman"/>
          <w:sz w:val="24"/>
          <w:szCs w:val="24"/>
        </w:rPr>
        <w:t>xpression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742D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phosphoryla</w:t>
      </w:r>
      <w:r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>ted</w:t>
      </w:r>
      <w:r w:rsidRPr="00B1742D">
        <w:rPr>
          <w:rFonts w:ascii="Times New Roman" w:eastAsia="ArialUnicodeMS" w:hAnsi="Times New Roman" w:cs="Times New Roman"/>
          <w:bCs/>
          <w:color w:val="000000"/>
          <w:kern w:val="0"/>
          <w:sz w:val="24"/>
          <w:szCs w:val="24"/>
        </w:rPr>
        <w:t xml:space="preserve"> p53, </w:t>
      </w:r>
      <w:r w:rsidRPr="00B1742D">
        <w:rPr>
          <w:rFonts w:ascii="Times New Roman" w:hAnsi="Times New Roman" w:cs="Times New Roman"/>
          <w:sz w:val="24"/>
          <w:szCs w:val="24"/>
        </w:rPr>
        <w:t>and</w:t>
      </w:r>
      <w:r w:rsidRPr="001D61E0">
        <w:rPr>
          <w:rFonts w:ascii="Times New Roman" w:hAnsi="Times New Roman" w:cs="Times New Roman"/>
          <w:sz w:val="24"/>
          <w:szCs w:val="24"/>
        </w:rPr>
        <w:t xml:space="preserve"> apoptosis rat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increased </w:t>
      </w:r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considerably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,</w:t>
      </w:r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>while the cell viability decreased significantly compared with that of the control values</w:t>
      </w:r>
      <w:r w:rsidRPr="00B1742D"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  <w:t xml:space="preserve">. </w:t>
      </w:r>
      <w:r w:rsidRPr="00D75C9C">
        <w:rPr>
          <w:rFonts w:ascii="Times New Roman" w:eastAsia="ArialUnicodeMS" w:hAnsi="Times New Roman" w:cs="Times New Roman"/>
          <w:kern w:val="0"/>
          <w:sz w:val="24"/>
          <w:szCs w:val="24"/>
        </w:rPr>
        <w:t>However,</w:t>
      </w:r>
      <w:r w:rsidRPr="00D75C9C">
        <w:rPr>
          <w:rFonts w:ascii="Times New Roman" w:hAnsi="Times New Roman" w:cs="Times New Roman"/>
          <w:sz w:val="24"/>
          <w:szCs w:val="24"/>
        </w:rPr>
        <w:t xml:space="preserve"> after adding 5-mM NAC, </w:t>
      </w:r>
      <w:r w:rsidRPr="00D75C9C">
        <w:rPr>
          <w:rFonts w:ascii="Times New Roman" w:hAnsi="Times New Roman" w:cs="Times New Roman" w:hint="eastAsia"/>
          <w:sz w:val="24"/>
          <w:szCs w:val="24"/>
        </w:rPr>
        <w:t>t</w:t>
      </w:r>
      <w:r w:rsidRPr="00D75C9C">
        <w:rPr>
          <w:rFonts w:ascii="Times New Roman" w:hAnsi="Times New Roman" w:cs="Times New Roman"/>
          <w:sz w:val="24"/>
          <w:szCs w:val="24"/>
        </w:rPr>
        <w:t>he generation of mitochondrial ROS decline</w:t>
      </w:r>
      <w:r w:rsidRPr="00D75C9C">
        <w:rPr>
          <w:rFonts w:ascii="Times New Roman" w:hAnsi="Times New Roman" w:cs="Times New Roman" w:hint="eastAsia"/>
          <w:sz w:val="24"/>
          <w:szCs w:val="24"/>
        </w:rPr>
        <w:t>d</w:t>
      </w:r>
      <w:r w:rsidRPr="00D75C9C">
        <w:rPr>
          <w:rFonts w:ascii="Times New Roman" w:hAnsi="Times New Roman" w:cs="Times New Roman"/>
          <w:sz w:val="24"/>
          <w:szCs w:val="24"/>
        </w:rPr>
        <w:t xml:space="preserve"> by two-thirds</w:t>
      </w:r>
      <w:r w:rsidRPr="00D75C9C">
        <w:rPr>
          <w:rFonts w:ascii="Times New Roman" w:hAnsi="Times New Roman" w:cs="Times New Roman" w:hint="eastAsia"/>
          <w:sz w:val="24"/>
          <w:szCs w:val="24"/>
        </w:rPr>
        <w:t>,</w:t>
      </w:r>
      <w:r w:rsidRPr="00D75C9C">
        <w:rPr>
          <w:rFonts w:ascii="Times New Roman" w:hAnsi="Times New Roman" w:cs="Times New Roman"/>
          <w:sz w:val="24"/>
          <w:szCs w:val="24"/>
        </w:rPr>
        <w:t xml:space="preserve"> </w:t>
      </w:r>
      <w:r w:rsidRPr="00D75C9C">
        <w:rPr>
          <w:rFonts w:ascii="Times New Roman" w:hAnsi="Times New Roman" w:cs="Times New Roman" w:hint="eastAsia"/>
          <w:sz w:val="24"/>
          <w:szCs w:val="24"/>
        </w:rPr>
        <w:t>t</w:t>
      </w:r>
      <w:r w:rsidRPr="00D75C9C">
        <w:rPr>
          <w:rFonts w:ascii="Times New Roman" w:hAnsi="Times New Roman" w:cs="Times New Roman"/>
          <w:sz w:val="24"/>
          <w:szCs w:val="24"/>
        </w:rPr>
        <w:t xml:space="preserve">he 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 xml:space="preserve">phosphorylated p53 </w:t>
      </w:r>
      <w:r w:rsidRPr="00D75C9C">
        <w:rPr>
          <w:rFonts w:ascii="Times New Roman" w:hAnsi="Times New Roman" w:cs="Times New Roman"/>
          <w:sz w:val="24"/>
          <w:szCs w:val="24"/>
        </w:rPr>
        <w:t xml:space="preserve">expression 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>reduce</w:t>
      </w:r>
      <w:r w:rsidRPr="00D75C9C">
        <w:rPr>
          <w:rFonts w:ascii="Times New Roman" w:eastAsia="ArialUnicodeMS" w:hAnsi="Times New Roman" w:cs="Times New Roman" w:hint="eastAsia"/>
          <w:bCs/>
          <w:kern w:val="0"/>
          <w:sz w:val="24"/>
          <w:szCs w:val="24"/>
        </w:rPr>
        <w:t>d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 xml:space="preserve"> </w:t>
      </w:r>
      <w:r w:rsidRPr="00D75C9C">
        <w:rPr>
          <w:rFonts w:ascii="Times New Roman" w:eastAsia="ArialUnicodeMS" w:hAnsi="Times New Roman" w:cs="Times New Roman" w:hint="eastAsia"/>
          <w:bCs/>
          <w:kern w:val="0"/>
          <w:sz w:val="24"/>
          <w:szCs w:val="24"/>
        </w:rPr>
        <w:t>by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 xml:space="preserve"> </w:t>
      </w:r>
      <w:r w:rsidRPr="00D75C9C">
        <w:rPr>
          <w:rFonts w:ascii="Times New Roman" w:eastAsia="ArialUnicodeMS" w:hAnsi="Times New Roman" w:cs="Times New Roman" w:hint="eastAsia"/>
          <w:bCs/>
          <w:kern w:val="0"/>
          <w:sz w:val="24"/>
          <w:szCs w:val="24"/>
        </w:rPr>
        <w:t>more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 xml:space="preserve"> </w:t>
      </w:r>
      <w:r w:rsidRPr="00D75C9C">
        <w:rPr>
          <w:rFonts w:ascii="Times New Roman" w:eastAsia="ArialUnicodeMS" w:hAnsi="Times New Roman" w:cs="Times New Roman" w:hint="eastAsia"/>
          <w:bCs/>
          <w:kern w:val="0"/>
          <w:sz w:val="24"/>
          <w:szCs w:val="24"/>
        </w:rPr>
        <w:t>than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 xml:space="preserve"> one-third</w:t>
      </w:r>
      <w:r w:rsidRPr="00D75C9C">
        <w:rPr>
          <w:rFonts w:ascii="Times New Roman" w:eastAsia="ArialUnicodeMS" w:hAnsi="Times New Roman" w:cs="Times New Roman" w:hint="eastAsia"/>
          <w:bCs/>
          <w:kern w:val="0"/>
          <w:sz w:val="24"/>
          <w:szCs w:val="24"/>
        </w:rPr>
        <w:t>,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 xml:space="preserve"> </w:t>
      </w:r>
      <w:r w:rsidRPr="00D75C9C">
        <w:rPr>
          <w:rFonts w:ascii="Times New Roman" w:eastAsia="ArialUnicodeMS" w:hAnsi="Times New Roman" w:cs="Times New Roman" w:hint="eastAsia"/>
          <w:bCs/>
          <w:kern w:val="0"/>
          <w:sz w:val="24"/>
          <w:szCs w:val="24"/>
        </w:rPr>
        <w:t>and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 xml:space="preserve"> </w:t>
      </w:r>
      <w:r w:rsidRPr="00D75C9C">
        <w:rPr>
          <w:rFonts w:ascii="Times New Roman" w:hAnsi="Times New Roman" w:cs="Times New Roman"/>
          <w:sz w:val="24"/>
          <w:szCs w:val="24"/>
        </w:rPr>
        <w:t xml:space="preserve">the apoptotic </w:t>
      </w:r>
      <w:r w:rsidRPr="00D75C9C">
        <w:rPr>
          <w:rFonts w:ascii="Times New Roman" w:hAnsi="Times New Roman" w:cs="Times New Roman"/>
          <w:sz w:val="24"/>
          <w:szCs w:val="24"/>
        </w:rPr>
        <w:lastRenderedPageBreak/>
        <w:t xml:space="preserve">rate </w:t>
      </w:r>
      <w:r w:rsidRPr="00D75C9C">
        <w:rPr>
          <w:rFonts w:ascii="Times New Roman" w:hAnsi="Times New Roman" w:cs="Times New Roman" w:hint="eastAsia"/>
          <w:sz w:val="24"/>
          <w:szCs w:val="24"/>
        </w:rPr>
        <w:t>decreased</w:t>
      </w:r>
      <w:r w:rsidRPr="00D75C9C">
        <w:rPr>
          <w:rFonts w:ascii="Times New Roman" w:hAnsi="Times New Roman" w:cs="Times New Roman"/>
          <w:sz w:val="24"/>
          <w:szCs w:val="24"/>
        </w:rPr>
        <w:t xml:space="preserve"> by </w:t>
      </w:r>
      <w:r w:rsidRPr="00D75C9C">
        <w:rPr>
          <w:rFonts w:ascii="Times New Roman" w:hAnsi="Times New Roman" w:cs="Times New Roman" w:hint="eastAsia"/>
          <w:sz w:val="24"/>
          <w:szCs w:val="24"/>
        </w:rPr>
        <w:t>nearly</w:t>
      </w:r>
      <w:r w:rsidRPr="00D75C9C">
        <w:rPr>
          <w:rFonts w:ascii="Times New Roman" w:hAnsi="Times New Roman" w:cs="Times New Roman"/>
          <w:sz w:val="24"/>
          <w:szCs w:val="24"/>
        </w:rPr>
        <w:t xml:space="preserve"> half. I</w:t>
      </w:r>
      <w:r w:rsidRPr="00D75C9C">
        <w:rPr>
          <w:rFonts w:ascii="Times New Roman" w:hAnsi="Times New Roman" w:cs="Times New Roman" w:hint="eastAsia"/>
          <w:sz w:val="24"/>
          <w:szCs w:val="24"/>
        </w:rPr>
        <w:t>n</w:t>
      </w:r>
      <w:r w:rsidRPr="00D75C9C">
        <w:rPr>
          <w:rFonts w:ascii="Times New Roman" w:hAnsi="Times New Roman" w:cs="Times New Roman"/>
          <w:sz w:val="24"/>
          <w:szCs w:val="24"/>
        </w:rPr>
        <w:t xml:space="preserve"> </w:t>
      </w:r>
      <w:r w:rsidRPr="00D75C9C">
        <w:rPr>
          <w:rFonts w:ascii="Times New Roman" w:hAnsi="Times New Roman" w:cs="Times New Roman" w:hint="eastAsia"/>
          <w:sz w:val="24"/>
          <w:szCs w:val="24"/>
        </w:rPr>
        <w:t>addition</w:t>
      </w:r>
      <w:r w:rsidRPr="00D75C9C">
        <w:rPr>
          <w:rFonts w:ascii="Times New Roman" w:hAnsi="Times New Roman" w:cs="Times New Roman"/>
          <w:sz w:val="24"/>
          <w:szCs w:val="24"/>
        </w:rPr>
        <w:t xml:space="preserve">, there </w:t>
      </w:r>
      <w:r w:rsidRPr="00D75C9C">
        <w:rPr>
          <w:rFonts w:ascii="Times New Roman" w:hAnsi="Times New Roman" w:cs="Times New Roman" w:hint="eastAsia"/>
          <w:sz w:val="24"/>
          <w:szCs w:val="24"/>
        </w:rPr>
        <w:t>were</w:t>
      </w:r>
      <w:r w:rsidRPr="00D75C9C">
        <w:rPr>
          <w:rFonts w:ascii="Times New Roman" w:hAnsi="Times New Roman" w:cs="Times New Roman"/>
          <w:sz w:val="24"/>
          <w:szCs w:val="24"/>
        </w:rPr>
        <w:t xml:space="preserve"> still </w:t>
      </w:r>
      <w:r w:rsidRPr="00D75C9C">
        <w:rPr>
          <w:rFonts w:ascii="Times New Roman" w:eastAsia="宋体" w:hAnsi="Times New Roman" w:cs="Times New Roman"/>
          <w:sz w:val="24"/>
          <w:szCs w:val="24"/>
        </w:rPr>
        <w:t>significant</w:t>
      </w:r>
      <w:r w:rsidRPr="00D75C9C">
        <w:rPr>
          <w:rFonts w:ascii="Times New Roman" w:hAnsi="Times New Roman" w:cs="Times New Roman"/>
          <w:sz w:val="24"/>
          <w:szCs w:val="24"/>
        </w:rPr>
        <w:t xml:space="preserve"> differences between the NAC-added groups and the control groups in </w:t>
      </w:r>
      <w:r w:rsidRPr="00D75C9C">
        <w:rPr>
          <w:rFonts w:ascii="Times New Roman" w:eastAsia="ArialUnicodeMS" w:hAnsi="Times New Roman" w:cs="Times New Roman"/>
          <w:kern w:val="0"/>
          <w:sz w:val="24"/>
          <w:szCs w:val="24"/>
        </w:rPr>
        <w:t xml:space="preserve">the cell viability, </w:t>
      </w:r>
      <w:r w:rsidRPr="00D75C9C">
        <w:rPr>
          <w:rFonts w:ascii="Times New Roman" w:hAnsi="Times New Roman" w:cs="Times New Roman"/>
          <w:sz w:val="24"/>
          <w:szCs w:val="24"/>
        </w:rPr>
        <w:t xml:space="preserve">the 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>phosphorylated p53</w:t>
      </w:r>
      <w:r w:rsidRPr="00D75C9C">
        <w:rPr>
          <w:rFonts w:ascii="Times New Roman" w:hAnsi="Times New Roman" w:cs="Times New Roman"/>
          <w:sz w:val="24"/>
          <w:szCs w:val="24"/>
        </w:rPr>
        <w:t xml:space="preserve"> expression</w:t>
      </w:r>
      <w:r w:rsidRPr="00D75C9C">
        <w:rPr>
          <w:rFonts w:ascii="Times New Roman" w:eastAsia="ArialUnicodeMS" w:hAnsi="Times New Roman" w:cs="Times New Roman"/>
          <w:bCs/>
          <w:kern w:val="0"/>
          <w:sz w:val="24"/>
          <w:szCs w:val="24"/>
        </w:rPr>
        <w:t>,</w:t>
      </w:r>
      <w:r w:rsidRPr="00D75C9C">
        <w:rPr>
          <w:rFonts w:ascii="Times New Roman" w:hAnsi="Times New Roman" w:cs="Times New Roman"/>
          <w:sz w:val="24"/>
          <w:szCs w:val="24"/>
        </w:rPr>
        <w:t xml:space="preserve"> </w:t>
      </w:r>
      <w:r w:rsidRPr="00D75C9C">
        <w:rPr>
          <w:rFonts w:ascii="Times New Roman" w:hAnsi="Times New Roman" w:cs="Times New Roman" w:hint="eastAsia"/>
          <w:sz w:val="24"/>
          <w:szCs w:val="24"/>
        </w:rPr>
        <w:t>t</w:t>
      </w:r>
      <w:r w:rsidRPr="00D75C9C">
        <w:rPr>
          <w:rFonts w:ascii="Times New Roman" w:hAnsi="Times New Roman" w:cs="Times New Roman"/>
          <w:sz w:val="24"/>
          <w:szCs w:val="24"/>
        </w:rPr>
        <w:t>he ROS production</w:t>
      </w:r>
      <w:r w:rsidRPr="00D75C9C">
        <w:rPr>
          <w:rFonts w:ascii="Times New Roman" w:hAnsi="Times New Roman" w:cs="Times New Roman" w:hint="eastAsia"/>
          <w:sz w:val="24"/>
          <w:szCs w:val="24"/>
        </w:rPr>
        <w:t>,</w:t>
      </w:r>
      <w:r w:rsidRPr="00D75C9C">
        <w:rPr>
          <w:rFonts w:ascii="Times New Roman" w:hAnsi="Times New Roman" w:cs="Times New Roman"/>
          <w:sz w:val="24"/>
          <w:szCs w:val="24"/>
        </w:rPr>
        <w:t xml:space="preserve"> and the </w:t>
      </w:r>
      <w:r w:rsidRPr="00D75C9C">
        <w:rPr>
          <w:rFonts w:ascii="Times New Roman" w:hAnsi="Times New Roman" w:cs="Times New Roman" w:hint="eastAsia"/>
          <w:sz w:val="24"/>
          <w:szCs w:val="24"/>
        </w:rPr>
        <w:t>apoptosis</w:t>
      </w:r>
      <w:r w:rsidRPr="00D75C9C">
        <w:rPr>
          <w:rFonts w:ascii="Times New Roman" w:hAnsi="Times New Roman" w:cs="Times New Roman"/>
          <w:sz w:val="24"/>
          <w:szCs w:val="24"/>
        </w:rPr>
        <w:t xml:space="preserve"> </w:t>
      </w:r>
      <w:r w:rsidRPr="00D75C9C">
        <w:rPr>
          <w:rFonts w:ascii="Times New Roman" w:hAnsi="Times New Roman" w:cs="Times New Roman" w:hint="eastAsia"/>
          <w:sz w:val="24"/>
          <w:szCs w:val="24"/>
        </w:rPr>
        <w:t>rate.</w:t>
      </w:r>
    </w:p>
    <w:p w14:paraId="1AC7425F" w14:textId="2C6ABA6D" w:rsidR="0099744B" w:rsidRPr="00B1742D" w:rsidRDefault="002F66B0" w:rsidP="00015DAC">
      <w:pPr>
        <w:spacing w:line="480" w:lineRule="auto"/>
        <w:rPr>
          <w:rFonts w:ascii="Times New Roman" w:eastAsia="ArialUnicodeMS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ArialUnicodeMS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4A6B725A" wp14:editId="21D2BB5E">
            <wp:extent cx="2950210" cy="177673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9F24D" w14:textId="5C27190C" w:rsidR="00671B41" w:rsidRPr="0010330F" w:rsidRDefault="0099744B" w:rsidP="00015DAC">
      <w:pPr>
        <w:spacing w:line="480" w:lineRule="auto"/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</w:pPr>
      <w:bookmarkStart w:id="22" w:name="_Hlk58918198"/>
      <w:r w:rsidRPr="00B1742D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3B22ED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742D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 xml:space="preserve">Inhibitors of </w:t>
      </w:r>
      <w:r w:rsidRPr="00B1742D">
        <w:rPr>
          <w:rFonts w:ascii="Times New Roman" w:hAnsi="Times New Roman" w:cs="Times New Roman"/>
          <w:b/>
          <w:sz w:val="24"/>
          <w:szCs w:val="24"/>
        </w:rPr>
        <w:t>ROS</w:t>
      </w:r>
      <w:r w:rsidRPr="00B1742D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 xml:space="preserve"> activation (</w:t>
      </w:r>
      <w:r w:rsidRPr="00B1742D">
        <w:rPr>
          <w:rFonts w:ascii="Times New Roman" w:hAnsi="Times New Roman" w:cs="Times New Roman"/>
          <w:b/>
          <w:sz w:val="24"/>
          <w:szCs w:val="24"/>
        </w:rPr>
        <w:t>NAC</w:t>
      </w:r>
      <w:r w:rsidRPr="00B1742D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 xml:space="preserve">, 5 mM) </w:t>
      </w:r>
      <w:r w:rsidRPr="00B1742D">
        <w:rPr>
          <w:rFonts w:ascii="Times New Roman" w:hAnsi="Times New Roman" w:cs="Times New Roman"/>
          <w:b/>
          <w:sz w:val="24"/>
          <w:szCs w:val="24"/>
        </w:rPr>
        <w:t xml:space="preserve">protect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spellStart"/>
      <w:r w:rsidRPr="00B1742D">
        <w:rPr>
          <w:rFonts w:ascii="Times New Roman" w:hAnsi="Times New Roman" w:cs="Times New Roman"/>
          <w:b/>
          <w:sz w:val="24"/>
          <w:szCs w:val="24"/>
        </w:rPr>
        <w:t>HPAEpiC</w:t>
      </w:r>
      <w:proofErr w:type="spellEnd"/>
      <w:r w:rsidRPr="00B1742D">
        <w:rPr>
          <w:rFonts w:ascii="Times New Roman" w:eastAsia="ArialUnicodeMS" w:hAnsi="Times New Roman" w:cs="Times New Roman"/>
          <w:b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against BCSCs</w:t>
      </w:r>
      <w:r w:rsidRPr="00B1742D">
        <w:rPr>
          <w:rFonts w:ascii="Times New Roman" w:hAnsi="Times New Roman" w:cs="Times New Roman"/>
          <w:b/>
          <w:sz w:val="24"/>
          <w:szCs w:val="24"/>
        </w:rPr>
        <w:t>-induced cytotoxicity</w:t>
      </w:r>
      <w:r w:rsidRPr="00B1742D">
        <w:rPr>
          <w:rFonts w:ascii="Times New Roman" w:eastAsia="ArialUnicodeMS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B1742D">
        <w:rPr>
          <w:rFonts w:ascii="Times New Roman" w:eastAsia="ArialUnicodeMS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B1742D">
        <w:rPr>
          <w:rFonts w:ascii="Times New Roman" w:hAnsi="Times New Roman" w:cs="Times New Roman"/>
          <w:sz w:val="24"/>
          <w:szCs w:val="24"/>
        </w:rPr>
        <w:t>HPAEpiC</w:t>
      </w:r>
      <w:proofErr w:type="spellEnd"/>
      <w:r w:rsidRPr="00B1742D">
        <w:rPr>
          <w:rFonts w:ascii="Times New Roman" w:hAnsi="Times New Roman" w:cs="Times New Roman"/>
          <w:sz w:val="24"/>
          <w:szCs w:val="24"/>
        </w:rPr>
        <w:t xml:space="preserve"> exposed to </w:t>
      </w:r>
      <w:r>
        <w:rPr>
          <w:rFonts w:ascii="Times New Roman" w:hAnsi="Times New Roman" w:cs="Times New Roman"/>
          <w:sz w:val="24"/>
          <w:szCs w:val="24"/>
        </w:rPr>
        <w:t>BCSCs</w:t>
      </w:r>
      <w:r w:rsidRPr="00B174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B1742D">
        <w:rPr>
          <w:rFonts w:ascii="Times New Roman" w:hAnsi="Times New Roman" w:cs="Times New Roman"/>
          <w:sz w:val="24"/>
          <w:szCs w:val="24"/>
        </w:rPr>
        <w:t xml:space="preserve">NAC </w:t>
      </w:r>
      <w:r>
        <w:rPr>
          <w:rFonts w:ascii="Times New Roman" w:hAnsi="Times New Roman" w:cs="Times New Roman"/>
          <w:sz w:val="24"/>
          <w:szCs w:val="24"/>
        </w:rPr>
        <w:t xml:space="preserve">simultaneously showed higher </w:t>
      </w:r>
      <w:r w:rsidRPr="00B1742D">
        <w:rPr>
          <w:rFonts w:ascii="Times New Roman" w:hAnsi="Times New Roman" w:cs="Times New Roman"/>
          <w:sz w:val="24"/>
          <w:szCs w:val="24"/>
        </w:rPr>
        <w:t>cell viability</w:t>
      </w:r>
      <w:r>
        <w:rPr>
          <w:rFonts w:ascii="Times New Roman" w:hAnsi="Times New Roman" w:cs="Times New Roman"/>
          <w:sz w:val="24"/>
          <w:szCs w:val="24"/>
        </w:rPr>
        <w:t xml:space="preserve"> and lower </w:t>
      </w:r>
      <w:r w:rsidRPr="00B1742D">
        <w:rPr>
          <w:rFonts w:ascii="Times New Roman" w:hAnsi="Times New Roman" w:cs="Times New Roman"/>
          <w:sz w:val="24"/>
          <w:szCs w:val="24"/>
        </w:rPr>
        <w:t xml:space="preserve">ROS production, </w:t>
      </w:r>
      <w:bookmarkStart w:id="23" w:name="_Hlk534296124"/>
      <w:r w:rsidR="006D5144" w:rsidRPr="006D5144">
        <w:rPr>
          <w:rFonts w:ascii="Times New Roman" w:hAnsi="Times New Roman" w:cs="Times New Roman"/>
          <w:sz w:val="24"/>
          <w:szCs w:val="24"/>
        </w:rPr>
        <w:t>phosphorylated</w:t>
      </w:r>
      <w:r w:rsidR="006D5144">
        <w:rPr>
          <w:rFonts w:ascii="Times New Roman" w:hAnsi="Times New Roman" w:cs="Times New Roman"/>
          <w:sz w:val="24"/>
          <w:szCs w:val="24"/>
        </w:rPr>
        <w:t xml:space="preserve"> </w:t>
      </w:r>
      <w:r w:rsidR="006D5144">
        <w:rPr>
          <w:rFonts w:ascii="Times New Roman" w:hAnsi="Times New Roman" w:cs="Times New Roman" w:hint="eastAsia"/>
          <w:sz w:val="24"/>
          <w:szCs w:val="24"/>
        </w:rPr>
        <w:t>p</w:t>
      </w:r>
      <w:r w:rsidR="006D5144">
        <w:rPr>
          <w:rFonts w:ascii="Times New Roman" w:hAnsi="Times New Roman" w:cs="Times New Roman"/>
          <w:sz w:val="24"/>
          <w:szCs w:val="24"/>
        </w:rPr>
        <w:t>53</w:t>
      </w:r>
      <w:bookmarkEnd w:id="23"/>
      <w:r>
        <w:rPr>
          <w:rFonts w:ascii="Times New Roman" w:hAnsi="Times New Roman" w:cs="Times New Roman"/>
          <w:sz w:val="24"/>
          <w:szCs w:val="24"/>
        </w:rPr>
        <w:t>,</w:t>
      </w:r>
      <w:r w:rsidRPr="00B1742D">
        <w:rPr>
          <w:rFonts w:ascii="Times New Roman" w:hAnsi="Times New Roman" w:cs="Times New Roman"/>
          <w:sz w:val="24"/>
          <w:szCs w:val="24"/>
        </w:rPr>
        <w:t xml:space="preserve"> and apoptosis </w:t>
      </w:r>
      <w:r>
        <w:rPr>
          <w:rFonts w:ascii="Times New Roman" w:hAnsi="Times New Roman" w:cs="Times New Roman"/>
          <w:sz w:val="24"/>
          <w:szCs w:val="24"/>
        </w:rPr>
        <w:t xml:space="preserve">rate than </w:t>
      </w:r>
      <w:r w:rsidRPr="00B1742D">
        <w:rPr>
          <w:rFonts w:ascii="Times New Roman" w:hAnsi="Times New Roman" w:cs="Times New Roman"/>
          <w:sz w:val="24"/>
          <w:szCs w:val="24"/>
        </w:rPr>
        <w:t xml:space="preserve">the cells exposed to </w:t>
      </w:r>
      <w:r>
        <w:rPr>
          <w:rFonts w:ascii="Times New Roman" w:hAnsi="Times New Roman" w:cs="Times New Roman"/>
          <w:sz w:val="24"/>
          <w:szCs w:val="24"/>
        </w:rPr>
        <w:t>BCSCs</w:t>
      </w:r>
      <w:r w:rsidRPr="00B1742D">
        <w:rPr>
          <w:rFonts w:ascii="Times New Roman" w:hAnsi="Times New Roman" w:cs="Times New Roman"/>
          <w:sz w:val="24"/>
          <w:szCs w:val="24"/>
        </w:rPr>
        <w:t xml:space="preserve"> alone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1742D">
        <w:rPr>
          <w:rFonts w:ascii="Times New Roman" w:hAnsi="Times New Roman" w:cs="Times New Roman"/>
          <w:noProof/>
          <w:sz w:val="24"/>
          <w:szCs w:val="24"/>
        </w:rPr>
        <w:t>*</w:t>
      </w:r>
      <w:r>
        <w:rPr>
          <w:rFonts w:ascii="Times New Roman" w:hAnsi="Times New Roman" w:cs="Times New Roman"/>
          <w:noProof/>
          <w:sz w:val="24"/>
          <w:szCs w:val="24"/>
        </w:rPr>
        <w:t>: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i/>
          <w:noProof/>
          <w:sz w:val="24"/>
          <w:szCs w:val="24"/>
        </w:rPr>
        <w:t xml:space="preserve">P </w:t>
      </w:r>
      <w:r w:rsidRPr="00B1742D">
        <w:rPr>
          <w:rFonts w:ascii="Times New Roman" w:hAnsi="Times New Roman" w:cs="Times New Roman"/>
          <w:noProof/>
          <w:sz w:val="24"/>
          <w:szCs w:val="24"/>
        </w:rPr>
        <w:sym w:font="Symbol" w:char="F03C"/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0.05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 w:rsidRPr="00B1742D">
        <w:rPr>
          <w:rFonts w:ascii="Times New Roman" w:hAnsi="Times New Roman" w:cs="Times New Roman"/>
          <w:sz w:val="24"/>
          <w:szCs w:val="24"/>
        </w:rPr>
        <w:t xml:space="preserve"> compared with the control group</w:t>
      </w:r>
      <w:r>
        <w:rPr>
          <w:rFonts w:ascii="Times New Roman" w:hAnsi="Times New Roman" w:cs="Times New Roman"/>
          <w:sz w:val="24"/>
          <w:szCs w:val="24"/>
        </w:rPr>
        <w:t xml:space="preserve"> values</w:t>
      </w:r>
      <w:r>
        <w:rPr>
          <w:rFonts w:ascii="Times New Roman" w:hAnsi="Times New Roman" w:cs="Times New Roman"/>
          <w:noProof/>
          <w:sz w:val="24"/>
          <w:szCs w:val="24"/>
        </w:rPr>
        <w:t>;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#</w:t>
      </w:r>
      <w:r>
        <w:rPr>
          <w:rFonts w:ascii="Times New Roman" w:hAnsi="Times New Roman" w:cs="Times New Roman"/>
          <w:noProof/>
          <w:sz w:val="24"/>
          <w:szCs w:val="24"/>
        </w:rPr>
        <w:t xml:space="preserve">: </w:t>
      </w:r>
      <w:r w:rsidRPr="00B1742D">
        <w:rPr>
          <w:rFonts w:ascii="Times New Roman" w:hAnsi="Times New Roman" w:cs="Times New Roman"/>
          <w:i/>
          <w:noProof/>
          <w:sz w:val="24"/>
          <w:szCs w:val="24"/>
        </w:rPr>
        <w:t>P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noProof/>
          <w:sz w:val="24"/>
          <w:szCs w:val="24"/>
        </w:rPr>
        <w:sym w:font="Symbol" w:char="F03C"/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0.05</w:t>
      </w:r>
      <w:r>
        <w:rPr>
          <w:rFonts w:ascii="Times New Roman" w:hAnsi="Times New Roman" w:cs="Times New Roman" w:hint="eastAsia"/>
          <w:noProof/>
          <w:sz w:val="24"/>
          <w:szCs w:val="24"/>
        </w:rPr>
        <w:t>,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sz w:val="24"/>
          <w:szCs w:val="24"/>
        </w:rPr>
        <w:t>compared with NAC group</w:t>
      </w:r>
      <w:r>
        <w:rPr>
          <w:rFonts w:ascii="Times New Roman" w:hAnsi="Times New Roman" w:cs="Times New Roman"/>
          <w:sz w:val="24"/>
          <w:szCs w:val="24"/>
        </w:rPr>
        <w:t xml:space="preserve"> values</w:t>
      </w:r>
      <w:r>
        <w:rPr>
          <w:rFonts w:ascii="Times New Roman" w:hAnsi="Times New Roman" w:cs="Times New Roman"/>
          <w:noProof/>
          <w:sz w:val="24"/>
          <w:szCs w:val="24"/>
        </w:rPr>
        <w:t>;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&amp;</w:t>
      </w:r>
      <w:r>
        <w:rPr>
          <w:rFonts w:ascii="Times New Roman" w:hAnsi="Times New Roman" w:cs="Times New Roman"/>
          <w:noProof/>
          <w:sz w:val="24"/>
          <w:szCs w:val="24"/>
        </w:rPr>
        <w:t>: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i/>
          <w:noProof/>
          <w:sz w:val="24"/>
          <w:szCs w:val="24"/>
        </w:rPr>
        <w:t>P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noProof/>
          <w:sz w:val="24"/>
          <w:szCs w:val="24"/>
        </w:rPr>
        <w:sym w:font="Symbol" w:char="F03C"/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0.05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 w:rsidRPr="00B174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B1742D">
        <w:rPr>
          <w:rFonts w:ascii="Times New Roman" w:hAnsi="Times New Roman" w:cs="Times New Roman"/>
          <w:sz w:val="24"/>
          <w:szCs w:val="24"/>
        </w:rPr>
        <w:t xml:space="preserve">compared with </w:t>
      </w:r>
      <w:r>
        <w:rPr>
          <w:rFonts w:ascii="Times New Roman" w:hAnsi="Times New Roman" w:cs="Times New Roman"/>
          <w:sz w:val="24"/>
          <w:szCs w:val="24"/>
        </w:rPr>
        <w:t>BCSCs</w:t>
      </w:r>
      <w:r w:rsidRPr="00B1742D">
        <w:rPr>
          <w:rFonts w:ascii="Times New Roman" w:hAnsi="Times New Roman" w:cs="Times New Roman"/>
          <w:sz w:val="24"/>
          <w:szCs w:val="24"/>
        </w:rPr>
        <w:t xml:space="preserve"> group</w:t>
      </w:r>
      <w:r>
        <w:rPr>
          <w:rFonts w:ascii="Times New Roman" w:hAnsi="Times New Roman" w:cs="Times New Roman"/>
          <w:sz w:val="24"/>
          <w:szCs w:val="24"/>
        </w:rPr>
        <w:t xml:space="preserve"> values)</w:t>
      </w:r>
      <w:r w:rsidRPr="00B1742D">
        <w:rPr>
          <w:rFonts w:ascii="Times New Roman" w:hAnsi="Times New Roman" w:cs="Times New Roman"/>
          <w:sz w:val="24"/>
          <w:szCs w:val="24"/>
        </w:rPr>
        <w:t>.</w:t>
      </w:r>
      <w:bookmarkEnd w:id="22"/>
    </w:p>
    <w:sectPr w:rsidR="00671B41" w:rsidRPr="0010330F" w:rsidSect="0010330F">
      <w:footerReference w:type="defaul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A005CE" w14:textId="77777777" w:rsidR="00D15171" w:rsidRDefault="00D15171" w:rsidP="00401543">
      <w:r>
        <w:separator/>
      </w:r>
    </w:p>
  </w:endnote>
  <w:endnote w:type="continuationSeparator" w:id="0">
    <w:p w14:paraId="01874BA8" w14:textId="77777777" w:rsidR="00D15171" w:rsidRDefault="00D15171" w:rsidP="00401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UnicodeMS">
    <w:altName w:val="Malgun Gothic Semilight"/>
    <w:panose1 w:val="00000000000000000000"/>
    <w:charset w:val="86"/>
    <w:family w:val="auto"/>
    <w:notTrueType/>
    <w:pitch w:val="default"/>
    <w:sig w:usb0="00000000" w:usb1="090E0000" w:usb2="00000010" w:usb3="00000000" w:csb0="000C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Gulliv-I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95440551"/>
      <w:docPartObj>
        <w:docPartGallery w:val="Page Numbers (Bottom of Page)"/>
        <w:docPartUnique/>
      </w:docPartObj>
    </w:sdtPr>
    <w:sdtEndPr/>
    <w:sdtContent>
      <w:p w14:paraId="049329E5" w14:textId="77777777" w:rsidR="004F06E6" w:rsidRDefault="004F06E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CBAEE2A" w14:textId="77777777" w:rsidR="004F06E6" w:rsidRDefault="004F06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13890D" w14:textId="77777777" w:rsidR="00D15171" w:rsidRDefault="00D15171" w:rsidP="00401543">
      <w:r>
        <w:separator/>
      </w:r>
    </w:p>
  </w:footnote>
  <w:footnote w:type="continuationSeparator" w:id="0">
    <w:p w14:paraId="5D18EE9A" w14:textId="77777777" w:rsidR="00D15171" w:rsidRDefault="00D15171" w:rsidP="00401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142"/>
    <w:rsid w:val="000033A6"/>
    <w:rsid w:val="0001516B"/>
    <w:rsid w:val="00015DAC"/>
    <w:rsid w:val="00016CCA"/>
    <w:rsid w:val="00022173"/>
    <w:rsid w:val="00063D01"/>
    <w:rsid w:val="00072F60"/>
    <w:rsid w:val="000A489D"/>
    <w:rsid w:val="000A4B70"/>
    <w:rsid w:val="000B552D"/>
    <w:rsid w:val="000C44DB"/>
    <w:rsid w:val="000D553B"/>
    <w:rsid w:val="000F5390"/>
    <w:rsid w:val="000F53AB"/>
    <w:rsid w:val="0010330F"/>
    <w:rsid w:val="00134AAC"/>
    <w:rsid w:val="0014227B"/>
    <w:rsid w:val="00157208"/>
    <w:rsid w:val="001734B9"/>
    <w:rsid w:val="00181BF1"/>
    <w:rsid w:val="001831EB"/>
    <w:rsid w:val="001A58FC"/>
    <w:rsid w:val="001A7996"/>
    <w:rsid w:val="001D61E0"/>
    <w:rsid w:val="001E31FF"/>
    <w:rsid w:val="001E469A"/>
    <w:rsid w:val="001F645D"/>
    <w:rsid w:val="00200977"/>
    <w:rsid w:val="002125C9"/>
    <w:rsid w:val="002164C1"/>
    <w:rsid w:val="002270AD"/>
    <w:rsid w:val="002333EC"/>
    <w:rsid w:val="002360AF"/>
    <w:rsid w:val="00237D5E"/>
    <w:rsid w:val="00244999"/>
    <w:rsid w:val="002464D6"/>
    <w:rsid w:val="00262C7B"/>
    <w:rsid w:val="00276CE5"/>
    <w:rsid w:val="002D55E6"/>
    <w:rsid w:val="002D6E7C"/>
    <w:rsid w:val="002E190E"/>
    <w:rsid w:val="002F66B0"/>
    <w:rsid w:val="00307749"/>
    <w:rsid w:val="00312E57"/>
    <w:rsid w:val="003277B8"/>
    <w:rsid w:val="003361D4"/>
    <w:rsid w:val="0034093A"/>
    <w:rsid w:val="0035346F"/>
    <w:rsid w:val="00354B0A"/>
    <w:rsid w:val="0036531C"/>
    <w:rsid w:val="00365A75"/>
    <w:rsid w:val="003B22ED"/>
    <w:rsid w:val="003C620F"/>
    <w:rsid w:val="003C6BEE"/>
    <w:rsid w:val="004011EC"/>
    <w:rsid w:val="00401543"/>
    <w:rsid w:val="00414BEC"/>
    <w:rsid w:val="00425F8C"/>
    <w:rsid w:val="00433AC5"/>
    <w:rsid w:val="00436142"/>
    <w:rsid w:val="00457898"/>
    <w:rsid w:val="00471898"/>
    <w:rsid w:val="004A124F"/>
    <w:rsid w:val="004A28F0"/>
    <w:rsid w:val="004A2A0F"/>
    <w:rsid w:val="004B5BD3"/>
    <w:rsid w:val="004C69D7"/>
    <w:rsid w:val="004E5C65"/>
    <w:rsid w:val="004F06E6"/>
    <w:rsid w:val="004F2D4A"/>
    <w:rsid w:val="00501917"/>
    <w:rsid w:val="00511BE5"/>
    <w:rsid w:val="00513AC7"/>
    <w:rsid w:val="00515575"/>
    <w:rsid w:val="00540A39"/>
    <w:rsid w:val="0054509D"/>
    <w:rsid w:val="005612BB"/>
    <w:rsid w:val="005730B4"/>
    <w:rsid w:val="005846B5"/>
    <w:rsid w:val="005943F8"/>
    <w:rsid w:val="005A7CF3"/>
    <w:rsid w:val="005B19BA"/>
    <w:rsid w:val="005C1A10"/>
    <w:rsid w:val="005C2FFB"/>
    <w:rsid w:val="005E3AE0"/>
    <w:rsid w:val="005F16E7"/>
    <w:rsid w:val="005F37BB"/>
    <w:rsid w:val="00600F0A"/>
    <w:rsid w:val="00604C6B"/>
    <w:rsid w:val="00614ECC"/>
    <w:rsid w:val="00625B8E"/>
    <w:rsid w:val="006315AA"/>
    <w:rsid w:val="00632521"/>
    <w:rsid w:val="00636E77"/>
    <w:rsid w:val="00646E97"/>
    <w:rsid w:val="00671B41"/>
    <w:rsid w:val="006729D0"/>
    <w:rsid w:val="00676014"/>
    <w:rsid w:val="006841AD"/>
    <w:rsid w:val="00685BA2"/>
    <w:rsid w:val="006944C7"/>
    <w:rsid w:val="006D5144"/>
    <w:rsid w:val="006E180E"/>
    <w:rsid w:val="006F60B0"/>
    <w:rsid w:val="00714D54"/>
    <w:rsid w:val="00730215"/>
    <w:rsid w:val="00735FDD"/>
    <w:rsid w:val="00742758"/>
    <w:rsid w:val="007576EF"/>
    <w:rsid w:val="00760C31"/>
    <w:rsid w:val="007642C1"/>
    <w:rsid w:val="00764CBB"/>
    <w:rsid w:val="007724E7"/>
    <w:rsid w:val="00781952"/>
    <w:rsid w:val="007C3233"/>
    <w:rsid w:val="00807410"/>
    <w:rsid w:val="00824A96"/>
    <w:rsid w:val="00827422"/>
    <w:rsid w:val="0083429B"/>
    <w:rsid w:val="008346CE"/>
    <w:rsid w:val="00840E93"/>
    <w:rsid w:val="008430BD"/>
    <w:rsid w:val="008607F8"/>
    <w:rsid w:val="00861256"/>
    <w:rsid w:val="00871991"/>
    <w:rsid w:val="008B4790"/>
    <w:rsid w:val="008B5285"/>
    <w:rsid w:val="008C0C5D"/>
    <w:rsid w:val="008D6D8A"/>
    <w:rsid w:val="008E69EA"/>
    <w:rsid w:val="008F6F06"/>
    <w:rsid w:val="00905956"/>
    <w:rsid w:val="0093581E"/>
    <w:rsid w:val="009427BD"/>
    <w:rsid w:val="009535EA"/>
    <w:rsid w:val="00977272"/>
    <w:rsid w:val="00985BA0"/>
    <w:rsid w:val="00992D8C"/>
    <w:rsid w:val="0099744B"/>
    <w:rsid w:val="009A4018"/>
    <w:rsid w:val="009A4917"/>
    <w:rsid w:val="009A6B58"/>
    <w:rsid w:val="009B5FF5"/>
    <w:rsid w:val="009D49BC"/>
    <w:rsid w:val="009D6B40"/>
    <w:rsid w:val="00A115EC"/>
    <w:rsid w:val="00A47F56"/>
    <w:rsid w:val="00A5189B"/>
    <w:rsid w:val="00A60574"/>
    <w:rsid w:val="00A66DF1"/>
    <w:rsid w:val="00A67E74"/>
    <w:rsid w:val="00A743F8"/>
    <w:rsid w:val="00AA3359"/>
    <w:rsid w:val="00AA3832"/>
    <w:rsid w:val="00AD3A35"/>
    <w:rsid w:val="00AD4FC8"/>
    <w:rsid w:val="00AF3392"/>
    <w:rsid w:val="00AF41CE"/>
    <w:rsid w:val="00AF5FEF"/>
    <w:rsid w:val="00B25AD7"/>
    <w:rsid w:val="00B30F82"/>
    <w:rsid w:val="00B43615"/>
    <w:rsid w:val="00B43E7D"/>
    <w:rsid w:val="00B57D6D"/>
    <w:rsid w:val="00B60C2E"/>
    <w:rsid w:val="00B646CB"/>
    <w:rsid w:val="00B70819"/>
    <w:rsid w:val="00B821F3"/>
    <w:rsid w:val="00B87261"/>
    <w:rsid w:val="00B87D72"/>
    <w:rsid w:val="00B96B06"/>
    <w:rsid w:val="00BA6EE8"/>
    <w:rsid w:val="00BC3336"/>
    <w:rsid w:val="00BD274A"/>
    <w:rsid w:val="00BE301C"/>
    <w:rsid w:val="00BF35CD"/>
    <w:rsid w:val="00C151A2"/>
    <w:rsid w:val="00C41113"/>
    <w:rsid w:val="00C4415F"/>
    <w:rsid w:val="00C50612"/>
    <w:rsid w:val="00C52731"/>
    <w:rsid w:val="00C53C94"/>
    <w:rsid w:val="00C7111F"/>
    <w:rsid w:val="00C71982"/>
    <w:rsid w:val="00C72556"/>
    <w:rsid w:val="00C75D77"/>
    <w:rsid w:val="00C86A8C"/>
    <w:rsid w:val="00C955D8"/>
    <w:rsid w:val="00CA217A"/>
    <w:rsid w:val="00CA749B"/>
    <w:rsid w:val="00CB090C"/>
    <w:rsid w:val="00CB5308"/>
    <w:rsid w:val="00CD0939"/>
    <w:rsid w:val="00CE2BFF"/>
    <w:rsid w:val="00CF7EA4"/>
    <w:rsid w:val="00D04F97"/>
    <w:rsid w:val="00D116C2"/>
    <w:rsid w:val="00D1387A"/>
    <w:rsid w:val="00D15171"/>
    <w:rsid w:val="00D17B3D"/>
    <w:rsid w:val="00D22893"/>
    <w:rsid w:val="00D337B3"/>
    <w:rsid w:val="00D505B0"/>
    <w:rsid w:val="00D525D8"/>
    <w:rsid w:val="00D60977"/>
    <w:rsid w:val="00D6466E"/>
    <w:rsid w:val="00D75C9C"/>
    <w:rsid w:val="00D83A90"/>
    <w:rsid w:val="00DA0BC5"/>
    <w:rsid w:val="00DA5896"/>
    <w:rsid w:val="00DB5F1C"/>
    <w:rsid w:val="00DC03FF"/>
    <w:rsid w:val="00DC18E7"/>
    <w:rsid w:val="00DC3059"/>
    <w:rsid w:val="00DC7461"/>
    <w:rsid w:val="00DE2449"/>
    <w:rsid w:val="00E23339"/>
    <w:rsid w:val="00E5198D"/>
    <w:rsid w:val="00E66035"/>
    <w:rsid w:val="00E7200A"/>
    <w:rsid w:val="00E813C8"/>
    <w:rsid w:val="00E81F91"/>
    <w:rsid w:val="00E90740"/>
    <w:rsid w:val="00EA14BE"/>
    <w:rsid w:val="00EA3CCA"/>
    <w:rsid w:val="00EB2D9E"/>
    <w:rsid w:val="00EE4897"/>
    <w:rsid w:val="00EE4C33"/>
    <w:rsid w:val="00F1371F"/>
    <w:rsid w:val="00F17BEF"/>
    <w:rsid w:val="00F23FD8"/>
    <w:rsid w:val="00F43906"/>
    <w:rsid w:val="00F53D6C"/>
    <w:rsid w:val="00F73B52"/>
    <w:rsid w:val="00F930CE"/>
    <w:rsid w:val="00F95FFC"/>
    <w:rsid w:val="00FA0697"/>
    <w:rsid w:val="00FB23E7"/>
    <w:rsid w:val="00FC3229"/>
    <w:rsid w:val="00FD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6BF33"/>
  <w15:chartTrackingRefBased/>
  <w15:docId w15:val="{19E75C43-2049-457B-9501-935EB851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5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5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54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0330F"/>
  </w:style>
  <w:style w:type="character" w:styleId="a8">
    <w:name w:val="annotation reference"/>
    <w:basedOn w:val="a0"/>
    <w:uiPriority w:val="99"/>
    <w:semiHidden/>
    <w:unhideWhenUsed/>
    <w:rsid w:val="00C7111F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7111F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7111F"/>
  </w:style>
  <w:style w:type="paragraph" w:styleId="ab">
    <w:name w:val="Balloon Text"/>
    <w:basedOn w:val="a"/>
    <w:link w:val="ac"/>
    <w:uiPriority w:val="99"/>
    <w:semiHidden/>
    <w:unhideWhenUsed/>
    <w:rsid w:val="00C7111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C7111F"/>
    <w:rPr>
      <w:sz w:val="18"/>
      <w:szCs w:val="18"/>
    </w:rPr>
  </w:style>
  <w:style w:type="character" w:customStyle="1" w:styleId="tran">
    <w:name w:val="tran"/>
    <w:basedOn w:val="a0"/>
    <w:rsid w:val="0054509D"/>
  </w:style>
  <w:style w:type="character" w:customStyle="1" w:styleId="apple-converted-space">
    <w:name w:val="apple-converted-space"/>
    <w:basedOn w:val="a0"/>
    <w:rsid w:val="00545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09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378A5-F8A6-4032-8D0A-F4835BB85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3772</TotalTime>
  <Pages>9</Pages>
  <Words>1666</Words>
  <Characters>9500</Characters>
  <Application>Microsoft Office Word</Application>
  <DocSecurity>0</DocSecurity>
  <Lines>79</Lines>
  <Paragraphs>22</Paragraphs>
  <ScaleCrop>false</ScaleCrop>
  <Company/>
  <LinksUpToDate>false</LinksUpToDate>
  <CharactersWithSpaces>11144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柯少</dc:creator>
  <cp:keywords/>
  <dc:description/>
  <cp:lastModifiedBy>KMM</cp:lastModifiedBy>
  <cp:revision>89</cp:revision>
  <dcterms:created xsi:type="dcterms:W3CDTF">2017-12-12T15:39:00Z</dcterms:created>
  <dcterms:modified xsi:type="dcterms:W3CDTF">2020-12-18T01:19:00Z</dcterms:modified>
</cp:coreProperties>
</file>