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7606DD" w14:textId="5975FE87" w:rsidR="003C3152" w:rsidRPr="00CC7150" w:rsidRDefault="003C3152" w:rsidP="003C3152">
      <w:pPr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C7150">
        <w:rPr>
          <w:rFonts w:ascii="Times New Roman" w:hAnsi="Times New Roman" w:cs="Times New Roman" w:hint="eastAsia"/>
          <w:b/>
          <w:caps/>
          <w:color w:val="000000" w:themeColor="text1"/>
          <w:sz w:val="24"/>
          <w:szCs w:val="24"/>
        </w:rPr>
        <w:t>S</w:t>
      </w:r>
      <w:r w:rsidRPr="00CC71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upplementary </w:t>
      </w:r>
      <w:r w:rsidRPr="00CC7150">
        <w:rPr>
          <w:rFonts w:ascii="Times New Roman" w:hAnsi="Times New Roman" w:cs="Times New Roman"/>
          <w:b/>
          <w:caps/>
          <w:color w:val="000000" w:themeColor="text1"/>
          <w:sz w:val="24"/>
          <w:szCs w:val="24"/>
        </w:rPr>
        <w:t>M</w:t>
      </w:r>
      <w:r w:rsidRPr="00CC71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aterials and </w:t>
      </w:r>
      <w:r w:rsidRPr="00CC7150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M</w:t>
      </w:r>
      <w:r w:rsidRPr="00CC71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ethods</w:t>
      </w:r>
    </w:p>
    <w:p w14:paraId="558B34DE" w14:textId="77777777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CC7150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Immunohistochemistry </w:t>
      </w:r>
    </w:p>
    <w:p w14:paraId="587802A3" w14:textId="54D741FB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bookmarkStart w:id="0" w:name="OLE_LINK63"/>
      <w:r w:rsidRPr="00CC7150">
        <w:rPr>
          <w:rFonts w:ascii="Times New Roman" w:hAnsi="Times New Roman" w:cs="Times New Roman"/>
          <w:color w:val="000000" w:themeColor="text1"/>
          <w:sz w:val="24"/>
        </w:rPr>
        <w:t xml:space="preserve">According to </w:t>
      </w:r>
      <w:r w:rsidR="00801749">
        <w:rPr>
          <w:rFonts w:ascii="Times New Roman" w:hAnsi="Times New Roman" w:cs="Times New Roman" w:hint="eastAsia"/>
          <w:color w:val="000000" w:themeColor="text1"/>
          <w:sz w:val="24"/>
        </w:rPr>
        <w:t>the</w:t>
      </w:r>
      <w:r w:rsidR="0080174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CC7150">
        <w:rPr>
          <w:rFonts w:ascii="Times New Roman" w:hAnsi="Times New Roman" w:cs="Times New Roman"/>
          <w:color w:val="000000" w:themeColor="text1"/>
          <w:sz w:val="24"/>
        </w:rPr>
        <w:t xml:space="preserve">manufacturer's </w:t>
      </w:r>
      <w:bookmarkEnd w:id="0"/>
      <w:r w:rsidRPr="00CC7150">
        <w:rPr>
          <w:rFonts w:ascii="Times New Roman" w:hAnsi="Times New Roman" w:cs="Times New Roman"/>
          <w:color w:val="000000" w:themeColor="text1"/>
          <w:sz w:val="24"/>
        </w:rPr>
        <w:t xml:space="preserve">protocols, </w:t>
      </w:r>
      <w:bookmarkStart w:id="1" w:name="_Hlk93934657"/>
      <w:r w:rsidRPr="00CC7150">
        <w:rPr>
          <w:rFonts w:ascii="Times New Roman" w:hAnsi="Times New Roman" w:cs="Times New Roman"/>
          <w:color w:val="000000" w:themeColor="text1"/>
          <w:sz w:val="24"/>
        </w:rPr>
        <w:t>TMAs</w:t>
      </w:r>
      <w:bookmarkEnd w:id="1"/>
      <w:r w:rsidRPr="00CC7150">
        <w:rPr>
          <w:rFonts w:ascii="Times New Roman" w:hAnsi="Times New Roman" w:cs="Times New Roman"/>
          <w:color w:val="000000" w:themeColor="text1"/>
          <w:sz w:val="24"/>
        </w:rPr>
        <w:t xml:space="preserve"> and tumor sections (obtained from mice tumor tissues) were firstly dewaxed with xylene and dehydrated using gradient ethanol. They were then subjected to EDTA antigen retrieval (PH9.0, 1mmol/l, 95˚C for 15 min). Endogenous peroxidase was blocked with Endogenous Peroxidase Blocking Buffer (cat.no.</w:t>
      </w:r>
      <w:r w:rsidRPr="00CC7150">
        <w:rPr>
          <w:color w:val="000000" w:themeColor="text1"/>
        </w:rPr>
        <w:t xml:space="preserve"> </w:t>
      </w:r>
      <w:r w:rsidRPr="00CC7150">
        <w:rPr>
          <w:rFonts w:ascii="Times New Roman" w:hAnsi="Times New Roman" w:cs="Times New Roman"/>
          <w:color w:val="000000" w:themeColor="text1"/>
          <w:sz w:val="24"/>
        </w:rPr>
        <w:t xml:space="preserve">P0100A;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</w:rPr>
        <w:t>Beyotime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</w:rPr>
        <w:t>) for 10 min at room temperature. Then, the tissues were incubated with 3%</w:t>
      </w:r>
      <w:r w:rsidRPr="00CC7150">
        <w:rPr>
          <w:color w:val="000000" w:themeColor="text1"/>
        </w:rPr>
        <w:t xml:space="preserve"> </w:t>
      </w:r>
      <w:r w:rsidRPr="00CC7150">
        <w:rPr>
          <w:rFonts w:ascii="Times New Roman" w:hAnsi="Times New Roman" w:cs="Times New Roman"/>
          <w:color w:val="000000" w:themeColor="text1"/>
          <w:sz w:val="24"/>
        </w:rPr>
        <w:t xml:space="preserve">Bovine Serum Albumin (cat.no.ST025;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</w:rPr>
        <w:t>Beyotime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</w:rPr>
        <w:t xml:space="preserve">) for 10 min. Subsequently, tissues were incubated overnight with primary antibody at 4˚C. Then, the tissues were incubated with biotinylated goat anti‑mouse/rabbit IgG secondary antibody (cat.no. A0286;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</w:rPr>
        <w:t>Beyotime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</w:rPr>
        <w:t xml:space="preserve">) for 10 min at room temperature. Next, </w:t>
      </w:r>
      <w:bookmarkStart w:id="2" w:name="OLE_LINK64"/>
      <w:r w:rsidRPr="00CC7150">
        <w:rPr>
          <w:rFonts w:ascii="Times New Roman" w:hAnsi="Times New Roman" w:cs="Times New Roman"/>
          <w:color w:val="000000" w:themeColor="text1"/>
          <w:sz w:val="24"/>
        </w:rPr>
        <w:t xml:space="preserve">the </w:t>
      </w:r>
      <w:bookmarkEnd w:id="2"/>
      <w:r w:rsidRPr="00CC7150">
        <w:rPr>
          <w:rFonts w:ascii="Times New Roman" w:hAnsi="Times New Roman" w:cs="Times New Roman"/>
          <w:color w:val="000000" w:themeColor="text1"/>
          <w:sz w:val="24"/>
        </w:rPr>
        <w:t xml:space="preserve">tissues were incubated with streptavidin‑peroxidase for 10 min. Finally, the tissues were </w:t>
      </w:r>
      <w:r w:rsidRPr="00CC7150">
        <w:rPr>
          <w:rFonts w:ascii="Times New Roman" w:hAnsi="Times New Roman" w:cs="Times New Roman" w:hint="eastAsia"/>
          <w:color w:val="000000" w:themeColor="text1"/>
          <w:sz w:val="24"/>
        </w:rPr>
        <w:t>st</w:t>
      </w:r>
      <w:r w:rsidRPr="00CC7150">
        <w:rPr>
          <w:rFonts w:ascii="Times New Roman" w:hAnsi="Times New Roman" w:cs="Times New Roman"/>
          <w:color w:val="000000" w:themeColor="text1"/>
          <w:sz w:val="24"/>
        </w:rPr>
        <w:t xml:space="preserve">ained with diaminobenzidine (DAB)/ACE (cat.no. P0202;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</w:rPr>
        <w:t>Beyotime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</w:rPr>
        <w:t>) for 5 min and redyed with Hematoxylin Staining Solution (cat.no.</w:t>
      </w:r>
      <w:r w:rsidRPr="00CC7150">
        <w:rPr>
          <w:color w:val="000000" w:themeColor="text1"/>
        </w:rPr>
        <w:t xml:space="preserve"> </w:t>
      </w:r>
      <w:r w:rsidRPr="00CC7150">
        <w:rPr>
          <w:rFonts w:ascii="Times New Roman" w:hAnsi="Times New Roman" w:cs="Times New Roman"/>
          <w:color w:val="000000" w:themeColor="text1"/>
          <w:sz w:val="24"/>
        </w:rPr>
        <w:t xml:space="preserve">C0107;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</w:rPr>
        <w:t>Beyotime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</w:rPr>
        <w:t>) for 3 min. The evaluation of protein staining was performed according to the H-score method as described in published report</w:t>
      </w:r>
      <w:r w:rsidRPr="00F44536">
        <w:rPr>
          <w:rFonts w:ascii="Times New Roman" w:hAnsi="Times New Roman" w:cs="Times New Roman"/>
          <w:color w:val="000000" w:themeColor="text1"/>
          <w:sz w:val="24"/>
          <w:vertAlign w:val="superscript"/>
        </w:rPr>
        <w:t>18</w:t>
      </w:r>
      <w:r w:rsidRPr="00CC7150">
        <w:rPr>
          <w:rFonts w:ascii="Times New Roman" w:hAnsi="Times New Roman" w:cs="Times New Roman"/>
          <w:color w:val="000000" w:themeColor="text1"/>
          <w:sz w:val="24"/>
        </w:rPr>
        <w:t xml:space="preserve">. </w:t>
      </w:r>
    </w:p>
    <w:p w14:paraId="0F0A06D4" w14:textId="77777777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C715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Data Sources and Preprocessing  </w:t>
      </w:r>
    </w:p>
    <w:p w14:paraId="0EB49DCE" w14:textId="1B823374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 also collected the corresponding 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public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datasets containing &gt;50 OS samples from Gene Expression Omnibus (GEO) database and Therapeutically Applicable Research To Generate Effective Treatments (TARGET) database. The TARGET-OS (High Throughput Sequence fragments per kilobase million,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HTSeq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- FPKM) includ</w:t>
      </w:r>
      <w:r w:rsidR="0080174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es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total of 88 OS samples w</w:t>
      </w:r>
      <w:r w:rsidRPr="00DF44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ith miRNA, RNA sequencing (RNA-Seq) information and clinical parameters which were obtained from UCSC </w:t>
      </w:r>
      <w:proofErr w:type="spellStart"/>
      <w:r w:rsidRPr="00DF44BA">
        <w:rPr>
          <w:rFonts w:ascii="Times New Roman" w:hAnsi="Times New Roman" w:cs="Times New Roman"/>
          <w:color w:val="000000" w:themeColor="text1"/>
          <w:sz w:val="24"/>
          <w:szCs w:val="24"/>
        </w:rPr>
        <w:t>X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ena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(https://xenabrowser.net/datapages/). Moreover, ID/Gene conversion and annotation was through gencode.v22.annotation.gene.probeMap (https://gdc-hub.s3.us-east-.amazonaws.com/download/gencode.v22.annotation.gene.probeMap). Moreover, we also collected the gene expression data of Nectin-4 in normal muscular tissues which were downloaded from Genotype-Tissue Expression (</w:t>
      </w:r>
      <w:bookmarkStart w:id="3" w:name="_Hlk74904955"/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GTEx</w:t>
      </w:r>
      <w:bookmarkEnd w:id="3"/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Muscular database (https://xenabrowser.net/datapages/). In addition, 53 OS samples with the gene expression 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profile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Nectin-4 and clinical parameters in GSE21257 cohort (GPL10295 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Illumina human-6 v2.0 expression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beadchip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) w</w:t>
      </w:r>
      <w:r w:rsidR="00577876">
        <w:rPr>
          <w:rFonts w:ascii="Times New Roman" w:hAnsi="Times New Roman" w:cs="Times New Roman"/>
          <w:color w:val="000000" w:themeColor="text1"/>
          <w:sz w:val="24"/>
          <w:szCs w:val="24"/>
        </w:rPr>
        <w:t>ere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downloaded from the GEO database (https://www.ncbi.nlm.nih.gov/geo/). </w:t>
      </w:r>
    </w:p>
    <w:p w14:paraId="42169073" w14:textId="77777777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C71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Materials</w:t>
      </w:r>
    </w:p>
    <w:p w14:paraId="76B0507C" w14:textId="098EB98D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All chemicals were acquired commercially. High-glucose (HG) Dulbecco's Modified Eagle Medium (HG-DMEM) was obtained from Gibco-BRL (NY, USA). The primary antibodies for </w:t>
      </w:r>
      <w:r w:rsidRPr="00CC715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Western blotting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 IHC were purchased from Cell Signaling Technology (</w:t>
      </w:r>
      <w:bookmarkStart w:id="4" w:name="OLE_LINK10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CST</w:t>
      </w:r>
      <w:bookmarkEnd w:id="4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; USA, Bostin)  and Abcam Company (Cambridge, UK) including Nectin-4 (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abcam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, ab192033), Vimentin (CST, #5741), N-Cadherin (CST, #13116), Claudin (CST, #13255), β-Catenin (CST, #8480), ZO-1 (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abcam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ab216880), Snail (CST, #3879), Slug (CST, #9585), ZEB1 (CST, #3396), GAPDH (CST, #5174), AKT (CST, #4685), </w:t>
      </w:r>
      <w:proofErr w:type="spellStart"/>
      <w:r w:rsidR="00391C1F" w:rsidRPr="00391C1F">
        <w:rPr>
          <w:rFonts w:ascii="Times New Roman" w:hAnsi="Times New Roman" w:cs="Times New Roman"/>
          <w:color w:val="000000" w:themeColor="text1"/>
          <w:sz w:val="24"/>
          <w:szCs w:val="24"/>
        </w:rPr>
        <w:t>Phospho</w:t>
      </w:r>
      <w:proofErr w:type="spellEnd"/>
      <w:r w:rsidR="00391C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391C1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p</w:t>
      </w:r>
      <w:r w:rsidR="00391C1F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-AKT(CST, #4060), NF-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κB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P65 (</w:t>
      </w:r>
      <w:bookmarkStart w:id="5" w:name="OLE_LINK1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CST, #</w:t>
      </w:r>
      <w:bookmarkEnd w:id="5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8801), p-NF-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κB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P65 (CST, #3033), </w:t>
      </w:r>
      <w:r w:rsidR="001D7AE3" w:rsidRPr="00CC715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AKT1</w:t>
      </w:r>
      <w:r w:rsidR="001D7AE3"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(CST, #</w:t>
      </w:r>
      <w:r w:rsidR="00CC7150"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2938</w:t>
      </w:r>
      <w:r w:rsidR="001D7AE3"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), p-</w:t>
      </w:r>
      <w:r w:rsidR="001D7AE3" w:rsidRPr="00CC715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AKT1</w:t>
      </w:r>
      <w:r w:rsidR="001D7AE3"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(CST, #9018), 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Ki67(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abcam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ab16667) and secondary antibodies (anti‑rabbit IgG; CST, #7074). The pathway inhibitor (LY294002 and PDTC) was purchased from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MedChem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Express (MCE, USA). We selected 10 mM as the use concentration for both LY294002 and </w:t>
      </w:r>
      <w:bookmarkStart w:id="6" w:name="OLE_LINK45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PDTC</w:t>
      </w:r>
      <w:bookmarkEnd w:id="6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dissolved in DMSO. MiR-502-3p mimic and miR-502c-3p inhibitor were purchased from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Sangon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Biotech Shanghai Co., Ltd. (Shanghai, China). Cells were transiently transfected with 50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nM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mimics or 50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nM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inhibitor using Lipofectamine 2000 (Invitrogen).  </w:t>
      </w:r>
    </w:p>
    <w:p w14:paraId="650C948A" w14:textId="77777777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C71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Cell lines and cell culture  </w:t>
      </w:r>
    </w:p>
    <w:p w14:paraId="2EAB56C3" w14:textId="36CF7071" w:rsidR="003C3152" w:rsidRDefault="003C3152" w:rsidP="003C3152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7" w:name="OLE_LINK14"/>
      <w:bookmarkStart w:id="8" w:name="OLE_LINK15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hFOB1.19, MG63, </w:t>
      </w:r>
      <w:bookmarkStart w:id="9" w:name="OLE_LINK3"/>
      <w:bookmarkStart w:id="10" w:name="OLE_LINK4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U2OS</w:t>
      </w:r>
      <w:bookmarkEnd w:id="9"/>
      <w:bookmarkEnd w:id="10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bookmarkEnd w:id="7"/>
      <w:bookmarkEnd w:id="8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143B </w:t>
      </w:r>
      <w:r w:rsidR="00D65EE0"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and HEK 293T cell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lines were purchased from American Type Culture Collection (Manassas, VA, USA). All cells were cultured and maintained in HG-DMEM. Both culture medium containing 10% fetal bovine serum (FBS), 100 U/ml penicillin and 100 </w:t>
      </w:r>
      <w:bookmarkStart w:id="11" w:name="_Hlk95004959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µ</w:t>
      </w:r>
      <w:bookmarkEnd w:id="11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g/ml streptomycin (both from Gibco; Fisher Scientific, Inc., Waltham, MA, USA). Both of those cells were cultured in six-well/6cm/10cm cell culture dish plates at concentrations of 5×10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5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, 5×10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6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10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7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cells/well, respectively, and then cultured at 37˚C in a circumstance involving 5% CO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 </w:t>
      </w:r>
    </w:p>
    <w:p w14:paraId="6491A211" w14:textId="77777777" w:rsidR="00B720F4" w:rsidRPr="00CC7150" w:rsidRDefault="00B720F4" w:rsidP="00B720F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C715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Packaging and infection of lentivirus vector </w:t>
      </w:r>
    </w:p>
    <w:p w14:paraId="4F195DFE" w14:textId="7E6D9F07" w:rsidR="00CA1DE0" w:rsidRPr="00CA1DE0" w:rsidRDefault="00CA1DE0" w:rsidP="00CA1DE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The full-length of Nectin-4 (NM_030916.2; GenBank) fragment was synthesized by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®</w:t>
      </w:r>
      <w:proofErr w:type="spellStart"/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Sangon</w:t>
      </w:r>
      <w:proofErr w:type="spellEnd"/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Biotech (Shanghai, China) and cloned into </w:t>
      </w:r>
      <w:proofErr w:type="spellStart"/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pCDH</w:t>
      </w:r>
      <w:proofErr w:type="spellEnd"/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lentiviral vector (System Biosciences, Mountain View, CA, USA). To knockdown Nectin-4 expression, </w:t>
      </w:r>
      <w:bookmarkStart w:id="12" w:name="_Hlk73652537"/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the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lastRenderedPageBreak/>
        <w:t>small hairpin RNA (shRNA) directing at the human Nectin-4 sequence (</w:t>
      </w:r>
      <w:bookmarkStart w:id="13" w:name="_Hlk92918431"/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shNectin-4#1, shNectin-4#2</w:t>
      </w:r>
      <w:bookmarkEnd w:id="13"/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 shNectin-4#3, </w:t>
      </w:r>
      <w:bookmarkStart w:id="14" w:name="OLE_LINK53"/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Supplementary Table </w:t>
      </w:r>
      <w:bookmarkEnd w:id="14"/>
      <w:r w:rsidR="009A0CEF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3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 and negative control vector sequence (</w:t>
      </w:r>
      <w:proofErr w:type="spellStart"/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shCtrl</w:t>
      </w:r>
      <w:proofErr w:type="spellEnd"/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Supplementary Table </w:t>
      </w:r>
      <w:r w:rsidR="009A0CEF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3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), which acquired from </w:t>
      </w:r>
      <w:proofErr w:type="spellStart"/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GeneChem</w:t>
      </w:r>
      <w:proofErr w:type="spellEnd"/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(Shanghai, China)</w:t>
      </w:r>
      <w:bookmarkEnd w:id="12"/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were cloned into pLKO.1 vector (Sigma, USA).</w:t>
      </w:r>
      <w:r w:rsidR="00B720F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</w:p>
    <w:p w14:paraId="6209C61F" w14:textId="77777777" w:rsidR="003C3152" w:rsidRPr="00CC7150" w:rsidRDefault="003C3152" w:rsidP="00B720F4">
      <w:pPr>
        <w:spacing w:line="360" w:lineRule="auto"/>
        <w:ind w:firstLine="4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lentiviral vectors of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pCDH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-Vector/Nectin-4 and pLKO.1-shCtrl/shNectin-4 were co-infected with the packaging plasmids psPAX2 (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Addgene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Inc.), and the </w:t>
      </w:r>
      <w:bookmarkStart w:id="15" w:name="OLE_LINK50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envelope plasmid</w:t>
      </w:r>
      <w:bookmarkEnd w:id="15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pMD2.G (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Addgene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, Inc.) into 293T cells (ATCC; Manassas, VA, USA) using Lipofectamine® 2000 (Invitrogen Life Technologies, Carlsbad, CA, USA). After 6 h incubation at 37˚C in a humidified atmosphere containing 5% CO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DMEM was exchanged for complete medium (containing 10% FBS, Gibco;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Thermo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Fisher Scientific, Inc.). The supernatant was harvested after culturing for 48h and concentrated by 0.45μm PES filter. MG63 and U2OS cells were infected with packaged lentivirus supernatant of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pCDH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-Vector/Nectin-4. And 143B cells were infected with packaged lentivirus supernatant of pLKO.1-shCtrl/shNectin-4. Medium was replaced with fresh medium 24 h post-infection and cells were collected 72 h post-infection for subsequent stable clones screening. Gene transfection efficiency was verified by </w:t>
      </w:r>
      <w:bookmarkStart w:id="16" w:name="OLE_LINK2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real-time</w:t>
      </w:r>
      <w:r w:rsidRPr="00CC7150">
        <w:rPr>
          <w:color w:val="000000" w:themeColor="text1"/>
        </w:rPr>
        <w:t xml:space="preserve"> 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quantitativ</w:t>
      </w:r>
      <w:bookmarkEnd w:id="16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e PCR (RT-qPCR) and Western blotting.</w:t>
      </w:r>
    </w:p>
    <w:p w14:paraId="2C027771" w14:textId="77777777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 w:rsidRPr="00CC71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Thermo</w:t>
      </w:r>
      <w:proofErr w:type="spellEnd"/>
      <w:r w:rsidRPr="00CC71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RT-qPCR analysis </w:t>
      </w:r>
    </w:p>
    <w:p w14:paraId="75ACFE44" w14:textId="5544C961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7" w:name="_Hlk73749306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Total RNAs were isolated and extracted from </w:t>
      </w:r>
      <w:bookmarkStart w:id="18" w:name="_Hlk74009320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OS cell lines</w:t>
      </w:r>
      <w:bookmarkEnd w:id="18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19" w:name="OLE_LINK35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(or OS tissues)</w:t>
      </w:r>
      <w:bookmarkEnd w:id="19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using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TRIzol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® reagent (Invitrogen, Carlsbad, CA) according to the producer’s instructions.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MiRcute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miRNA first-strand cDNA synthesis kit (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Tiangen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Biotech, Beijing, China) and Primer-Script TM one-step RT-PCR kit (Takara Bio, Inc.) were used to reverse transcribe the total RNA of miRNA and mRNA into cDNA, respectively. RT-qPCR analysis was carried out in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StepOnePlus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system (Applied Biosystems) and adopted SYBR-Green qPCR Premix (Takara). GAPDH was selected as</w:t>
      </w:r>
      <w:r w:rsidR="005778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internal reference for the expression of mRNA. Besides, the gene expression of miRNA was normalized to U6 as an endogenous control. Normalizing genes expression was calculated by means of the 2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−ΔΔCT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method. Each test was duplicated at least three times. The synthesized sequences primers were listed in </w:t>
      </w:r>
      <w:r w:rsidRPr="00CC7150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Supplementary</w:t>
      </w:r>
      <w:r w:rsidRPr="00CC715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Table </w:t>
      </w:r>
      <w:bookmarkEnd w:id="17"/>
      <w:r w:rsidR="009A0CE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  </w:t>
      </w:r>
    </w:p>
    <w:p w14:paraId="08A37D34" w14:textId="77777777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C71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Western blotting </w:t>
      </w:r>
    </w:p>
    <w:p w14:paraId="0306E92B" w14:textId="2B2BE703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0" w:name="_Hlk73891276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Total proteins of OS cell lines (or OS tissues) were obtained by means of radioimmunoprecipitation assay (RIPA) plus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phenylmethylsulfonyl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fluoride (PMSF) by a ratio of 100:1 followed the protocol (both from Beijing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Solarbio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Science &amp; Technology Co., Ltd., Beijing, China). In addition, protein level was measured by bicinchoninic acid assay (BCA) </w:t>
      </w:r>
      <w:bookmarkStart w:id="21" w:name="_Hlk74009004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(cat. no. PC0020; Beijing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Solarbio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Science &amp; Technology Co., Ltd.)</w:t>
      </w:r>
      <w:bookmarkEnd w:id="21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577876">
        <w:rPr>
          <w:rFonts w:ascii="Times New Roman" w:hAnsi="Times New Roman" w:cs="Times New Roman"/>
          <w:color w:val="000000" w:themeColor="text1"/>
          <w:sz w:val="24"/>
          <w:szCs w:val="24"/>
        </w:rPr>
        <w:t>The d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ifferent molecular weight of proteins was isolated by SDS-PAGE and then shifted to PVDF membranes (Millipore, USA). At room temperature, those membranes were blocked with 7% skim milk (BD,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Difco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™) for one hour. Subsequently, membranes were incubated with specialized primary antibodies (all 1:1000) at 4°C</w:t>
      </w:r>
      <w:bookmarkStart w:id="22" w:name="_Hlk74010197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overnight</w:t>
      </w:r>
      <w:bookmarkEnd w:id="22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then washed at least four times with TBST for five minutes each time. Ultimately, those membranes were hatched with secondary antibody (1:2000; IgG Rabbits) for 90 minutes at room temperature and then washed at least four times with TBST for five minutes each time. GAPDH </w:t>
      </w:r>
      <w:r w:rsidR="005778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is 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considered as</w:t>
      </w:r>
      <w:r w:rsidR="005778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internal reference for measuring the level of protein. The protein signal was detected by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Tanon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5200 automatic chemiluminescence imaging analysis system (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Tanon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Science &amp; Technology Co., Ltd, Shanghai, China) </w:t>
      </w:r>
      <w:r w:rsidRPr="00CC715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via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ECL Western blotting Substrate (cat. no. PE0010; Beijing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Solarbio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Science &amp; Technology Co., Ltd.). Moreover, the intensity of proteins was weighed by ImageJ software (National Institutes of Health, Bethesda, MD, USA). Each test was duplicated for at least three times.</w:t>
      </w:r>
      <w:r w:rsidR="005778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bookmarkEnd w:id="20"/>
    <w:p w14:paraId="3B2BCFB8" w14:textId="77777777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C71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CCK-8 proliferation assay</w:t>
      </w:r>
      <w:bookmarkStart w:id="23" w:name="_Hlk73991039"/>
      <w:r w:rsidRPr="00CC71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bookmarkEnd w:id="23"/>
    <w:p w14:paraId="1ACC890F" w14:textId="2C0A3FD5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C715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ell proliferation was measured by Cell Counting Kit-8 (CCK-8,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Beyotime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Shanghai, China). In brief, these </w:t>
      </w:r>
      <w:bookmarkStart w:id="24" w:name="OLE_LINK22"/>
      <w:bookmarkStart w:id="25" w:name="OLE_LINK23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OS cell lines</w:t>
      </w:r>
      <w:bookmarkEnd w:id="24"/>
      <w:bookmarkEnd w:id="25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(3.5×10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cells) stable infected with </w:t>
      </w:r>
      <w:bookmarkStart w:id="26" w:name="_Hlk74009668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Nectin-4-OE, Vector-NC, shNectin-4, and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shCtrl</w:t>
      </w:r>
      <w:bookmarkEnd w:id="26"/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lentivirus were put in 96-well plates and cultivated for 0, 12, 24, 36, 48 and 72h, respectively. In addition, CCK-8 reagent was placed into </w:t>
      </w:r>
      <w:r w:rsidR="005778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well and co-cultured for one hour at the surrounding temperature of 37 °C until reached the corresponding timepoint. The absorbance of each well at a wave length of 450 nm was recorded from a microplate reader and then we drew the cell proliferation curves. Each test was duplicated for at least three times. </w:t>
      </w:r>
    </w:p>
    <w:p w14:paraId="33B2CC4E" w14:textId="77777777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27" w:name="OLE_LINK11"/>
      <w:r w:rsidRPr="00CC71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Colony formation</w:t>
      </w:r>
      <w:bookmarkEnd w:id="27"/>
      <w:r w:rsidRPr="00CC71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assay</w:t>
      </w:r>
    </w:p>
    <w:p w14:paraId="6D54AD97" w14:textId="7D2A5ABB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8" w:name="_Hlk74043837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The 1×10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OS cells with stable clones</w:t>
      </w:r>
      <w:bookmarkEnd w:id="28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placed into 6-well plates, and then cultured 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for 1~2 weeks. After </w:t>
      </w:r>
      <w:r w:rsidR="001821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being 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washed with phosphate-buffered saline (PBS) for three times, those surviving cell clusters were fixed with 4% paraformaldehyde (Sigma-Aldrich Co., St. Louis, MO USA) for half an hour, and then stained with 0.01% crystal violet for a quarter of an hour. All experiments were carried out in triplicate.  </w:t>
      </w:r>
    </w:p>
    <w:p w14:paraId="7444866C" w14:textId="77777777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29" w:name="OLE_LINK57"/>
      <w:r w:rsidRPr="00CC71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Migration</w:t>
      </w:r>
      <w:bookmarkEnd w:id="29"/>
      <w:r w:rsidRPr="00CC71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 invasion assay </w:t>
      </w:r>
    </w:p>
    <w:p w14:paraId="03E5C7DD" w14:textId="52BE7B16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30" w:name="_Hlk74063686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Cell migration and invasion capacity were detected by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transwell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assays </w:t>
      </w:r>
      <w:r w:rsidRPr="00CC715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via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chamber inserts (BD Biosciences) covered with Matrigel (invasion capacity detection) or without Matrigel (migration capacity detection). The steps of operation were as follow</w:t>
      </w:r>
      <w:r w:rsidR="00182112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: the stable infected 143B, MG63 (both, 3×10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), and U2OS cells (2.5×10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were seeded into the upper chamber and resuspended with 200μl of DMEM Medium containing 0.1% BSA without FBS. Meanwhile, 500ul the complete medium was put into the lower chamber as a driving factor. The cells were used for testing migration and invasion ability after </w:t>
      </w:r>
      <w:r w:rsidR="001821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being 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cultured for 24 h and 48h, respectively. At last, the bottom of those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transwell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chambers was washed by PBS. After dried, those cells were stained with 0.1% crystal violet for 10 min. The migrated cells were observed by an inverted microscope (Olympus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cellSens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Entry 1.16; Olympus Corporation).</w:t>
      </w:r>
      <w:bookmarkEnd w:id="30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821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213108AF" w14:textId="77777777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C71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Wound healing assay</w:t>
      </w:r>
    </w:p>
    <w:p w14:paraId="7126D92B" w14:textId="4C060414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The OS cells lines (1×10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6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from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Nectin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-OE, Vector-NC, shNectin-4, and </w:t>
      </w:r>
      <w:bookmarkStart w:id="31" w:name="_Hlk74841758"/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shCtrl</w:t>
      </w:r>
      <w:bookmarkEnd w:id="31"/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cultured in 6-well plates. To create a linear and straight wound, monolayer cells were factitiously destroyed </w:t>
      </w:r>
      <w:r w:rsidRPr="00CC715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via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10µ</w:t>
      </w:r>
      <w:r w:rsidR="00A00BB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l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sterilized pipette tip when cells</w:t>
      </w:r>
      <w:r w:rsidR="001821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grown to 90% confluent. Subsequently, these cells were repeatedly washed with sterile PBS and then continually cultured in </w:t>
      </w:r>
      <w:r w:rsidR="001821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serum-free medium at </w:t>
      </w:r>
      <w:r w:rsidR="001821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CO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incubator. Wound width was evaluated at 0 and 24h and its photographs w</w:t>
      </w:r>
      <w:r w:rsidR="00182112">
        <w:rPr>
          <w:rFonts w:ascii="Times New Roman" w:hAnsi="Times New Roman" w:cs="Times New Roman"/>
          <w:color w:val="000000" w:themeColor="text1"/>
          <w:sz w:val="24"/>
          <w:szCs w:val="24"/>
        </w:rPr>
        <w:t>ere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captured by an inverted microscope (Olympus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cellSens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Entry 1.16; Olympus Corporation). The comparison among wound widths was calculated by relative migration distance.</w:t>
      </w:r>
    </w:p>
    <w:p w14:paraId="7A663E47" w14:textId="77777777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C715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Enrichment Analysis </w:t>
      </w:r>
    </w:p>
    <w:p w14:paraId="3F702D25" w14:textId="5A7F096A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PID_PI3KCI_PATHWAY gene set was downloaded from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MsigDB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database. The </w:t>
      </w:r>
      <w:bookmarkStart w:id="32" w:name="_Hlk94832568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gene set variation analysis</w:t>
      </w:r>
      <w:bookmarkEnd w:id="32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(GSVA) was performed to study the underlying gene sets with expression changes on osteosarcoma samples from the TARGET database. Subsequently,</w:t>
      </w:r>
      <w:r w:rsidRPr="00CC7150">
        <w:rPr>
          <w:color w:val="000000" w:themeColor="text1"/>
        </w:rPr>
        <w:t xml:space="preserve"> 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difference of GSVA score between </w:t>
      </w:r>
      <w:r w:rsidR="001821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high Nectin-4 expression 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group and low expression group was analyzed to detect whether there was a difference in PI3K pathway activity between the two groups. In addition, </w:t>
      </w:r>
      <w:bookmarkStart w:id="33" w:name="_Hlk94832586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gene set enrichment analysis</w:t>
      </w:r>
      <w:bookmarkEnd w:id="33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(GSEA) was also used to explore the relationship between PI3K pathway enrichment and Nectin-4 expression </w:t>
      </w:r>
      <w:r w:rsidRPr="00CC715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by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means of </w:t>
      </w:r>
      <w:r w:rsidRPr="00CC715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software GSEA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V2.2.0 </w:t>
      </w:r>
      <w:r w:rsidRPr="00CC715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(download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ed </w:t>
      </w:r>
      <w:r w:rsidRPr="00CC715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from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6" w:history="1">
        <w:r w:rsidRPr="000E2328">
          <w:rPr>
            <w:rStyle w:val="a7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http://www.gsea-msigdb.org/gsea/msigdb/index.jsp</w:t>
        </w:r>
      </w:hyperlink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0245C46F" w14:textId="77777777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34" w:name="_Hlk74700614"/>
      <w:r w:rsidRPr="00CC715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Luciferase reporter assay</w:t>
      </w:r>
    </w:p>
    <w:p w14:paraId="498D944A" w14:textId="6B5CC549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reporter plasmids </w:t>
      </w:r>
      <w:bookmarkStart w:id="35" w:name="OLE_LINK79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pmirGLO-Firefly</w:t>
      </w:r>
      <w:bookmarkEnd w:id="35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_Luciferase-Renilla_Luciferase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containing the ATK1 or P65 3’UTR </w:t>
      </w:r>
      <w:bookmarkStart w:id="36" w:name="_Hlk94832616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wild type</w:t>
      </w:r>
      <w:bookmarkEnd w:id="36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Wt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sequence or a </w:t>
      </w:r>
      <w:bookmarkStart w:id="37" w:name="_Hlk94832653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mutant</w:t>
      </w:r>
      <w:r w:rsidR="00F92C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type</w:t>
      </w:r>
      <w:bookmarkEnd w:id="37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(Mt) sequence that are targeted and b</w:t>
      </w:r>
      <w:r w:rsidR="00340744">
        <w:rPr>
          <w:rFonts w:ascii="Times New Roman" w:hAnsi="Times New Roman" w:cs="Times New Roman"/>
          <w:color w:val="000000" w:themeColor="text1"/>
          <w:sz w:val="24"/>
          <w:szCs w:val="24"/>
        </w:rPr>
        <w:t>ond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ed to miR-520c-3p were designed by </w:t>
      </w:r>
      <w:r w:rsidRPr="00CC7150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®</w:t>
      </w:r>
      <w:bookmarkStart w:id="38" w:name="OLE_LINK69"/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Sangon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Biotech</w:t>
      </w:r>
      <w:bookmarkEnd w:id="38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(Shanghai, China). 293T cells were co-transfected with the reporter plasmid and miR-520c-3p mimic or </w:t>
      </w:r>
      <w:r w:rsidR="0080174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inhibitor</w:t>
      </w:r>
      <w:r w:rsidR="008017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="0080174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then</w:t>
      </w:r>
      <w:r w:rsidR="008017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incubated for 24 h. Furthermore, the effect </w:t>
      </w:r>
      <w:r w:rsidRPr="00CC715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of mi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R-520c-3p</w:t>
      </w:r>
      <w:r w:rsidRPr="00CC715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on the luciferase reporter with the 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AKT1</w:t>
      </w:r>
      <w:r w:rsidRPr="00CC715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A00BBA" w:rsidRPr="00CC7150">
        <w:rPr>
          <w:rFonts w:ascii="Times New Roman" w:hAnsi="Times New Roman" w:cs="Times New Roman"/>
          <w:color w:val="000000" w:themeColor="text1"/>
          <w:sz w:val="24"/>
        </w:rPr>
        <w:t>'</w:t>
      </w:r>
      <w:r w:rsidRPr="00CC715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UTR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Wt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vs Mt) and P65 </w:t>
      </w:r>
      <w:r w:rsidRPr="00CC715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3</w:t>
      </w:r>
      <w:r w:rsidR="00A00BBA" w:rsidRPr="00CC7150">
        <w:rPr>
          <w:rFonts w:ascii="Times New Roman" w:hAnsi="Times New Roman" w:cs="Times New Roman"/>
          <w:color w:val="000000" w:themeColor="text1"/>
          <w:sz w:val="24"/>
        </w:rPr>
        <w:t>'</w:t>
      </w:r>
      <w:r w:rsidRPr="00CC715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-UTR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Wt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vs Mt)</w:t>
      </w:r>
      <w:r w:rsidRPr="00CC715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evaluated by relative firefly luciferase activity (normalized to </w:t>
      </w:r>
      <w:proofErr w:type="spellStart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>Renilla</w:t>
      </w:r>
      <w:proofErr w:type="spellEnd"/>
      <w:r w:rsidRPr="00CC71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luciferase activity).  </w:t>
      </w:r>
      <w:r w:rsidR="008017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bookmarkEnd w:id="34"/>
    <w:p w14:paraId="7D2B5416" w14:textId="77777777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450B1B" w14:textId="77777777" w:rsidR="003C3152" w:rsidRPr="00CC7150" w:rsidRDefault="003C3152" w:rsidP="003C3152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FC748B9" w14:textId="77777777" w:rsidR="00115F3E" w:rsidRPr="00CC7150" w:rsidRDefault="00115F3E">
      <w:pPr>
        <w:rPr>
          <w:color w:val="000000" w:themeColor="text1"/>
        </w:rPr>
      </w:pPr>
    </w:p>
    <w:sectPr w:rsidR="00115F3E" w:rsidRPr="00CC71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B9C30" w14:textId="77777777" w:rsidR="00E53010" w:rsidRDefault="00E53010" w:rsidP="003C3152">
      <w:r>
        <w:separator/>
      </w:r>
    </w:p>
  </w:endnote>
  <w:endnote w:type="continuationSeparator" w:id="0">
    <w:p w14:paraId="7F5280B0" w14:textId="77777777" w:rsidR="00E53010" w:rsidRDefault="00E53010" w:rsidP="003C3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8A7A70" w14:textId="77777777" w:rsidR="00E53010" w:rsidRDefault="00E53010" w:rsidP="003C3152">
      <w:r>
        <w:separator/>
      </w:r>
    </w:p>
  </w:footnote>
  <w:footnote w:type="continuationSeparator" w:id="0">
    <w:p w14:paraId="134D184B" w14:textId="77777777" w:rsidR="00E53010" w:rsidRDefault="00E53010" w:rsidP="003C31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DAA"/>
    <w:rsid w:val="00060E6F"/>
    <w:rsid w:val="00064FC3"/>
    <w:rsid w:val="00092DEB"/>
    <w:rsid w:val="000E2328"/>
    <w:rsid w:val="00115F3E"/>
    <w:rsid w:val="00182112"/>
    <w:rsid w:val="001C5C90"/>
    <w:rsid w:val="001D7AE3"/>
    <w:rsid w:val="001E6050"/>
    <w:rsid w:val="00300C9D"/>
    <w:rsid w:val="00340744"/>
    <w:rsid w:val="0034449C"/>
    <w:rsid w:val="00391C1F"/>
    <w:rsid w:val="003C3152"/>
    <w:rsid w:val="003D1DAA"/>
    <w:rsid w:val="00422712"/>
    <w:rsid w:val="005274B0"/>
    <w:rsid w:val="00577876"/>
    <w:rsid w:val="005C6193"/>
    <w:rsid w:val="005E1542"/>
    <w:rsid w:val="00682D48"/>
    <w:rsid w:val="006E03A1"/>
    <w:rsid w:val="00716ADB"/>
    <w:rsid w:val="00774A85"/>
    <w:rsid w:val="00801749"/>
    <w:rsid w:val="0087193C"/>
    <w:rsid w:val="009A0CEF"/>
    <w:rsid w:val="00A00BBA"/>
    <w:rsid w:val="00A610AF"/>
    <w:rsid w:val="00AD26A7"/>
    <w:rsid w:val="00B720F4"/>
    <w:rsid w:val="00C22088"/>
    <w:rsid w:val="00CA1DE0"/>
    <w:rsid w:val="00CC7150"/>
    <w:rsid w:val="00D65EE0"/>
    <w:rsid w:val="00DC703F"/>
    <w:rsid w:val="00DF44BA"/>
    <w:rsid w:val="00E53010"/>
    <w:rsid w:val="00EF1CCD"/>
    <w:rsid w:val="00EF7BFB"/>
    <w:rsid w:val="00F32DA8"/>
    <w:rsid w:val="00F44536"/>
    <w:rsid w:val="00F92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E6A1AD"/>
  <w15:chartTrackingRefBased/>
  <w15:docId w15:val="{8FE380F6-FECC-4C9E-8550-5416E446F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31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31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31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31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3152"/>
    <w:rPr>
      <w:sz w:val="18"/>
      <w:szCs w:val="18"/>
    </w:rPr>
  </w:style>
  <w:style w:type="character" w:styleId="a7">
    <w:name w:val="Hyperlink"/>
    <w:basedOn w:val="a0"/>
    <w:uiPriority w:val="99"/>
    <w:unhideWhenUsed/>
    <w:rsid w:val="003C315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834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sea-msigdb.org/gsea/msigdb/index.js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1822</Words>
  <Characters>10386</Characters>
  <Application>Microsoft Office Word</Application>
  <DocSecurity>0</DocSecurity>
  <Lines>86</Lines>
  <Paragraphs>24</Paragraphs>
  <ScaleCrop>false</ScaleCrop>
  <Company/>
  <LinksUpToDate>false</LinksUpToDate>
  <CharactersWithSpaces>12184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恒</dc:creator>
  <cp:keywords/>
  <dc:description/>
  <cp:lastModifiedBy>刘 恒</cp:lastModifiedBy>
  <cp:revision>24</cp:revision>
  <dcterms:created xsi:type="dcterms:W3CDTF">2022-01-31T03:30:00Z</dcterms:created>
  <dcterms:modified xsi:type="dcterms:W3CDTF">2022-04-04T12:22:00Z</dcterms:modified>
</cp:coreProperties>
</file>