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76" w:lineRule="auto"/>
        <w:rPr>
          <w:rFonts w:ascii="Times New Roman" w:hAnsi="Times New Roman" w:eastAsia="Malgun Gothic" w:cs="Times New Roman"/>
          <w:b/>
          <w:sz w:val="24"/>
          <w:szCs w:val="24"/>
        </w:rPr>
      </w:pPr>
      <w:bookmarkStart w:id="14" w:name="_GoBack"/>
      <w:bookmarkEnd w:id="14"/>
      <w:r>
        <w:rPr>
          <w:rFonts w:ascii="Times New Roman" w:hAnsi="Times New Roman" w:eastAsia="Malgun Gothic" w:cs="Times New Roman"/>
          <w:b/>
          <w:sz w:val="24"/>
          <w:szCs w:val="24"/>
        </w:rPr>
        <w:t>Supplementary materials</w:t>
      </w:r>
    </w:p>
    <w:p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OLE_LINK37"/>
      <w:r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ssociation between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exposures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obesity including all exposures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NHANES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20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05-2010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(N =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2372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bookmarkEnd w:id="0"/>
    <w:tbl>
      <w:tblPr>
        <w:tblStyle w:val="6"/>
        <w:tblW w:w="139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95"/>
        <w:gridCol w:w="1677"/>
        <w:gridCol w:w="1113"/>
        <w:gridCol w:w="1677"/>
        <w:gridCol w:w="1113"/>
        <w:gridCol w:w="1677"/>
        <w:gridCol w:w="1113"/>
        <w:gridCol w:w="1637"/>
        <w:gridCol w:w="11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Chemical exposures</w:t>
            </w:r>
          </w:p>
        </w:tc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1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2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3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4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6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116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Phenols </w:t>
            </w:r>
          </w:p>
        </w:tc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1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BPA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0.90 (0.65, 1.24)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0.514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0.86 (0.61, 1.21)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0.397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0.96 (0.68, 1.36)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0.818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0.99 (0.75, 1.32)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BP-3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0.99 (0.73, 1.34)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0.943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1.24 (0.92, 1.69)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0.164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1.01 (0.72, 1.41)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0.959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1.03 (0.89, 1.19)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Paraben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0.62 (0.44, 0.87)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0.64 (0.44, 0.94)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0.70 (0.44, 1.09)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0.118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0.75 (0.59, 0.95)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1.21 (0.87, 1.68)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0.262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1.01 (0.68, 1.51)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0.948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0.78 (0.49, 1.25)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0.297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1.03 (0.84, 1.26)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Pesticides</w:t>
            </w:r>
          </w:p>
        </w:tc>
        <w:tc>
          <w:tcPr>
            <w:tcW w:w="1395" w:type="dxa"/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2,5-DCP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1.62 (1.15, 2.30)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2.26 (1.54, 3.37)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3.23 (1.99, 5.30)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1.73 (1.35, 2.24)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2,4-DCP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0.73 (0.51, 1.05)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0.090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0.61 (0.40, 0.92)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0.48 (0.28, 0.80)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0.57 (0.40, 0.82)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Phthalate</w:t>
            </w:r>
            <w:r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metabolites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MBzP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0.94 (0.67, 1.30)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0.688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0.88 (0.61, 1.25)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0.472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0.70 (0.47, 1.04)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0.076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0.78 (0.59, 1.01)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1.03 (0.74, 1.43)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0.853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1.33 (0.95, 1.88)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0.100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1.55 (1.07, 2.26)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1.35 (1.08, 1.69)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MiBP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1.50 (1.07, 2.12)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0.020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1.51 (1.03, 2.23)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0.034</w:t>
            </w:r>
          </w:p>
        </w:tc>
        <w:tc>
          <w:tcPr>
            <w:tcW w:w="16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1.77 (1.16, 2.70)</w:t>
            </w:r>
          </w:p>
        </w:tc>
        <w:tc>
          <w:tcPr>
            <w:tcW w:w="11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163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1.50 (1.10, 2.05)</w:t>
            </w:r>
          </w:p>
        </w:tc>
        <w:tc>
          <w:tcPr>
            <w:tcW w:w="116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NHANES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National Health and Nutrition Examination Survey; OR: odds ratio; CI: confidence interval. </w:t>
      </w:r>
      <w:bookmarkStart w:id="1" w:name="OLE_LINK1"/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otal means continuous chemical variable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 M</w:t>
      </w:r>
      <w:r>
        <w:rPr>
          <w:rFonts w:ascii="Times New Roman" w:hAnsi="Times New Roman"/>
          <w:sz w:val="24"/>
          <w:szCs w:val="24"/>
        </w:rPr>
        <w:t>ultivariable l</w:t>
      </w:r>
      <w:r>
        <w:rPr>
          <w:rFonts w:hint="eastAsia" w:ascii="Times New Roman" w:hAnsi="Times New Roman"/>
          <w:sz w:val="24"/>
          <w:szCs w:val="24"/>
        </w:rPr>
        <w:t>ogistic</w:t>
      </w:r>
      <w:r>
        <w:rPr>
          <w:rFonts w:ascii="Times New Roman" w:hAnsi="Times New Roman"/>
          <w:sz w:val="24"/>
          <w:szCs w:val="24"/>
        </w:rPr>
        <w:t xml:space="preserve"> regression</w:t>
      </w:r>
      <w:r>
        <w:rPr>
          <w:rFonts w:hint="eastAsia" w:ascii="Times New Roman" w:hAnsi="Times New Roman"/>
          <w:sz w:val="24"/>
          <w:szCs w:val="24"/>
        </w:rPr>
        <w:t xml:space="preserve"> further adjusting other chemicals was conducted and</w:t>
      </w:r>
      <w:r>
        <w:rPr>
          <w:rFonts w:ascii="Times New Roman" w:hAnsi="Times New Roman"/>
          <w:sz w:val="24"/>
          <w:szCs w:val="24"/>
        </w:rPr>
        <w:t xml:space="preserve"> odds ratios (ORs) </w:t>
      </w:r>
      <w:r>
        <w:rPr>
          <w:rFonts w:hint="eastAsia" w:ascii="Times New Roman" w:hAnsi="Times New Roman"/>
          <w:sz w:val="24"/>
          <w:szCs w:val="24"/>
        </w:rPr>
        <w:t>were calculated while comparing the 2nd, 3rd and 4th quartiles of each chemicals with reference to the first exposure qua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rtile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(N =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2372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bookmarkEnd w:id="1"/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 Model</w:t>
      </w:r>
      <w:r>
        <w:rPr>
          <w:rFonts w:ascii="Times New Roman" w:hAnsi="Times New Roman"/>
          <w:sz w:val="24"/>
          <w:szCs w:val="24"/>
        </w:rPr>
        <w:t xml:space="preserve">s were adjusted for age, gender, race, educational levels, family income–to-poverty ratio, </w:t>
      </w:r>
      <w:r>
        <w:rPr>
          <w:rFonts w:hint="eastAsia"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aloric intake, serum cotinine and l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og</w:t>
      </w:r>
      <w:r>
        <w:rPr>
          <w:rFonts w:ascii="Times New Roman" w:hAnsi="Times New Roman"/>
          <w:sz w:val="24"/>
          <w:szCs w:val="24"/>
        </w:rPr>
        <w:t>-transformed creatinine.</w:t>
      </w:r>
    </w:p>
    <w:p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Asso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ciation between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exposures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BMI z-score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including all exposures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NHANES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20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05-2010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(N =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2372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tbl>
      <w:tblPr>
        <w:tblStyle w:val="6"/>
        <w:tblW w:w="139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95"/>
        <w:gridCol w:w="1877"/>
        <w:gridCol w:w="913"/>
        <w:gridCol w:w="1877"/>
        <w:gridCol w:w="913"/>
        <w:gridCol w:w="1897"/>
        <w:gridCol w:w="893"/>
        <w:gridCol w:w="1907"/>
        <w:gridCol w:w="8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Chemical exposures</w:t>
            </w:r>
          </w:p>
        </w:tc>
        <w:tc>
          <w:tcPr>
            <w:tcW w:w="13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1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2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3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Quartile 4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m:oMath>
              <w:bookmarkStart w:id="2" w:name="OLE_LINK2"/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m:t>β</m:t>
              </m:r>
            </m:oMath>
            <w:bookmarkEnd w:id="2"/>
            <w:r>
              <w:rPr>
                <w:rFonts w:hint="eastAsia" w:ascii="Cambria Math" w:hAnsi="Cambria Math" w:eastAsia="等线" w:cs="Times New Roman"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9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87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m:t>β</m:t>
              </m:r>
            </m:oMath>
            <w:r>
              <w:rPr>
                <w:rFonts w:hint="eastAsia" w:ascii="Cambria Math" w:hAnsi="Cambria Math" w:eastAsia="等线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91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89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m:t>β</m:t>
              </m:r>
            </m:oMath>
            <w:r>
              <w:rPr>
                <w:rFonts w:hint="eastAsia" w:ascii="Cambria Math" w:hAnsi="Cambria Math" w:eastAsia="等线" w:cs="Times New Roman"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89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90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m:t>β</m:t>
              </m:r>
            </m:oMath>
            <w:r>
              <w:rPr>
                <w:rFonts w:hint="eastAsia" w:ascii="Cambria Math" w:hAnsi="Cambria Math" w:eastAsia="等线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(95%CI)</w:t>
            </w:r>
          </w:p>
        </w:tc>
        <w:tc>
          <w:tcPr>
            <w:tcW w:w="89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Phenols </w:t>
            </w:r>
          </w:p>
        </w:tc>
        <w:tc>
          <w:tcPr>
            <w:tcW w:w="1395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7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tcBorders>
              <w:top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BPA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 (-0.13, 0.16)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0.843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 (-0.14, 0.16)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0.947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-0.02 (-0.17, 0.14)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0.843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-0.08 (-0.21, 0.05)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BP-3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0.06 (-0.07, 0.20)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0.354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0.09 (-0.05, 0.23)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0.186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0.09 (-0.06, 0.24)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0.227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0.03 (-0.03, 0.10)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Paraben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-0.16 (-0.32, -0.01)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0.033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-0.15 (-0.32, 0.03)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0.098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-0.13 (-0.34, 0.07)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0.207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-0.07 (-0.17, 0.04)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 (-0.13, 0.17)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0.788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 (-0.17, 0.18)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0.969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-0.08 (-0.28, 0.13)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0.470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-0.01 (-0.09, 0.08)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Pesticides</w:t>
            </w:r>
          </w:p>
        </w:tc>
        <w:tc>
          <w:tcPr>
            <w:tcW w:w="1395" w:type="dxa"/>
            <w:noWrap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2,5-DCP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0.07 (-0.07, 0.21)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0.351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0.18 (0.02, 0.34)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0.19 (-0.02, 0.40)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0.072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0.14 (0.04, 0.24)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2,4-DCP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-0.10 (-0.25, 0.05)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0.193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-0.04 (-0.22, 0.13)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0.624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-0.19 (-0.41, 0.03)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0.096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-0.20 (-0.36, -0.05)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Phthalate</w:t>
            </w:r>
            <w:r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FreeSerif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metabolites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MBzP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 (-0.14, 0.15)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0.951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-0.09 (-0.25, 0.07)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0.274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-0.08 (-0.26, 0.09)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0.365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-0.04 (-0.16, 0.07)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0.462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 (-0.12, 0.16)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0.740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0.14 (-0.01, 0.29)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0.066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0.19 (0.02, 0.35)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0.15 (0.05, 0.25)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noWrap/>
          </w:tcPr>
          <w:p>
            <w:pPr>
              <w:ind w:firstLine="210" w:firstLineChars="100"/>
              <w:jc w:val="left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MiBP</w:t>
            </w:r>
          </w:p>
        </w:tc>
        <w:tc>
          <w:tcPr>
            <w:tcW w:w="1395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0.14 (-0.01, 0.29)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0.059</w:t>
            </w:r>
          </w:p>
        </w:tc>
        <w:tc>
          <w:tcPr>
            <w:tcW w:w="187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0.09 (-0.07, 0.26)</w:t>
            </w:r>
          </w:p>
        </w:tc>
        <w:tc>
          <w:tcPr>
            <w:tcW w:w="91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0.270</w:t>
            </w:r>
          </w:p>
        </w:tc>
        <w:tc>
          <w:tcPr>
            <w:tcW w:w="189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0.12 (-0.06, 0.30)</w:t>
            </w:r>
          </w:p>
        </w:tc>
        <w:tc>
          <w:tcPr>
            <w:tcW w:w="893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0.198</w:t>
            </w:r>
          </w:p>
        </w:tc>
        <w:tc>
          <w:tcPr>
            <w:tcW w:w="1907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0.06 (-0.08, 0.20)</w:t>
            </w:r>
          </w:p>
        </w:tc>
        <w:tc>
          <w:tcPr>
            <w:tcW w:w="891" w:type="dxa"/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0.413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NHANES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National Health and Nutrition Examination Survey;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CI: confidence interval. </w:t>
      </w:r>
      <w:bookmarkStart w:id="3" w:name="OLE_LINK3"/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otal means continuous chemical variable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 M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ultivariable l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inear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regression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further adjusting other chemicals was conducted and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regression coefficients (</w:t>
      </w:r>
      <m:oMath>
        <m:r>
          <w:rPr>
            <w:rFonts w:ascii="Cambria Math" w:hAnsi="Cambria Math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m:t>β</m:t>
        </m:r>
      </m:oMath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were calculated while comparing the 2nd, 3rd and 4th quartiles of each chemicals with reference to the first exposure quartile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(N =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2372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bookmarkEnd w:id="3"/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Models were adjusted for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age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gender,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race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educational levels, family income–to-poverty ratio,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caloric intake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serum cotinine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and l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og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-transformed cre</w:t>
      </w:r>
      <w:r>
        <w:rPr>
          <w:rFonts w:ascii="Times New Roman" w:hAnsi="Times New Roman"/>
          <w:sz w:val="24"/>
          <w:szCs w:val="24"/>
        </w:rPr>
        <w:t>atinine.</w:t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3 </w:t>
      </w:r>
      <w:r>
        <w:rPr>
          <w:rFonts w:hint="eastAsia" w:ascii="Times New Roman" w:hAnsi="Times New Roman" w:cstheme="minorBidi"/>
          <w:sz w:val="24"/>
          <w:szCs w:val="24"/>
        </w:rPr>
        <w:t>Variance inflation factors (VIFs) in the multivariate</w:t>
      </w:r>
      <w:r>
        <w:rPr>
          <w:rFonts w:ascii="Times New Roman" w:hAnsi="Times New Roman" w:cstheme="minorBidi"/>
          <w:sz w:val="24"/>
          <w:szCs w:val="24"/>
        </w:rPr>
        <w:t xml:space="preserve"> logistic </w:t>
      </w:r>
      <w:r>
        <w:rPr>
          <w:rFonts w:hint="eastAsia" w:ascii="Times New Roman" w:hAnsi="Times New Roman" w:cstheme="minorBidi"/>
          <w:sz w:val="24"/>
          <w:szCs w:val="24"/>
        </w:rPr>
        <w:t xml:space="preserve">and linear </w:t>
      </w:r>
      <w:r>
        <w:rPr>
          <w:rFonts w:ascii="Times New Roman" w:hAnsi="Times New Roman" w:cstheme="minorBidi"/>
          <w:sz w:val="24"/>
          <w:szCs w:val="24"/>
        </w:rPr>
        <w:t>regression model</w:t>
      </w:r>
      <w:r>
        <w:rPr>
          <w:rFonts w:hint="eastAsia" w:ascii="Times New Roman" w:hAnsi="Times New Roman" w:cstheme="minorBidi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tcBorders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</w:rPr>
              <w:t>Chemic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al </w:t>
            </w:r>
            <w:r>
              <w:rPr>
                <w:rFonts w:hint="eastAsia" w:ascii="Times New Roman" w:hAnsi="Times New Roman" w:cs="Times New Roman"/>
                <w:b/>
                <w:szCs w:val="21"/>
              </w:rPr>
              <w:t>exposures</w:t>
            </w:r>
          </w:p>
        </w:tc>
        <w:tc>
          <w:tcPr>
            <w:tcW w:w="5682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VIFs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BMI z-score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BPA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1.64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BP-3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MeP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PrP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2,5-DCP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4.59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2,4-DCP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5.02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MBzP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2.04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MEP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1.84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MiBP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2.24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VIF: Variance inflation factor;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Model included all the chemical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exposures, adjusting for the confounding effects of other chemicals in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National Health and Nutrition Examination Survey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(NHANES)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20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05-2010</w:t>
      </w:r>
      <w:r>
        <w:rPr>
          <w:rFonts w:hint="eastAsia" w:ascii="Arial" w:hAnsi="Arial" w:cs="Arial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(N =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2372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Models were adjusted for age, gender, race, educational levels, family income–to-poverty ratio, caloric intake, serum cotinine and l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og</w:t>
      </w:r>
      <w:r>
        <w:rPr>
          <w:rFonts w:hint="eastAsia" w:ascii="Times New Roman" w:hAnsi="Times New Roman"/>
          <w:sz w:val="24"/>
          <w:szCs w:val="24"/>
        </w:rPr>
        <w:t>-transformed creatinine.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80" w:lineRule="auto"/>
        <w:ind w:firstLine="240" w:firstLineChars="100"/>
        <w:jc w:val="left"/>
        <w:rPr>
          <w:rFonts w:hint="eastAsia" w:ascii="Times New Roman" w:hAnsi="Times New Roman" w:eastAsiaTheme="minorEastAsia"/>
          <w:sz w:val="24"/>
          <w:lang w:val="en-US" w:eastAsia="zh-CN"/>
        </w:rPr>
      </w:pPr>
      <w:bookmarkStart w:id="4" w:name="OLE_LINK7"/>
      <w:r>
        <w:rPr>
          <w:rFonts w:ascii="Times New Roman" w:hAnsi="Times New Roman"/>
          <w:sz w:val="24"/>
        </w:rPr>
        <w:t xml:space="preserve">Table </w:t>
      </w:r>
      <w:r>
        <w:rPr>
          <w:rFonts w:hint="eastAsia" w:ascii="Times New Roman" w:hAnsi="Times New Roman"/>
          <w:sz w:val="24"/>
          <w:lang w:val="en-US" w:eastAsia="zh-CN"/>
        </w:rPr>
        <w:t>S4</w:t>
      </w:r>
      <w:r>
        <w:rPr>
          <w:rFonts w:ascii="Times New Roman" w:hAnsi="Times New Roman"/>
          <w:sz w:val="24"/>
        </w:rPr>
        <w:t xml:space="preserve"> Association between</w:t>
      </w:r>
      <w:r>
        <w:rPr>
          <w:rFonts w:ascii="Times New Roman" w:hAnsi="Times New Roman" w:eastAsia="宋体" w:cs="Times New Roman"/>
          <w:sz w:val="24"/>
        </w:rPr>
        <w:t xml:space="preserve"> the</w:t>
      </w:r>
      <w:r>
        <w:rPr>
          <w:rFonts w:ascii="Times New Roman" w:hAnsi="Times New Roman"/>
          <w:sz w:val="24"/>
        </w:rPr>
        <w:t xml:space="preserve"> WQS index and obesity in </w:t>
      </w:r>
      <w:bookmarkEnd w:id="4"/>
      <w:r>
        <w:rPr>
          <w:rFonts w:hint="eastAsia" w:ascii="Times New Roman" w:hAnsi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negative direction</w:t>
      </w:r>
      <w:r>
        <w:rPr>
          <w:rFonts w:hint="eastAsia" w:ascii="Times New Roman" w:hAnsi="Times New Roman"/>
          <w:sz w:val="24"/>
          <w:lang w:val="en-US" w:eastAsia="zh-CN"/>
        </w:rPr>
        <w:t>.</w:t>
      </w:r>
    </w:p>
    <w:tbl>
      <w:tblPr>
        <w:tblStyle w:val="4"/>
        <w:tblpPr w:leftFromText="180" w:rightFromText="180" w:vertAnchor="text" w:horzAnchor="page" w:tblpX="1927" w:tblpY="114"/>
        <w:tblOverlap w:val="never"/>
        <w:tblW w:w="82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2065"/>
        <w:gridCol w:w="2065"/>
        <w:gridCol w:w="20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06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bookmarkStart w:id="5" w:name="OLE_LINK40"/>
            <w:r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206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</w:t>
            </w:r>
            <w:r>
              <w:rPr>
                <w:rFonts w:hint="eastAsia" w:ascii="Times New Roman" w:hAnsi="Times New Roman" w:cs="Times New Roman"/>
              </w:rPr>
              <w:t>/</w:t>
            </w:r>
            <m:oMath>
              <w:bookmarkStart w:id="6" w:name="OLE_LINK6"/>
              <m:r>
                <w:rPr>
                  <w:rFonts w:ascii="Cambria Math" w:hAnsi="Cambria Math"/>
                </w:rPr>
                <m:t>β</m:t>
              </m:r>
              <w:bookmarkEnd w:id="6"/>
            </m:oMath>
          </w:p>
        </w:tc>
        <w:tc>
          <w:tcPr>
            <w:tcW w:w="206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 CI of OR</w:t>
            </w:r>
          </w:p>
        </w:tc>
        <w:tc>
          <w:tcPr>
            <w:tcW w:w="206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065" w:type="dxa"/>
            <w:tcBorders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Obesity</w:t>
            </w:r>
          </w:p>
        </w:tc>
        <w:tc>
          <w:tcPr>
            <w:tcW w:w="2065" w:type="dxa"/>
            <w:tcBorders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  <w:tcBorders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  <w:tcBorders>
              <w:left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65" w:type="dxa"/>
            <w:tcBorders>
              <w:top w:val="nil"/>
              <w:bottom w:val="nil"/>
              <w:right w:val="nil"/>
            </w:tcBorders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Model 3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0.81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bookmarkStart w:id="7" w:name="OLE_LINK41"/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0.65</w:t>
            </w:r>
            <w:r>
              <w:rPr>
                <w:rFonts w:hint="eastAsia" w:ascii="Times New Roman" w:hAnsi="Times New Roman" w:cs="Times New Roman"/>
              </w:rPr>
              <w:t>, 1.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01</w:t>
            </w:r>
            <w:r>
              <w:rPr>
                <w:rFonts w:hint="eastAsia" w:ascii="Times New Roman" w:hAnsi="Times New Roman" w:cs="Times New Roman"/>
              </w:rPr>
              <w:t>)</w:t>
            </w:r>
            <w:bookmarkEnd w:id="7"/>
          </w:p>
        </w:tc>
        <w:tc>
          <w:tcPr>
            <w:tcW w:w="2065" w:type="dxa"/>
            <w:tcBorders>
              <w:top w:val="nil"/>
              <w:left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65" w:type="dxa"/>
            <w:tcBorders>
              <w:top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BMI z-score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065" w:type="dxa"/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Model 3</w:t>
            </w:r>
          </w:p>
        </w:tc>
        <w:tc>
          <w:tcPr>
            <w:tcW w:w="2065" w:type="dxa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-0.04</w:t>
            </w:r>
          </w:p>
        </w:tc>
        <w:tc>
          <w:tcPr>
            <w:tcW w:w="2065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(-0.1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</w:rPr>
              <w:t>, 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07</w:t>
            </w:r>
            <w:r>
              <w:rPr>
                <w:rFonts w:hint="eastAsia" w:ascii="Times New Roman" w:hAnsi="Times New Roman" w:cs="Times New Roman"/>
              </w:rPr>
              <w:t>)</w:t>
            </w:r>
          </w:p>
        </w:tc>
        <w:tc>
          <w:tcPr>
            <w:tcW w:w="2065" w:type="dxa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</w:rPr>
              <w:t>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495</w:t>
            </w:r>
          </w:p>
        </w:tc>
      </w:tr>
      <w:bookmarkEnd w:id="5"/>
    </w:tbl>
    <w:p>
      <w:pPr>
        <w:spacing w:line="480" w:lineRule="auto"/>
        <w:ind w:left="0" w:firstLine="0" w:firstLineChars="0"/>
        <w:jc w:val="left"/>
        <w:rPr>
          <w:rFonts w:hint="eastAsia" w:ascii="Times New Roman" w:hAnsi="Times New Roman" w:eastAsiaTheme="minorEastAsia" w:cstheme="minorBidi"/>
          <w:b w:val="0"/>
          <w:bCs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/>
          <w:sz w:val="24"/>
          <w:szCs w:val="24"/>
        </w:rPr>
        <w:t>CI: confidence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interval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. The weighted</w:t>
      </w:r>
      <w:r>
        <w:rPr>
          <w:rFonts w:hint="eastAsia" w:ascii="Times New Roman" w:hAnsi="Times New Roman"/>
          <w:sz w:val="24"/>
          <w:szCs w:val="24"/>
        </w:rPr>
        <w:t xml:space="preserve"> quantile sum (WQS) regression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with </w:t>
      </w:r>
      <m:oMath>
        <m:sSub>
          <w:bookmarkStart w:id="8" w:name="OLE_LINK54"/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β</m:t>
            </m:r>
            <m:ctrlPr>
              <w:rPr>
                <w:rFonts w:ascii="Cambria Math" w:hAnsi="Cambria Math" w:cs="Times New Roman"/>
                <w:i/>
                <w:sz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  <w:bookmarkEnd w:id="8"/>
            <m:ctrlPr>
              <w:rPr>
                <w:rFonts w:ascii="Cambria Math" w:hAnsi="Cambria Math" w:cs="Times New Roman"/>
                <w:i/>
                <w:sz w:val="24"/>
              </w:rPr>
            </m:ctrlPr>
          </m:sub>
        </m:sSub>
      </m:oMath>
      <w:r>
        <w:rPr>
          <w:rFonts w:hint="eastAsia" w:ascii="Cambria Math" w:hAnsi="Cambria Math" w:cs="Times New Roman"/>
          <w:i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/>
          <w:sz w:val="24"/>
          <w:szCs w:val="24"/>
          <w:lang w:val="en-US" w:eastAsia="zh-CN"/>
        </w:rPr>
        <w:t xml:space="preserve">onstrained to be negative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 xml:space="preserve">was </w:t>
      </w:r>
      <w:r>
        <w:rPr>
          <w:rFonts w:hint="eastAsia" w:ascii="Times New Roman" w:hAnsi="Times New Roman"/>
          <w:sz w:val="24"/>
          <w:szCs w:val="24"/>
        </w:rPr>
        <w:t xml:space="preserve">fitted for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obesity and BMI z-score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which scored all the chemical exposures into quantiles and estimated the weight index. OR estimates represent the odds ratios of obesity as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1</w:t>
      </w:r>
      <w:r>
        <w:rPr>
          <w:rFonts w:hint="eastAsia" w:ascii="Times New Roman" w:hAnsi="Times New Roman"/>
          <w:sz w:val="24"/>
          <w:szCs w:val="24"/>
        </w:rPr>
        <w:t xml:space="preserve"> quartile increased in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>WQS index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</w:rPr>
          <m:t>β</m:t>
        </m:r>
      </m:oMath>
      <w:r>
        <w:rPr>
          <w:rFonts w:hint="eastAsia" w:ascii="Cambria Math" w:hAnsi="Cambria Math"/>
          <w:i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 xml:space="preserve">estimates represent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 xml:space="preserve">mean differences in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 xml:space="preserve">the </w:t>
      </w:r>
      <w:r>
        <w:rPr>
          <w:rFonts w:hint="eastAsia" w:ascii="Times New Roman" w:hAnsi="Times New Roman"/>
          <w:sz w:val="24"/>
          <w:szCs w:val="24"/>
        </w:rPr>
        <w:t xml:space="preserve">BMI z-score as 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1</w:t>
      </w:r>
      <w:r>
        <w:rPr>
          <w:rFonts w:hint="eastAsia" w:ascii="Times New Roman" w:hAnsi="Times New Roman"/>
          <w:sz w:val="24"/>
          <w:szCs w:val="24"/>
        </w:rPr>
        <w:t xml:space="preserve"> quartile increased in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 xml:space="preserve"> the</w:t>
      </w:r>
      <w:r>
        <w:rPr>
          <w:rFonts w:hint="eastAsia" w:ascii="Times New Roman" w:hAnsi="Times New Roman"/>
          <w:sz w:val="24"/>
          <w:szCs w:val="24"/>
        </w:rPr>
        <w:t xml:space="preserve"> WQS index. Model 3: Adjusted for age, gender, ethnicity, educational levels, family income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-</w:t>
      </w:r>
      <w:r>
        <w:rPr>
          <w:rFonts w:hint="eastAsia" w:ascii="Times New Roman" w:hAnsi="Times New Roman"/>
          <w:sz w:val="24"/>
          <w:szCs w:val="24"/>
        </w:rPr>
        <w:t>to-poverty ratio, caloric intake, serum cotinine</w:t>
      </w:r>
      <w:r>
        <w:rPr>
          <w:rFonts w:hint="eastAsia" w:ascii="Times New Roman" w:hAnsi="Times New Roman" w:eastAsiaTheme="minorEastAsia" w:cstheme="minorBidi"/>
          <w:sz w:val="24"/>
          <w:szCs w:val="24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and l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og</w:t>
      </w:r>
      <w:r>
        <w:rPr>
          <w:rFonts w:hint="eastAsia" w:ascii="Times New Roman" w:hAnsi="Times New Roman"/>
          <w:sz w:val="24"/>
          <w:szCs w:val="24"/>
        </w:rPr>
        <w:t>-transformed creatinine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p>
      <w:pPr>
        <w:spacing w:line="480" w:lineRule="auto"/>
        <w:ind w:left="482" w:hanging="482" w:hangingChars="200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Fig.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1</w:t>
      </w:r>
    </w:p>
    <w:p>
      <w:pPr>
        <w:spacing w:line="480" w:lineRule="auto"/>
        <w:ind w:left="480" w:hanging="480" w:hanging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5067935" cy="2305685"/>
            <wp:effectExtent l="0" t="0" r="12065" b="5715"/>
            <wp:docPr id="1" name="图片 1" descr="BMIz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MIz1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230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9" w:name="OLE_LINK4"/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change of beta1</w:t>
      </w:r>
      <w:r>
        <w:rPr>
          <w:rFonts w:ascii="Times New Roman" w:hAnsi="Times New Roman" w:eastAsiaTheme="minorEastAsia" w:cstheme="minorBidi"/>
          <w:color w:val="000000" w:themeColor="text1"/>
          <w:sz w:val="24"/>
          <w:szCs w:val="24"/>
          <w:shd w:val="clear" w:color="auto" w:fill="auto"/>
          <w14:textFill>
            <w14:solidFill>
              <w14:schemeClr w14:val="tx1"/>
            </w14:solidFill>
          </w14:textFill>
        </w:rPr>
        <w:t xml:space="preserve"> parameter values as the sampler runs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in BMI z-score model.</w:t>
      </w:r>
    </w:p>
    <w:bookmarkEnd w:id="9"/>
    <w:p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Fig.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bookmarkStart w:id="10" w:name="OLE_LINK5"/>
      <w:r>
        <w:rPr>
          <w:rFonts w:ascii="Times New Roman" w:hAnsi="Times New Roman"/>
          <w:sz w:val="24"/>
          <w:szCs w:val="24"/>
        </w:rPr>
        <w:drawing>
          <wp:inline distT="0" distB="0" distL="114300" distR="114300">
            <wp:extent cx="5272405" cy="2399030"/>
            <wp:effectExtent l="0" t="0" r="10795" b="1270"/>
            <wp:docPr id="2" name="图片 2" descr="obesity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obesity1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change of beta1 parameter values as the sampler runs in obesity model.</w:t>
      </w:r>
    </w:p>
    <w:bookmarkEnd w:id="10"/>
    <w:p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Fig. 3</w:t>
      </w:r>
    </w:p>
    <w:p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drawing>
          <wp:inline distT="0" distB="0" distL="114300" distR="114300">
            <wp:extent cx="5268595" cy="2037080"/>
            <wp:effectExtent l="0" t="0" r="1905" b="7620"/>
            <wp:docPr id="3" name="图片 3" descr="figure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3_00"/>
                    <pic:cNvPicPr>
                      <a:picLocks noChangeAspect="1"/>
                    </pic:cNvPicPr>
                  </pic:nvPicPr>
                  <pic:blipFill>
                    <a:blip r:embed="rId6"/>
                    <a:srcRect t="5225" b="6743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Overall risk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(95% CI) of chemical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exposures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on obesity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(A) and BMI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z-score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(B) when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comparing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all the chemicals at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different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percentile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with their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median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level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2,5-DCP </w:t>
      </w:r>
      <w:bookmarkStart w:id="11" w:name="OLE_LINK32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and other groups (phenols group, parabens group, and </w:t>
      </w:r>
      <w:bookmarkStart w:id="12" w:name="OLE_LINK36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phthalate group)</w:t>
      </w:r>
      <w:bookmarkEnd w:id="11"/>
      <w:bookmarkEnd w:id="12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were included in obesity model. MEP and other groups (phenols group, parabens group, and </w:t>
      </w:r>
      <w:bookmarkStart w:id="13" w:name="OLE_LINK35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pesticides group</w:t>
      </w:r>
      <w:bookmarkEnd w:id="13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 were included in BMI z-score model.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Models were adjusted for age, gender, race, educational levels, family income-to poverty ratio,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aloric intake,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erum cotinine, and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log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-transformed creatinine.</w:t>
      </w:r>
    </w:p>
    <w:p>
      <w:pPr>
        <w:spacing w:line="480" w:lineRule="auto"/>
        <w:rPr>
          <w:rFonts w:ascii="Times New Roman" w:hAnsi="Times New Roman" w:cstheme="minorBidi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FreeSerif">
    <w:altName w:val="Times New Roman"/>
    <w:panose1 w:val="00000000000000000000"/>
    <w:charset w:val="01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54C98"/>
    <w:rsid w:val="00083215"/>
    <w:rsid w:val="00277923"/>
    <w:rsid w:val="004654BB"/>
    <w:rsid w:val="007479DD"/>
    <w:rsid w:val="00934055"/>
    <w:rsid w:val="00D153DB"/>
    <w:rsid w:val="00DD73BE"/>
    <w:rsid w:val="00F66327"/>
    <w:rsid w:val="00F84AC4"/>
    <w:rsid w:val="027835DA"/>
    <w:rsid w:val="044C75F0"/>
    <w:rsid w:val="04A44C89"/>
    <w:rsid w:val="0A0167C3"/>
    <w:rsid w:val="0BCD479E"/>
    <w:rsid w:val="0CEC2789"/>
    <w:rsid w:val="110047BD"/>
    <w:rsid w:val="119D47E0"/>
    <w:rsid w:val="124638A9"/>
    <w:rsid w:val="15C34891"/>
    <w:rsid w:val="19025E88"/>
    <w:rsid w:val="19063377"/>
    <w:rsid w:val="197C1552"/>
    <w:rsid w:val="1A7E249D"/>
    <w:rsid w:val="1C874929"/>
    <w:rsid w:val="1C9C7322"/>
    <w:rsid w:val="1D932BF6"/>
    <w:rsid w:val="1FD47BE1"/>
    <w:rsid w:val="213D5843"/>
    <w:rsid w:val="2344077E"/>
    <w:rsid w:val="23EE068F"/>
    <w:rsid w:val="24547BAA"/>
    <w:rsid w:val="25C963C0"/>
    <w:rsid w:val="2654172A"/>
    <w:rsid w:val="26B709D5"/>
    <w:rsid w:val="28636741"/>
    <w:rsid w:val="2A7A5C63"/>
    <w:rsid w:val="2FAB05D2"/>
    <w:rsid w:val="2FEB1D13"/>
    <w:rsid w:val="306D5EA2"/>
    <w:rsid w:val="3508411A"/>
    <w:rsid w:val="38404448"/>
    <w:rsid w:val="38EF2D5D"/>
    <w:rsid w:val="3B8F5ABF"/>
    <w:rsid w:val="3D2D4493"/>
    <w:rsid w:val="3D747574"/>
    <w:rsid w:val="3DC57A7A"/>
    <w:rsid w:val="3EE41760"/>
    <w:rsid w:val="3FE30C5D"/>
    <w:rsid w:val="41434DCF"/>
    <w:rsid w:val="43113AF5"/>
    <w:rsid w:val="45B80A8B"/>
    <w:rsid w:val="4A0D2067"/>
    <w:rsid w:val="4A362FAA"/>
    <w:rsid w:val="4A672635"/>
    <w:rsid w:val="4A9274C5"/>
    <w:rsid w:val="4C9B2872"/>
    <w:rsid w:val="4FC42308"/>
    <w:rsid w:val="50D42DBE"/>
    <w:rsid w:val="51CC3E3B"/>
    <w:rsid w:val="54BA553F"/>
    <w:rsid w:val="57940794"/>
    <w:rsid w:val="57C90B63"/>
    <w:rsid w:val="59D16C4F"/>
    <w:rsid w:val="5D8122D1"/>
    <w:rsid w:val="5FB45AA4"/>
    <w:rsid w:val="60854C98"/>
    <w:rsid w:val="66FC7BC0"/>
    <w:rsid w:val="68165E77"/>
    <w:rsid w:val="68830A66"/>
    <w:rsid w:val="693B42C2"/>
    <w:rsid w:val="6C4D03E6"/>
    <w:rsid w:val="6D723806"/>
    <w:rsid w:val="6FD522A6"/>
    <w:rsid w:val="72835E45"/>
    <w:rsid w:val="73212683"/>
    <w:rsid w:val="73230267"/>
    <w:rsid w:val="74237EE8"/>
    <w:rsid w:val="74F14F8D"/>
    <w:rsid w:val="7509258A"/>
    <w:rsid w:val="773E201E"/>
    <w:rsid w:val="77BB1060"/>
    <w:rsid w:val="7849201A"/>
    <w:rsid w:val="78777654"/>
    <w:rsid w:val="7978606D"/>
    <w:rsid w:val="7EB630BC"/>
    <w:rsid w:val="7FBF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table" w:styleId="4">
    <w:name w:val="Table Grid"/>
    <w:basedOn w:val="3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1"/>
    <w:basedOn w:val="3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laceholder Text"/>
    <w:basedOn w:val="5"/>
    <w:semiHidden/>
    <w:qFormat/>
    <w:uiPriority w:val="99"/>
    <w:rPr>
      <w:color w:val="808080"/>
    </w:rPr>
  </w:style>
  <w:style w:type="character" w:customStyle="1" w:styleId="8">
    <w:name w:val="批注框文本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1207</Words>
  <Characters>6883</Characters>
  <Lines>57</Lines>
  <Paragraphs>16</Paragraphs>
  <TotalTime>4</TotalTime>
  <ScaleCrop>false</ScaleCrop>
  <LinksUpToDate>false</LinksUpToDate>
  <CharactersWithSpaces>8074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2019-10-21T15:40:00Z</dcterms:created>
  <dc:creator>吴邦胜</dc:creator>
  <cp:lastModifiedBy>吴邦胜</cp:lastModifiedBy>
  <dcterms:modified xsi:type="dcterms:W3CDTF">2020-07-06T13:31:53Z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