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0E6C31" w14:textId="2E977FA4" w:rsidR="00A15B33" w:rsidRDefault="00A15B33" w:rsidP="00A15B33">
      <w:pPr>
        <w:spacing w:line="480" w:lineRule="auto"/>
        <w:jc w:val="both"/>
        <w:rPr>
          <w:b/>
        </w:rPr>
      </w:pPr>
      <w:r>
        <w:rPr>
          <w:b/>
        </w:rPr>
        <w:t>Supplementary Figure legends</w:t>
      </w:r>
      <w:bookmarkStart w:id="0" w:name="_GoBack"/>
      <w:bookmarkEnd w:id="0"/>
    </w:p>
    <w:p w14:paraId="0CD98CC3" w14:textId="7AC288FE" w:rsidR="00A15B33" w:rsidRDefault="00A15B33" w:rsidP="00A15B33">
      <w:pPr>
        <w:spacing w:line="480" w:lineRule="auto"/>
        <w:jc w:val="both"/>
      </w:pPr>
      <w:r w:rsidRPr="00C12D85">
        <w:rPr>
          <w:b/>
        </w:rPr>
        <w:t>Supplementary Figure S1.</w:t>
      </w:r>
      <w:r>
        <w:t xml:space="preserve"> Distribution and alteration of </w:t>
      </w:r>
      <w:r w:rsidRPr="00BE5F24">
        <w:rPr>
          <w:i/>
        </w:rPr>
        <w:t>Keap1</w:t>
      </w:r>
      <w:r>
        <w:t xml:space="preserve"> and </w:t>
      </w:r>
      <w:r w:rsidRPr="00BE5F24">
        <w:rPr>
          <w:i/>
        </w:rPr>
        <w:t>Nrf2</w:t>
      </w:r>
      <w:r>
        <w:t xml:space="preserve"> in TCGA datasets. </w:t>
      </w:r>
      <w:r>
        <w:rPr>
          <w:b/>
        </w:rPr>
        <w:t>A</w:t>
      </w:r>
      <w:r>
        <w:t xml:space="preserve"> Distribution analysis and </w:t>
      </w:r>
      <w:r w:rsidRPr="00221E9D">
        <w:rPr>
          <w:b/>
        </w:rPr>
        <w:t>B</w:t>
      </w:r>
      <w:r>
        <w:rPr>
          <w:b/>
        </w:rPr>
        <w:t>-</w:t>
      </w:r>
      <w:r w:rsidRPr="00221E9D">
        <w:rPr>
          <w:b/>
        </w:rPr>
        <w:t>C</w:t>
      </w:r>
      <w:r>
        <w:t xml:space="preserve"> Position of </w:t>
      </w:r>
      <w:r w:rsidRPr="00807D16">
        <w:rPr>
          <w:i/>
        </w:rPr>
        <w:t>Keap1</w:t>
      </w:r>
      <w:r>
        <w:t xml:space="preserve"> and </w:t>
      </w:r>
      <w:r w:rsidRPr="00807D16">
        <w:rPr>
          <w:i/>
        </w:rPr>
        <w:t>Nrf2</w:t>
      </w:r>
      <w:r>
        <w:t xml:space="preserve"> mutations in fully characterized HNSCC samples from the TCGA database.</w:t>
      </w:r>
    </w:p>
    <w:p w14:paraId="10F9D761" w14:textId="77777777" w:rsidR="00A15B33" w:rsidRDefault="00A15B33" w:rsidP="00A15B33">
      <w:pPr>
        <w:spacing w:line="480" w:lineRule="auto"/>
        <w:jc w:val="both"/>
      </w:pPr>
    </w:p>
    <w:p w14:paraId="5BC8631A" w14:textId="77777777" w:rsidR="00A15B33" w:rsidRDefault="00A15B33" w:rsidP="00A15B33">
      <w:pPr>
        <w:spacing w:line="480" w:lineRule="auto"/>
        <w:jc w:val="both"/>
      </w:pPr>
      <w:r w:rsidRPr="00F33747">
        <w:rPr>
          <w:b/>
        </w:rPr>
        <w:t>Supplementary Figure S2.</w:t>
      </w:r>
      <w:r>
        <w:t xml:space="preserve"> Kaplan-Meier disease-free survival analysis curve of </w:t>
      </w:r>
      <w:r w:rsidRPr="00807D16">
        <w:rPr>
          <w:i/>
        </w:rPr>
        <w:t>Nrf2</w:t>
      </w:r>
      <w:r>
        <w:t xml:space="preserve"> mutant, </w:t>
      </w:r>
      <w:r w:rsidRPr="00F33747">
        <w:rPr>
          <w:i/>
        </w:rPr>
        <w:t>Keap1</w:t>
      </w:r>
      <w:r>
        <w:t xml:space="preserve"> mutant, and wild-type HNSCC patients (n=24, 2-</w:t>
      </w:r>
      <w:r w:rsidRPr="00807D16">
        <w:rPr>
          <w:i/>
        </w:rPr>
        <w:t>Nrf2</w:t>
      </w:r>
      <w:r>
        <w:t xml:space="preserve"> mutant, 4-</w:t>
      </w:r>
      <w:r w:rsidRPr="00F33747">
        <w:rPr>
          <w:i/>
        </w:rPr>
        <w:t>Keap1</w:t>
      </w:r>
      <w:r>
        <w:t xml:space="preserve"> mutant, and 18 wild-type patients) (Log-rank p&lt;0.0001).</w:t>
      </w:r>
    </w:p>
    <w:p w14:paraId="318EC57F" w14:textId="77777777" w:rsidR="00A15B33" w:rsidRDefault="00A15B33" w:rsidP="00A15B33">
      <w:pPr>
        <w:spacing w:line="480" w:lineRule="auto"/>
        <w:jc w:val="both"/>
      </w:pPr>
    </w:p>
    <w:p w14:paraId="4D3B65F0" w14:textId="77777777" w:rsidR="00A15B33" w:rsidRDefault="00A15B33" w:rsidP="00A15B33">
      <w:pPr>
        <w:spacing w:line="480" w:lineRule="auto"/>
        <w:jc w:val="both"/>
      </w:pPr>
      <w:r w:rsidRPr="00BE5F24">
        <w:rPr>
          <w:b/>
        </w:rPr>
        <w:t>Supplementary Figure S</w:t>
      </w:r>
      <w:r>
        <w:rPr>
          <w:b/>
        </w:rPr>
        <w:t>3</w:t>
      </w:r>
      <w:r w:rsidRPr="00BE5F24">
        <w:rPr>
          <w:b/>
        </w:rPr>
        <w:t>.</w:t>
      </w:r>
      <w:r>
        <w:t xml:space="preserve"> Biological effects of </w:t>
      </w:r>
      <w:r w:rsidRPr="00BE5F24">
        <w:rPr>
          <w:i/>
        </w:rPr>
        <w:t>Keap1</w:t>
      </w:r>
      <w:r>
        <w:t xml:space="preserve"> mutations and </w:t>
      </w:r>
      <w:r w:rsidRPr="00BE5F24">
        <w:rPr>
          <w:i/>
        </w:rPr>
        <w:t xml:space="preserve">Nrf2 </w:t>
      </w:r>
      <w:r>
        <w:t xml:space="preserve">overexpression in HNSCC tumors and normal tissues. </w:t>
      </w:r>
      <w:r w:rsidRPr="006A1081">
        <w:rPr>
          <w:b/>
        </w:rPr>
        <w:t>A</w:t>
      </w:r>
      <w:r>
        <w:t xml:space="preserve"> Total GSH and enzyme activity analysis of SOD1, NQO1, and GST in HNSCC tumor cells and matched normal tissues. A red * indicates a tumor with </w:t>
      </w:r>
      <w:r w:rsidRPr="00807D16">
        <w:rPr>
          <w:i/>
        </w:rPr>
        <w:t>Keap1</w:t>
      </w:r>
      <w:r>
        <w:t xml:space="preserve"> mutations and a green ** star indicates a tumor with </w:t>
      </w:r>
      <w:r w:rsidRPr="00807D16">
        <w:rPr>
          <w:i/>
        </w:rPr>
        <w:t>Nrf2</w:t>
      </w:r>
      <w:r>
        <w:t xml:space="preserve"> mutations. </w:t>
      </w:r>
      <w:r>
        <w:rPr>
          <w:b/>
        </w:rPr>
        <w:t>B</w:t>
      </w:r>
      <w:r>
        <w:t xml:space="preserve"> Immunofluorescence analysis of </w:t>
      </w:r>
      <w:r w:rsidRPr="00061574">
        <w:t>endogenous</w:t>
      </w:r>
      <w:r>
        <w:t xml:space="preserve"> </w:t>
      </w:r>
      <w:r w:rsidRPr="00C12D85">
        <w:rPr>
          <w:i/>
        </w:rPr>
        <w:t>Nrf2</w:t>
      </w:r>
      <w:r>
        <w:t xml:space="preserve"> protein in SSC9 cells.  Arrow indicates the granular nuclear localization in the cells. </w:t>
      </w:r>
      <w:r w:rsidRPr="00BE5F24">
        <w:rPr>
          <w:b/>
        </w:rPr>
        <w:t>C</w:t>
      </w:r>
      <w:r>
        <w:t xml:space="preserve"> Heat map showing the relative expression of </w:t>
      </w:r>
      <w:r w:rsidRPr="00807D16">
        <w:rPr>
          <w:i/>
        </w:rPr>
        <w:t>Nrf2</w:t>
      </w:r>
      <w:r>
        <w:t xml:space="preserve">, </w:t>
      </w:r>
      <w:r w:rsidRPr="00807D16">
        <w:rPr>
          <w:i/>
        </w:rPr>
        <w:t>Keap1</w:t>
      </w:r>
      <w:r>
        <w:rPr>
          <w:i/>
        </w:rPr>
        <w:t>,</w:t>
      </w:r>
      <w:r>
        <w:t xml:space="preserve"> and </w:t>
      </w:r>
      <w:r w:rsidRPr="00807D16">
        <w:rPr>
          <w:i/>
        </w:rPr>
        <w:t>Nrf2</w:t>
      </w:r>
      <w:r>
        <w:t xml:space="preserve">-dependent genes and drug-resistance markers obtained by quantitative RT-PCR from indicated tissues and cell lines.  Color key: 1 is the lowest expression and 4 is the highest possible expression. Raw data for the heatmap generated from </w:t>
      </w:r>
      <w:proofErr w:type="spellStart"/>
      <w:r>
        <w:t>qRT</w:t>
      </w:r>
      <w:proofErr w:type="spellEnd"/>
      <w:r>
        <w:t>-PCR are presented in Supplementary Table S5.</w:t>
      </w:r>
    </w:p>
    <w:p w14:paraId="342D8355" w14:textId="77777777" w:rsidR="001738F5" w:rsidRDefault="001738F5"/>
    <w:sectPr w:rsidR="001738F5" w:rsidSect="00D11E0A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5B33"/>
    <w:rsid w:val="001738F5"/>
    <w:rsid w:val="00A15B33"/>
    <w:rsid w:val="00D11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C1F950E"/>
  <w14:defaultImageDpi w14:val="32767"/>
  <w15:chartTrackingRefBased/>
  <w15:docId w15:val="{3E7FF368-2038-374E-B649-1F28267FCC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A15B33"/>
    <w:rPr>
      <w:rFonts w:ascii="Times New Roman" w:eastAsia="Times New Roman" w:hAnsi="Times New Roman" w:cs="Times New Roman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194</Words>
  <Characters>1109</Characters>
  <Application>Microsoft Office Word</Application>
  <DocSecurity>0</DocSecurity>
  <Lines>9</Lines>
  <Paragraphs>2</Paragraphs>
  <ScaleCrop>false</ScaleCrop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Syed</dc:creator>
  <cp:keywords/>
  <dc:description/>
  <cp:lastModifiedBy>Syed</cp:lastModifiedBy>
  <cp:revision>1</cp:revision>
  <dcterms:created xsi:type="dcterms:W3CDTF">2022-07-20T04:29:00Z</dcterms:created>
  <dcterms:modified xsi:type="dcterms:W3CDTF">2022-07-20T04:32:00Z</dcterms:modified>
</cp:coreProperties>
</file>