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645BF" w14:textId="77777777" w:rsidR="003D6855" w:rsidRPr="003D6855" w:rsidRDefault="003D6855" w:rsidP="003D6855">
      <w:pPr>
        <w:jc w:val="center"/>
        <w:rPr>
          <w:b/>
          <w:bCs/>
          <w:u w:val="single"/>
          <w:lang w:val="en-US"/>
        </w:rPr>
      </w:pPr>
      <w:r w:rsidRPr="003D6855">
        <w:rPr>
          <w:b/>
          <w:bCs/>
          <w:u w:val="single"/>
          <w:lang w:val="en-US"/>
        </w:rPr>
        <w:t>Supplementary Material</w:t>
      </w:r>
    </w:p>
    <w:p w14:paraId="00D15BAA" w14:textId="77777777" w:rsidR="003D6855" w:rsidRDefault="003D6855" w:rsidP="003D6855">
      <w:pPr>
        <w:spacing w:before="120" w:after="120" w:line="360" w:lineRule="auto"/>
        <w:jc w:val="center"/>
        <w:rPr>
          <w:rFonts w:cstheme="minorHAnsi"/>
          <w:b/>
          <w:lang w:val="en-US"/>
        </w:rPr>
      </w:pPr>
    </w:p>
    <w:p w14:paraId="49573E9A" w14:textId="235EA449" w:rsidR="003D6855" w:rsidRPr="004F6A85" w:rsidRDefault="003D6855" w:rsidP="003D6855">
      <w:pPr>
        <w:spacing w:before="120" w:after="120" w:line="360" w:lineRule="auto"/>
        <w:jc w:val="center"/>
        <w:rPr>
          <w:rFonts w:cstheme="minorHAnsi"/>
          <w:b/>
          <w:lang w:val="en-US"/>
        </w:rPr>
      </w:pPr>
      <w:r w:rsidRPr="004F6A85">
        <w:rPr>
          <w:rFonts w:cstheme="minorHAnsi"/>
          <w:b/>
          <w:lang w:val="en-US"/>
        </w:rPr>
        <w:t xml:space="preserve">The CAD risk locus 9p21 increases </w:t>
      </w:r>
      <w:r w:rsidRPr="004F6A85">
        <w:rPr>
          <w:rFonts w:cstheme="minorHAnsi"/>
          <w:b/>
          <w:bCs/>
          <w:lang w:val="en-US"/>
        </w:rPr>
        <w:t xml:space="preserve">the </w:t>
      </w:r>
      <w:r w:rsidRPr="004F6A85">
        <w:rPr>
          <w:rFonts w:cstheme="minorHAnsi"/>
          <w:b/>
          <w:lang w:val="en-US"/>
        </w:rPr>
        <w:t xml:space="preserve">risk </w:t>
      </w:r>
      <w:r w:rsidRPr="004F6A85">
        <w:rPr>
          <w:rFonts w:cstheme="minorHAnsi"/>
          <w:b/>
          <w:bCs/>
          <w:lang w:val="en-US"/>
        </w:rPr>
        <w:t>of</w:t>
      </w:r>
      <w:r w:rsidRPr="004F6A85">
        <w:rPr>
          <w:rFonts w:cstheme="minorHAnsi"/>
          <w:b/>
          <w:lang w:val="en-US"/>
        </w:rPr>
        <w:t xml:space="preserve"> vascular calcification </w:t>
      </w:r>
      <w:r w:rsidRPr="004F6A85">
        <w:rPr>
          <w:rFonts w:cstheme="minorHAnsi"/>
          <w:b/>
          <w:bCs/>
          <w:lang w:val="en-US"/>
        </w:rPr>
        <w:t>in an</w:t>
      </w:r>
      <w:r w:rsidRPr="004F6A85">
        <w:rPr>
          <w:rFonts w:cstheme="minorHAnsi"/>
          <w:b/>
          <w:lang w:val="en-US"/>
        </w:rPr>
        <w:t xml:space="preserve"> iPSC-derived </w:t>
      </w:r>
      <w:r w:rsidRPr="004F6A85">
        <w:rPr>
          <w:rFonts w:cstheme="minorHAnsi"/>
          <w:b/>
          <w:bCs/>
          <w:lang w:val="en-US"/>
        </w:rPr>
        <w:t>VSMC model</w:t>
      </w:r>
    </w:p>
    <w:p w14:paraId="33096FE4" w14:textId="77777777" w:rsidR="003D6855" w:rsidRPr="004F6A85" w:rsidRDefault="003D6855" w:rsidP="003D6855">
      <w:pPr>
        <w:spacing w:before="120" w:after="120" w:line="360" w:lineRule="auto"/>
        <w:jc w:val="center"/>
        <w:rPr>
          <w:rFonts w:cstheme="minorHAnsi"/>
          <w:lang w:val="en-US"/>
        </w:rPr>
      </w:pPr>
    </w:p>
    <w:p w14:paraId="0C163E6B" w14:textId="2980F556" w:rsidR="003D6855" w:rsidRPr="004F6A85" w:rsidRDefault="003D6855" w:rsidP="003D6855">
      <w:pPr>
        <w:spacing w:before="120" w:after="120" w:line="360" w:lineRule="auto"/>
        <w:jc w:val="center"/>
        <w:rPr>
          <w:rFonts w:cstheme="minorHAnsi"/>
        </w:rPr>
      </w:pPr>
      <w:r w:rsidRPr="004F6A85">
        <w:rPr>
          <w:rFonts w:cstheme="minorHAnsi"/>
        </w:rPr>
        <w:t>Trillhaase, Anja</w:t>
      </w:r>
      <w:r w:rsidRPr="004F6A85">
        <w:rPr>
          <w:rFonts w:cstheme="minorHAnsi"/>
          <w:vertAlign w:val="superscript"/>
        </w:rPr>
        <w:t>1</w:t>
      </w:r>
      <w:r w:rsidRPr="004F6A85">
        <w:rPr>
          <w:rFonts w:cstheme="minorHAnsi"/>
        </w:rPr>
        <w:t>; Schmidt, Beatrice</w:t>
      </w:r>
      <w:r w:rsidRPr="004F6A85">
        <w:rPr>
          <w:rFonts w:cstheme="minorHAnsi"/>
          <w:vertAlign w:val="superscript"/>
        </w:rPr>
        <w:t>1</w:t>
      </w:r>
      <w:r w:rsidRPr="004F6A85">
        <w:rPr>
          <w:rFonts w:cstheme="minorHAnsi"/>
        </w:rPr>
        <w:t>; Märtens, Marlon</w:t>
      </w:r>
      <w:r w:rsidRPr="004F6A85">
        <w:rPr>
          <w:rFonts w:cstheme="minorHAnsi"/>
          <w:vertAlign w:val="superscript"/>
        </w:rPr>
        <w:t>1</w:t>
      </w:r>
      <w:r w:rsidRPr="004F6A85">
        <w:rPr>
          <w:rFonts w:cstheme="minorHAnsi"/>
        </w:rPr>
        <w:t>; Haferkamp, Undine</w:t>
      </w:r>
      <w:r w:rsidRPr="004F6A85">
        <w:rPr>
          <w:rFonts w:cstheme="minorHAnsi"/>
          <w:vertAlign w:val="superscript"/>
        </w:rPr>
        <w:t>2</w:t>
      </w:r>
      <w:r>
        <w:rPr>
          <w:rFonts w:cstheme="minorHAnsi"/>
        </w:rPr>
        <w:t>;</w:t>
      </w:r>
      <w:r w:rsidRPr="004F6A85">
        <w:rPr>
          <w:rFonts w:cstheme="minorHAnsi"/>
        </w:rPr>
        <w:t xml:space="preserve"> </w:t>
      </w:r>
    </w:p>
    <w:p w14:paraId="4C655860" w14:textId="77777777" w:rsidR="003D6855" w:rsidRPr="004F6A85" w:rsidRDefault="003D6855" w:rsidP="003D6855">
      <w:pPr>
        <w:spacing w:before="120" w:after="120" w:line="360" w:lineRule="auto"/>
        <w:jc w:val="center"/>
        <w:rPr>
          <w:rFonts w:cstheme="minorHAnsi"/>
          <w:vertAlign w:val="superscript"/>
          <w:lang w:val="en-US"/>
        </w:rPr>
      </w:pPr>
      <w:r w:rsidRPr="004F6A85">
        <w:rPr>
          <w:rFonts w:cstheme="minorHAnsi"/>
          <w:lang w:val="en-US"/>
        </w:rPr>
        <w:t>Erdmann, Jeanette</w:t>
      </w:r>
      <w:r w:rsidRPr="004F6A85">
        <w:rPr>
          <w:rFonts w:cstheme="minorHAnsi"/>
          <w:vertAlign w:val="superscript"/>
          <w:lang w:val="en-US"/>
        </w:rPr>
        <w:t>1(*)</w:t>
      </w:r>
      <w:r w:rsidRPr="004F6A85">
        <w:rPr>
          <w:rFonts w:cstheme="minorHAnsi"/>
          <w:lang w:val="en-US"/>
        </w:rPr>
        <w:t xml:space="preserve">; </w:t>
      </w:r>
      <w:proofErr w:type="spellStart"/>
      <w:r w:rsidRPr="004F6A85">
        <w:rPr>
          <w:rFonts w:cstheme="minorHAnsi"/>
          <w:lang w:val="en-US"/>
        </w:rPr>
        <w:t>Aherrahrou</w:t>
      </w:r>
      <w:proofErr w:type="spellEnd"/>
      <w:r w:rsidRPr="004F6A85">
        <w:rPr>
          <w:rFonts w:cstheme="minorHAnsi"/>
          <w:lang w:val="en-US"/>
        </w:rPr>
        <w:t>, Zouhair</w:t>
      </w:r>
      <w:r w:rsidRPr="004F6A85">
        <w:rPr>
          <w:rFonts w:cstheme="minorHAnsi"/>
          <w:vertAlign w:val="superscript"/>
          <w:lang w:val="en-US"/>
        </w:rPr>
        <w:t>1(*)</w:t>
      </w:r>
    </w:p>
    <w:p w14:paraId="66FC3BFB" w14:textId="77777777" w:rsidR="003D6855" w:rsidRPr="004F6A85" w:rsidRDefault="003D6855" w:rsidP="003D6855">
      <w:pPr>
        <w:spacing w:before="120" w:after="120" w:line="360" w:lineRule="auto"/>
        <w:jc w:val="center"/>
        <w:rPr>
          <w:rFonts w:cstheme="minorHAnsi"/>
          <w:lang w:val="en-US"/>
        </w:rPr>
      </w:pPr>
    </w:p>
    <w:p w14:paraId="7595F59B" w14:textId="77777777" w:rsidR="003D6855" w:rsidRPr="00101356" w:rsidRDefault="003D6855" w:rsidP="003D6855">
      <w:pPr>
        <w:spacing w:before="120" w:after="120" w:line="360" w:lineRule="auto"/>
        <w:rPr>
          <w:rFonts w:cstheme="minorHAnsi"/>
          <w:sz w:val="20"/>
          <w:szCs w:val="20"/>
          <w:lang w:val="en-US"/>
        </w:rPr>
      </w:pPr>
      <w:r w:rsidRPr="00101356">
        <w:rPr>
          <w:rFonts w:cstheme="minorHAnsi"/>
          <w:sz w:val="20"/>
          <w:szCs w:val="20"/>
          <w:lang w:val="en-US"/>
        </w:rPr>
        <w:t>(*) denotes equal contribution</w:t>
      </w:r>
    </w:p>
    <w:p w14:paraId="14FC2AF4" w14:textId="77777777" w:rsidR="003D6855" w:rsidRPr="00101356" w:rsidRDefault="003D6855" w:rsidP="003D6855">
      <w:pPr>
        <w:spacing w:before="120" w:after="120" w:line="360" w:lineRule="auto"/>
        <w:rPr>
          <w:rFonts w:cstheme="minorHAnsi"/>
          <w:sz w:val="20"/>
          <w:szCs w:val="20"/>
          <w:lang w:val="en-US"/>
        </w:rPr>
      </w:pPr>
      <w:r w:rsidRPr="00101356">
        <w:rPr>
          <w:rFonts w:cstheme="minorHAnsi"/>
          <w:sz w:val="20"/>
          <w:szCs w:val="20"/>
          <w:vertAlign w:val="superscript"/>
          <w:lang w:val="en-US"/>
        </w:rPr>
        <w:t>1</w:t>
      </w:r>
      <w:r w:rsidRPr="00101356">
        <w:rPr>
          <w:rFonts w:cstheme="minorHAnsi"/>
          <w:sz w:val="20"/>
          <w:szCs w:val="20"/>
          <w:lang w:val="en-US"/>
        </w:rPr>
        <w:t xml:space="preserve"> Institute for Cardiogenetics, University of </w:t>
      </w:r>
      <w:proofErr w:type="spellStart"/>
      <w:r w:rsidRPr="00101356">
        <w:rPr>
          <w:rFonts w:cstheme="minorHAnsi"/>
          <w:sz w:val="20"/>
          <w:szCs w:val="20"/>
          <w:lang w:val="en-US"/>
        </w:rPr>
        <w:t>Luebeck</w:t>
      </w:r>
      <w:proofErr w:type="spellEnd"/>
      <w:r w:rsidRPr="00101356">
        <w:rPr>
          <w:rFonts w:cstheme="minorHAnsi"/>
          <w:sz w:val="20"/>
          <w:szCs w:val="20"/>
          <w:lang w:val="en-US"/>
        </w:rPr>
        <w:t>, Germany; DZHK (German Centre for Cardiovascular Research), Partner Site Hamburg/Kiel/</w:t>
      </w:r>
      <w:proofErr w:type="spellStart"/>
      <w:r w:rsidRPr="00101356">
        <w:rPr>
          <w:rFonts w:cstheme="minorHAnsi"/>
          <w:sz w:val="20"/>
          <w:szCs w:val="20"/>
          <w:lang w:val="en-US"/>
        </w:rPr>
        <w:t>Luebeck</w:t>
      </w:r>
      <w:proofErr w:type="spellEnd"/>
      <w:r w:rsidRPr="00101356">
        <w:rPr>
          <w:rFonts w:cstheme="minorHAnsi"/>
          <w:sz w:val="20"/>
          <w:szCs w:val="20"/>
          <w:lang w:val="en-US"/>
        </w:rPr>
        <w:t xml:space="preserve">, Germany; University Heart Centre </w:t>
      </w:r>
      <w:proofErr w:type="spellStart"/>
      <w:r w:rsidRPr="00101356">
        <w:rPr>
          <w:rFonts w:cstheme="minorHAnsi"/>
          <w:sz w:val="20"/>
          <w:szCs w:val="20"/>
          <w:lang w:val="en-US"/>
        </w:rPr>
        <w:t>Luebeck</w:t>
      </w:r>
      <w:proofErr w:type="spellEnd"/>
      <w:r w:rsidRPr="00101356">
        <w:rPr>
          <w:rFonts w:cstheme="minorHAnsi"/>
          <w:sz w:val="20"/>
          <w:szCs w:val="20"/>
          <w:lang w:val="en-US"/>
        </w:rPr>
        <w:t xml:space="preserve">, 23562 </w:t>
      </w:r>
      <w:proofErr w:type="spellStart"/>
      <w:r w:rsidRPr="00101356">
        <w:rPr>
          <w:rFonts w:cstheme="minorHAnsi"/>
          <w:sz w:val="20"/>
          <w:szCs w:val="20"/>
          <w:lang w:val="en-US"/>
        </w:rPr>
        <w:t>Luebeck</w:t>
      </w:r>
      <w:proofErr w:type="spellEnd"/>
      <w:r w:rsidRPr="00101356">
        <w:rPr>
          <w:rFonts w:cstheme="minorHAnsi"/>
          <w:sz w:val="20"/>
          <w:szCs w:val="20"/>
          <w:lang w:val="en-US"/>
        </w:rPr>
        <w:t>, Germany</w:t>
      </w:r>
    </w:p>
    <w:p w14:paraId="29089EFF" w14:textId="77777777" w:rsidR="003D6855" w:rsidRPr="00101356" w:rsidRDefault="003D6855" w:rsidP="003D6855">
      <w:pPr>
        <w:spacing w:before="120" w:after="120" w:line="360" w:lineRule="auto"/>
        <w:jc w:val="both"/>
        <w:rPr>
          <w:rFonts w:cstheme="minorHAnsi"/>
          <w:sz w:val="20"/>
          <w:szCs w:val="20"/>
          <w:lang w:val="en-US"/>
        </w:rPr>
      </w:pPr>
      <w:r w:rsidRPr="00101356">
        <w:rPr>
          <w:rFonts w:cstheme="minorHAnsi"/>
          <w:sz w:val="20"/>
          <w:szCs w:val="20"/>
          <w:vertAlign w:val="superscript"/>
          <w:lang w:val="en-US"/>
        </w:rPr>
        <w:t xml:space="preserve">2 </w:t>
      </w:r>
      <w:r w:rsidRPr="00101356">
        <w:rPr>
          <w:rFonts w:cstheme="minorHAnsi"/>
          <w:sz w:val="20"/>
          <w:szCs w:val="20"/>
          <w:lang w:val="en-US"/>
        </w:rPr>
        <w:t>Fraunhofer Institute for Molecular Biology and Applied Ecology (IME), 22525 Hamburg, Germany</w:t>
      </w:r>
    </w:p>
    <w:p w14:paraId="408204B1" w14:textId="56FAC202" w:rsidR="002F3276" w:rsidRPr="003D6855" w:rsidRDefault="002F3276">
      <w:pPr>
        <w:rPr>
          <w:lang w:val="en-US"/>
        </w:rPr>
      </w:pPr>
    </w:p>
    <w:p w14:paraId="75449498" w14:textId="77777777" w:rsidR="003D6855" w:rsidRDefault="003D6855">
      <w:pPr>
        <w:rPr>
          <w:rFonts w:eastAsia="Calibri" w:cstheme="minorHAnsi"/>
          <w:b/>
          <w:bCs/>
          <w:u w:val="single"/>
          <w:lang w:val="en-US"/>
        </w:rPr>
      </w:pPr>
    </w:p>
    <w:p w14:paraId="0F02CDE6" w14:textId="77777777" w:rsidR="003D6855" w:rsidRDefault="003D6855" w:rsidP="003D6855">
      <w:p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t>Suppl. Fig. 1</w:t>
      </w:r>
      <w:r>
        <w:rPr>
          <w:rFonts w:eastAsia="Calibri" w:cstheme="minorHAnsi"/>
          <w:lang w:val="en-US"/>
        </w:rPr>
        <w:t xml:space="preserve">: </w:t>
      </w:r>
      <w:r w:rsidRPr="003D6855">
        <w:rPr>
          <w:rFonts w:eastAsia="Calibri" w:cstheme="minorHAnsi"/>
          <w:lang w:val="en-US"/>
        </w:rPr>
        <w:t xml:space="preserve">The 9p21 locus does not influence iPSC morphology or protein localization. </w:t>
      </w:r>
    </w:p>
    <w:p w14:paraId="28F98182" w14:textId="7C1C316B" w:rsidR="003D6855" w:rsidRPr="004F6A85" w:rsidRDefault="003D6855" w:rsidP="003D6855">
      <w:p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t xml:space="preserve">Suppl. Fig. </w:t>
      </w:r>
      <w:r>
        <w:rPr>
          <w:rFonts w:eastAsia="Calibri" w:cstheme="minorHAnsi"/>
          <w:lang w:val="en-US"/>
        </w:rPr>
        <w:t xml:space="preserve">2: </w:t>
      </w:r>
      <w:r w:rsidRPr="003D6855">
        <w:rPr>
          <w:rFonts w:eastAsia="Calibri" w:cstheme="minorHAnsi"/>
          <w:lang w:val="en-US"/>
        </w:rPr>
        <w:t>The 9p21 locus does not influence VSMC morphology or protein localization.</w:t>
      </w:r>
    </w:p>
    <w:p w14:paraId="06EA1DC4" w14:textId="0B736869" w:rsidR="003D6855" w:rsidRPr="004F6A85" w:rsidRDefault="003D6855" w:rsidP="003D6855">
      <w:p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t xml:space="preserve">Suppl. Fig. </w:t>
      </w:r>
      <w:r>
        <w:rPr>
          <w:rFonts w:eastAsia="Calibri" w:cstheme="minorHAnsi"/>
          <w:lang w:val="en-US"/>
        </w:rPr>
        <w:t xml:space="preserve">3: </w:t>
      </w:r>
      <w:r w:rsidRPr="003D6855">
        <w:rPr>
          <w:rFonts w:eastAsia="Calibri" w:cstheme="minorHAnsi"/>
          <w:lang w:val="en-US"/>
        </w:rPr>
        <w:t>Efficiency of Tziakas calcification cocktail over genotypes.</w:t>
      </w:r>
    </w:p>
    <w:p w14:paraId="5E848AE5" w14:textId="5C4EF8DD" w:rsidR="003D6855" w:rsidRPr="004F6A85" w:rsidRDefault="003D6855" w:rsidP="003D6855">
      <w:p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t xml:space="preserve">Suppl. Fig. </w:t>
      </w:r>
      <w:r>
        <w:rPr>
          <w:rFonts w:eastAsia="Calibri" w:cstheme="minorHAnsi"/>
          <w:lang w:val="en-US"/>
        </w:rPr>
        <w:t xml:space="preserve">4: </w:t>
      </w:r>
      <w:r w:rsidRPr="003D6855">
        <w:rPr>
          <w:rFonts w:eastAsia="Calibri" w:cstheme="minorHAnsi"/>
          <w:lang w:val="en-US"/>
        </w:rPr>
        <w:t>Calcein quantifications had increased Ca levels in R WT, and both KO genotypes.</w:t>
      </w:r>
    </w:p>
    <w:p w14:paraId="666963EA" w14:textId="77777777" w:rsidR="003D6855" w:rsidRDefault="003D6855">
      <w:pPr>
        <w:rPr>
          <w:rFonts w:eastAsia="Calibri" w:cstheme="minorHAnsi"/>
          <w:b/>
          <w:bCs/>
          <w:u w:val="single"/>
          <w:lang w:val="en-US"/>
        </w:rPr>
      </w:pPr>
    </w:p>
    <w:p w14:paraId="0B14B7B7" w14:textId="63058919" w:rsidR="003D6855" w:rsidRDefault="003D6855">
      <w:pPr>
        <w:rPr>
          <w:rFonts w:eastAsia="Calibri" w:cstheme="minorHAnsi"/>
          <w:b/>
          <w:bCs/>
          <w:u w:val="single"/>
          <w:lang w:val="en-US"/>
        </w:rPr>
      </w:pPr>
      <w:r>
        <w:rPr>
          <w:rFonts w:eastAsia="Calibri" w:cstheme="minorHAnsi"/>
          <w:b/>
          <w:bCs/>
          <w:u w:val="single"/>
          <w:lang w:val="en-US"/>
        </w:rPr>
        <w:br w:type="page"/>
      </w:r>
    </w:p>
    <w:p w14:paraId="153DB507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lastRenderedPageBreak/>
        <w:t>Suppl. Fig. 1</w:t>
      </w:r>
    </w:p>
    <w:p w14:paraId="7B567793" w14:textId="3A542734" w:rsidR="002F3276" w:rsidRPr="00B75FBD" w:rsidRDefault="00B75FBD" w:rsidP="002F3276">
      <w:pPr>
        <w:spacing w:before="120" w:after="120" w:line="480" w:lineRule="auto"/>
        <w:jc w:val="center"/>
        <w:rPr>
          <w:rFonts w:eastAsia="Calibri" w:cstheme="minorHAnsi"/>
          <w:lang w:val="en-US"/>
        </w:rPr>
      </w:pPr>
      <w:r>
        <w:rPr>
          <w:rFonts w:eastAsia="Calibri" w:cstheme="minorHAnsi"/>
          <w:noProof/>
          <w:lang w:val="en-US"/>
        </w:rPr>
        <w:drawing>
          <wp:inline distT="0" distB="0" distL="0" distR="0" wp14:anchorId="4970B62E" wp14:editId="01A3428B">
            <wp:extent cx="5760720" cy="2533015"/>
            <wp:effectExtent l="0" t="0" r="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3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63EC9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b/>
          <w:bCs/>
          <w:lang w:val="en-US"/>
        </w:rPr>
      </w:pPr>
      <w:r w:rsidRPr="004F6A85">
        <w:rPr>
          <w:rFonts w:eastAsia="Calibri" w:cstheme="minorHAnsi"/>
          <w:b/>
          <w:bCs/>
          <w:lang w:val="en-US"/>
        </w:rPr>
        <w:t xml:space="preserve">Suppl. Fig. 1: The 9p21 locus does not influence iPSC morphology or protein localization. </w:t>
      </w:r>
    </w:p>
    <w:p w14:paraId="1F136C94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t xml:space="preserve">NR (Top) and R (bottom) KO iPSCs show typical morphology. IF staining of NANOG shows localization in the nucleus. There were no differences between R and NR KO-derived iPSCs. Nuclei were counterstained with DAPI. Scale Bars = 100 µm in the </w:t>
      </w:r>
      <w:proofErr w:type="spellStart"/>
      <w:r w:rsidRPr="004F6A85">
        <w:rPr>
          <w:rFonts w:eastAsia="Calibri" w:cstheme="minorHAnsi"/>
          <w:lang w:val="en-US"/>
        </w:rPr>
        <w:t>PhC</w:t>
      </w:r>
      <w:proofErr w:type="spellEnd"/>
      <w:r w:rsidRPr="004F6A85">
        <w:rPr>
          <w:rFonts w:eastAsia="Calibri" w:cstheme="minorHAnsi"/>
          <w:lang w:val="en-US"/>
        </w:rPr>
        <w:t xml:space="preserve"> image, and 50 µm in the IF images.</w:t>
      </w:r>
    </w:p>
    <w:p w14:paraId="47392F26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lang w:val="en-US"/>
        </w:rPr>
      </w:pPr>
    </w:p>
    <w:p w14:paraId="77D2A649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t>Suppl. Fig. 2</w:t>
      </w:r>
    </w:p>
    <w:p w14:paraId="6742246C" w14:textId="788ACBC7" w:rsidR="002F3276" w:rsidRPr="004F6A85" w:rsidRDefault="00B75FBD" w:rsidP="002F3276">
      <w:pPr>
        <w:spacing w:before="120" w:after="120" w:line="480" w:lineRule="auto"/>
        <w:jc w:val="center"/>
        <w:rPr>
          <w:rFonts w:eastAsia="Calibri" w:cstheme="minorHAnsi"/>
          <w:lang w:val="en-US"/>
        </w:rPr>
      </w:pPr>
      <w:r>
        <w:rPr>
          <w:rFonts w:eastAsia="Calibri" w:cstheme="minorHAnsi"/>
          <w:noProof/>
          <w:lang w:val="en-US"/>
        </w:rPr>
        <w:drawing>
          <wp:inline distT="0" distB="0" distL="0" distR="0" wp14:anchorId="7FB88BF2" wp14:editId="0701A92C">
            <wp:extent cx="5760720" cy="2261870"/>
            <wp:effectExtent l="0" t="0" r="0" b="508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C1E45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b/>
          <w:bCs/>
          <w:lang w:val="en-US"/>
        </w:rPr>
      </w:pPr>
      <w:r w:rsidRPr="004F6A85">
        <w:rPr>
          <w:rFonts w:eastAsia="Calibri" w:cstheme="minorHAnsi"/>
          <w:b/>
          <w:bCs/>
          <w:lang w:val="en-US"/>
        </w:rPr>
        <w:t xml:space="preserve">Suppl. Fig. 2: The 9p21 locus does not influence VSMC morphology or protein localization. </w:t>
      </w:r>
    </w:p>
    <w:p w14:paraId="07A23182" w14:textId="5D315E11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lastRenderedPageBreak/>
        <w:t xml:space="preserve">NR (Top) and R (bottom) </w:t>
      </w:r>
      <w:r w:rsidR="00B75FBD">
        <w:rPr>
          <w:rFonts w:eastAsia="Calibri" w:cstheme="minorHAnsi"/>
          <w:lang w:val="en-US"/>
        </w:rPr>
        <w:t>KO</w:t>
      </w:r>
      <w:r w:rsidRPr="004F6A85">
        <w:rPr>
          <w:rFonts w:eastAsia="Calibri" w:cstheme="minorHAnsi"/>
          <w:lang w:val="en-US"/>
        </w:rPr>
        <w:t xml:space="preserve"> iPSC-derived VSMCs show colocalization of CNN1 (red) and TAGLN (green) in the contractile apparatus of the cells. There were no differences between R and NR KO VSMCs. Nuclei were counterstained with DAPI. Scale bars = 50 µm. </w:t>
      </w:r>
    </w:p>
    <w:p w14:paraId="74520630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lang w:val="en-US"/>
        </w:rPr>
      </w:pPr>
    </w:p>
    <w:p w14:paraId="09C467F6" w14:textId="77777777" w:rsidR="002F3276" w:rsidRPr="004F6A85" w:rsidRDefault="002F3276" w:rsidP="002F3276">
      <w:pPr>
        <w:spacing w:before="120" w:after="120" w:line="480" w:lineRule="auto"/>
        <w:jc w:val="both"/>
        <w:rPr>
          <w:rFonts w:cstheme="minorHAnsi"/>
          <w:lang w:val="en-US"/>
        </w:rPr>
      </w:pPr>
    </w:p>
    <w:p w14:paraId="4ED4FA0B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t>Suppl. Fig. 3</w:t>
      </w:r>
    </w:p>
    <w:p w14:paraId="5B89623E" w14:textId="706D5493" w:rsidR="002F3276" w:rsidRPr="004F6A85" w:rsidRDefault="00B75FBD" w:rsidP="002F3276">
      <w:pPr>
        <w:spacing w:before="120" w:after="120" w:line="480" w:lineRule="auto"/>
        <w:jc w:val="center"/>
        <w:rPr>
          <w:rFonts w:eastAsia="Calibri" w:cstheme="minorHAnsi"/>
          <w:lang w:val="en-US"/>
        </w:rPr>
      </w:pPr>
      <w:r>
        <w:rPr>
          <w:rFonts w:eastAsia="Calibri" w:cstheme="minorHAnsi"/>
          <w:noProof/>
          <w:lang w:val="en-US"/>
        </w:rPr>
        <w:drawing>
          <wp:inline distT="0" distB="0" distL="0" distR="0" wp14:anchorId="2D526D56" wp14:editId="053E5C9F">
            <wp:extent cx="4527804" cy="3037332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7804" cy="3037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AD418" w14:textId="77777777" w:rsidR="002F3276" w:rsidRPr="004F6A85" w:rsidRDefault="002F3276" w:rsidP="002F3276">
      <w:pPr>
        <w:spacing w:before="120" w:after="120" w:line="480" w:lineRule="auto"/>
        <w:jc w:val="both"/>
        <w:rPr>
          <w:rFonts w:cstheme="minorHAnsi"/>
          <w:b/>
          <w:bCs/>
          <w:lang w:val="en-US"/>
        </w:rPr>
      </w:pPr>
      <w:r w:rsidRPr="004F6A85">
        <w:rPr>
          <w:rFonts w:cstheme="minorHAnsi"/>
          <w:b/>
          <w:bCs/>
          <w:lang w:val="en-US"/>
        </w:rPr>
        <w:t>Suppl. Fig. 3: Efficiency of Tziakas calcification cocktail over genotypes.</w:t>
      </w:r>
    </w:p>
    <w:p w14:paraId="28F761F4" w14:textId="77777777" w:rsidR="002F3276" w:rsidRPr="004F6A85" w:rsidRDefault="002F3276" w:rsidP="002F3276">
      <w:pPr>
        <w:spacing w:before="120" w:after="120" w:line="480" w:lineRule="auto"/>
        <w:jc w:val="both"/>
        <w:rPr>
          <w:rFonts w:cstheme="minorHAnsi"/>
          <w:lang w:val="en-US"/>
        </w:rPr>
      </w:pPr>
      <w:r w:rsidRPr="004F6A85">
        <w:rPr>
          <w:rFonts w:cstheme="minorHAnsi"/>
          <w:lang w:val="en-US"/>
        </w:rPr>
        <w:t>The Tziakas cocktail showed the highest calcification efficiency (+; green) in the R KO and NR KO iPSC lines, but lower efficiency in R WT. The 18i-3-6 control iPSCs and NR WT showed positive calcifications.</w:t>
      </w:r>
    </w:p>
    <w:p w14:paraId="3575A130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lang w:val="en-US"/>
        </w:rPr>
      </w:pPr>
    </w:p>
    <w:p w14:paraId="7CB57637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t>Suppl. Fig. 4</w:t>
      </w:r>
    </w:p>
    <w:p w14:paraId="58851CA2" w14:textId="74E648AA" w:rsidR="002F3276" w:rsidRPr="004F6A85" w:rsidRDefault="00B75FBD" w:rsidP="002F3276">
      <w:pPr>
        <w:spacing w:before="120" w:after="120" w:line="480" w:lineRule="auto"/>
        <w:jc w:val="center"/>
        <w:rPr>
          <w:rFonts w:eastAsia="Calibri" w:cstheme="minorHAnsi"/>
          <w:lang w:val="en-US"/>
        </w:rPr>
      </w:pPr>
      <w:r>
        <w:rPr>
          <w:rFonts w:eastAsia="Calibri" w:cstheme="minorHAnsi"/>
          <w:noProof/>
          <w:lang w:val="en-US"/>
        </w:rPr>
        <w:lastRenderedPageBreak/>
        <w:drawing>
          <wp:inline distT="0" distB="0" distL="0" distR="0" wp14:anchorId="417E9EE3" wp14:editId="4C76A4CF">
            <wp:extent cx="5760720" cy="2928620"/>
            <wp:effectExtent l="0" t="0" r="0" b="508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8480D" w14:textId="77777777" w:rsidR="002F3276" w:rsidRPr="004F6A85" w:rsidRDefault="002F3276" w:rsidP="002F3276">
      <w:pPr>
        <w:spacing w:before="120" w:after="120" w:line="480" w:lineRule="auto"/>
        <w:jc w:val="both"/>
        <w:rPr>
          <w:rFonts w:eastAsia="Calibri" w:cstheme="minorHAnsi"/>
          <w:b/>
          <w:bCs/>
          <w:lang w:val="en-US"/>
        </w:rPr>
      </w:pPr>
      <w:r w:rsidRPr="004F6A85">
        <w:rPr>
          <w:rFonts w:eastAsia="Calibri" w:cstheme="minorHAnsi"/>
          <w:b/>
          <w:bCs/>
          <w:lang w:val="en-US"/>
        </w:rPr>
        <w:t>Suppl. Fig. 4: Calcein quantifications had increased Ca levels in R WT, and both KO genotypes.</w:t>
      </w:r>
    </w:p>
    <w:p w14:paraId="23E0BBFE" w14:textId="77777777" w:rsidR="002F3276" w:rsidRPr="004F6A85" w:rsidRDefault="002F3276" w:rsidP="002F3276">
      <w:pPr>
        <w:pStyle w:val="Listenabsatz"/>
        <w:numPr>
          <w:ilvl w:val="0"/>
          <w:numId w:val="1"/>
        </w:num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t xml:space="preserve">R WT (red)-derived calcifying VSMCs showed significantly increased Ca levels compared with NR WT (blue) -derived cells, which showed no change. </w:t>
      </w:r>
    </w:p>
    <w:p w14:paraId="7F98CB9F" w14:textId="77777777" w:rsidR="002F3276" w:rsidRPr="004F6A85" w:rsidRDefault="002F3276" w:rsidP="002F3276">
      <w:pPr>
        <w:pStyle w:val="Listenabsatz"/>
        <w:numPr>
          <w:ilvl w:val="0"/>
          <w:numId w:val="1"/>
        </w:numPr>
        <w:spacing w:before="120" w:after="120" w:line="480" w:lineRule="auto"/>
        <w:jc w:val="both"/>
        <w:rPr>
          <w:rFonts w:eastAsia="Calibri" w:cstheme="minorHAnsi"/>
          <w:lang w:val="en-US"/>
        </w:rPr>
      </w:pPr>
      <w:r w:rsidRPr="004F6A85">
        <w:rPr>
          <w:rFonts w:eastAsia="Calibri" w:cstheme="minorHAnsi"/>
          <w:lang w:val="en-US"/>
        </w:rPr>
        <w:t>R KO- (brown) and NR KO- (blue)-derived calcifying VSMCs showed significantly increased Ca levels compared with untreated VSMCs.</w:t>
      </w:r>
    </w:p>
    <w:p w14:paraId="6CF19A0B" w14:textId="77777777" w:rsidR="002F3276" w:rsidRPr="002F3276" w:rsidRDefault="002F3276">
      <w:pPr>
        <w:rPr>
          <w:lang w:val="en-US"/>
        </w:rPr>
      </w:pPr>
    </w:p>
    <w:sectPr w:rsidR="002F3276" w:rsidRPr="002F3276">
      <w:footerReference w:type="even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1445F5" w14:textId="77777777" w:rsidR="004466BC" w:rsidRDefault="004466BC" w:rsidP="003D6855">
      <w:pPr>
        <w:spacing w:after="0" w:line="240" w:lineRule="auto"/>
      </w:pPr>
      <w:r>
        <w:separator/>
      </w:r>
    </w:p>
  </w:endnote>
  <w:endnote w:type="continuationSeparator" w:id="0">
    <w:p w14:paraId="4308488F" w14:textId="77777777" w:rsidR="004466BC" w:rsidRDefault="004466BC" w:rsidP="003D68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1842731512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195C45C5" w14:textId="42666C59" w:rsidR="003D6855" w:rsidRDefault="003D6855" w:rsidP="00B27774">
        <w:pPr>
          <w:pStyle w:val="Fuzeile"/>
          <w:framePr w:wrap="none" w:vAnchor="text" w:hAnchor="margin" w:xAlign="center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433668B8" w14:textId="77777777" w:rsidR="003D6855" w:rsidRDefault="003D685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-475150638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1128C840" w14:textId="33981F64" w:rsidR="003D6855" w:rsidRDefault="003D6855" w:rsidP="00B27774">
        <w:pPr>
          <w:pStyle w:val="Fuzeile"/>
          <w:framePr w:wrap="none" w:vAnchor="text" w:hAnchor="margin" w:xAlign="center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138284AE" w14:textId="77777777" w:rsidR="003D6855" w:rsidRDefault="003D685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3288DA" w14:textId="77777777" w:rsidR="004466BC" w:rsidRDefault="004466BC" w:rsidP="003D6855">
      <w:pPr>
        <w:spacing w:after="0" w:line="240" w:lineRule="auto"/>
      </w:pPr>
      <w:r>
        <w:separator/>
      </w:r>
    </w:p>
  </w:footnote>
  <w:footnote w:type="continuationSeparator" w:id="0">
    <w:p w14:paraId="13B5579A" w14:textId="77777777" w:rsidR="004466BC" w:rsidRDefault="004466BC" w:rsidP="003D68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F76982"/>
    <w:multiLevelType w:val="hybridMultilevel"/>
    <w:tmpl w:val="36CA3078"/>
    <w:lvl w:ilvl="0" w:tplc="895AA430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276"/>
    <w:rsid w:val="000116E3"/>
    <w:rsid w:val="00062BD1"/>
    <w:rsid w:val="000C0C0B"/>
    <w:rsid w:val="002F3276"/>
    <w:rsid w:val="003D6855"/>
    <w:rsid w:val="003F6B4A"/>
    <w:rsid w:val="004466BC"/>
    <w:rsid w:val="0063513F"/>
    <w:rsid w:val="00635C05"/>
    <w:rsid w:val="00994A9A"/>
    <w:rsid w:val="00B75FBD"/>
    <w:rsid w:val="00E014A0"/>
    <w:rsid w:val="00E8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DB345"/>
  <w15:chartTrackingRefBased/>
  <w15:docId w15:val="{02DC9D97-6644-4FA7-8A1F-770FF13D4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F3276"/>
    <w:pPr>
      <w:spacing w:after="0" w:line="240" w:lineRule="auto"/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3D6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D6855"/>
  </w:style>
  <w:style w:type="character" w:styleId="Seitenzahl">
    <w:name w:val="page number"/>
    <w:basedOn w:val="Absatz-Standardschriftart"/>
    <w:uiPriority w:val="99"/>
    <w:semiHidden/>
    <w:unhideWhenUsed/>
    <w:rsid w:val="003D6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326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Trillhaase</dc:creator>
  <cp:keywords/>
  <dc:description/>
  <cp:lastModifiedBy>Anja Trillhaase</cp:lastModifiedBy>
  <cp:revision>5</cp:revision>
  <dcterms:created xsi:type="dcterms:W3CDTF">2020-12-09T10:11:00Z</dcterms:created>
  <dcterms:modified xsi:type="dcterms:W3CDTF">2020-12-22T22:22:00Z</dcterms:modified>
</cp:coreProperties>
</file>