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B4503" w14:textId="77777777" w:rsidR="009D5DD7" w:rsidRPr="00DD50A0" w:rsidRDefault="009D5DD7" w:rsidP="009D5DD7">
      <w:pPr>
        <w:spacing w:line="360" w:lineRule="auto"/>
        <w:rPr>
          <w:rFonts w:ascii="Arial" w:eastAsia="Arial" w:hAnsi="Arial" w:cs="Arial"/>
          <w:b/>
          <w:sz w:val="22"/>
          <w:szCs w:val="22"/>
          <w:lang w:val="en-US" w:eastAsia="fi-FI"/>
        </w:rPr>
      </w:pPr>
      <w:r w:rsidRPr="00DD50A0">
        <w:rPr>
          <w:rFonts w:ascii="Arial" w:eastAsia="Arial" w:hAnsi="Arial" w:cs="Arial"/>
          <w:b/>
          <w:sz w:val="22"/>
          <w:szCs w:val="22"/>
          <w:lang w:val="en-US" w:eastAsia="fi-FI"/>
        </w:rPr>
        <w:t>Supplementary information</w:t>
      </w:r>
    </w:p>
    <w:p w14:paraId="64B37156" w14:textId="77777777" w:rsidR="009D5DD7" w:rsidRPr="00DD50A0" w:rsidRDefault="009D5DD7" w:rsidP="009D5DD7">
      <w:pPr>
        <w:spacing w:line="360" w:lineRule="auto"/>
        <w:rPr>
          <w:rFonts w:ascii="Arial" w:eastAsia="Arial" w:hAnsi="Arial" w:cs="Arial"/>
          <w:b/>
          <w:sz w:val="22"/>
          <w:szCs w:val="22"/>
          <w:lang w:val="en-US" w:eastAsia="fi-FI"/>
        </w:rPr>
      </w:pPr>
    </w:p>
    <w:p w14:paraId="530FDAA4" w14:textId="77777777" w:rsidR="009D5DD7" w:rsidRPr="00DD50A0" w:rsidRDefault="009D5DD7" w:rsidP="009D5DD7">
      <w:pPr>
        <w:spacing w:line="360" w:lineRule="auto"/>
        <w:rPr>
          <w:rFonts w:ascii="Arial" w:eastAsia="Arial" w:hAnsi="Arial" w:cs="Arial"/>
          <w:b/>
          <w:sz w:val="21"/>
          <w:szCs w:val="21"/>
          <w:lang w:val="en-US" w:eastAsia="fi-FI"/>
        </w:rPr>
      </w:pPr>
      <w:r>
        <w:rPr>
          <w:rFonts w:ascii="Arial" w:eastAsia="Arial" w:hAnsi="Arial" w:cs="Arial"/>
          <w:b/>
          <w:sz w:val="21"/>
          <w:szCs w:val="21"/>
          <w:lang w:val="en-US" w:eastAsia="fi-FI"/>
        </w:rPr>
        <w:t xml:space="preserve">Supplementary Figures 1-5 and Supplementary Table 1. </w:t>
      </w:r>
    </w:p>
    <w:p w14:paraId="22439CB9" w14:textId="77777777" w:rsidR="009D5DD7" w:rsidRDefault="009D5DD7" w:rsidP="009D5DD7">
      <w:pPr>
        <w:spacing w:line="360" w:lineRule="auto"/>
        <w:rPr>
          <w:rFonts w:ascii="Arial" w:eastAsia="Arial" w:hAnsi="Arial" w:cs="Arial"/>
          <w:b/>
          <w:sz w:val="20"/>
          <w:szCs w:val="20"/>
          <w:lang w:val="en-US" w:eastAsia="fi-FI"/>
        </w:rPr>
      </w:pPr>
    </w:p>
    <w:p w14:paraId="16E02234" w14:textId="77777777" w:rsidR="009D5DD7" w:rsidRDefault="009D5DD7" w:rsidP="009D5DD7">
      <w:pPr>
        <w:spacing w:line="360" w:lineRule="auto"/>
        <w:rPr>
          <w:rFonts w:ascii="Arial" w:eastAsia="Arial" w:hAnsi="Arial" w:cs="Arial"/>
          <w:b/>
          <w:sz w:val="20"/>
          <w:szCs w:val="20"/>
          <w:lang w:val="en-US" w:eastAsia="fi-FI"/>
        </w:rPr>
      </w:pPr>
    </w:p>
    <w:p w14:paraId="2F8CD2D3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  <w:r>
        <w:rPr>
          <w:rFonts w:ascii="Arial" w:eastAsia="Arial" w:hAnsi="Arial" w:cs="Arial"/>
          <w:noProof/>
          <w:lang w:val="en-US" w:eastAsia="fi-FI"/>
        </w:rPr>
        <w:drawing>
          <wp:inline distT="0" distB="0" distL="0" distR="0" wp14:anchorId="025612C8" wp14:editId="3B1B23ED">
            <wp:extent cx="5419725" cy="4810457"/>
            <wp:effectExtent l="0" t="0" r="0" b="9525"/>
            <wp:docPr id="14" name="Picture 14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4816" cy="481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0A964" w14:textId="77777777" w:rsidR="009D5DD7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0AEF38C6" w14:textId="77777777" w:rsidR="009D5DD7" w:rsidRPr="007A0471" w:rsidRDefault="009D5DD7" w:rsidP="009D5DD7">
      <w:pPr>
        <w:spacing w:line="360" w:lineRule="auto"/>
        <w:rPr>
          <w:rFonts w:ascii="Arial" w:eastAsia="Arial" w:hAnsi="Arial" w:cs="Arial"/>
          <w:sz w:val="20"/>
          <w:szCs w:val="20"/>
          <w:lang w:val="en-US" w:eastAsia="fi-FI"/>
        </w:rPr>
      </w:pP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Supplementary </w:t>
      </w:r>
      <w:r>
        <w:rPr>
          <w:rFonts w:ascii="Arial" w:eastAsia="Arial" w:hAnsi="Arial" w:cs="Arial"/>
          <w:b/>
          <w:sz w:val="20"/>
          <w:szCs w:val="20"/>
          <w:lang w:val="en-US" w:eastAsia="fi-FI"/>
        </w:rPr>
        <w:t>F</w:t>
      </w: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igure </w:t>
      </w:r>
      <w:r>
        <w:rPr>
          <w:rFonts w:ascii="Arial" w:eastAsia="Arial" w:hAnsi="Arial" w:cs="Arial"/>
          <w:b/>
          <w:sz w:val="20"/>
          <w:szCs w:val="20"/>
          <w:lang w:val="en-US" w:eastAsia="fi-FI"/>
        </w:rPr>
        <w:t>1</w:t>
      </w: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. </w:t>
      </w:r>
      <w:r w:rsidRPr="007A0471">
        <w:rPr>
          <w:rFonts w:ascii="Arial" w:hAnsi="Arial" w:cs="Arial"/>
          <w:b/>
          <w:bCs/>
          <w:sz w:val="20"/>
          <w:szCs w:val="20"/>
          <w:lang w:val="en-US"/>
        </w:rPr>
        <w:t>Automated segmentation and 3D morphometry of paranodes and juxtaparanodes in confocal microscopy images</w:t>
      </w:r>
      <w:r w:rsidRPr="007A0471">
        <w:rPr>
          <w:rFonts w:ascii="Arial" w:hAnsi="Arial" w:cs="Arial"/>
          <w:sz w:val="20"/>
          <w:szCs w:val="20"/>
          <w:lang w:val="en-US"/>
        </w:rPr>
        <w:t xml:space="preserve">. </w:t>
      </w:r>
      <w:r w:rsidRPr="007A0471">
        <w:rPr>
          <w:rFonts w:ascii="Arial" w:hAnsi="Arial" w:cs="Arial"/>
          <w:b/>
          <w:bCs/>
          <w:sz w:val="20"/>
          <w:szCs w:val="20"/>
          <w:lang w:val="en-US"/>
        </w:rPr>
        <w:t>a</w:t>
      </w:r>
      <w:r w:rsidRPr="007A047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7A0471">
        <w:rPr>
          <w:rFonts w:ascii="Arial" w:hAnsi="Arial" w:cs="Arial"/>
          <w:sz w:val="20"/>
          <w:szCs w:val="20"/>
          <w:lang w:val="en-US"/>
        </w:rPr>
        <w:t>A</w:t>
      </w:r>
      <w:proofErr w:type="spellEnd"/>
      <w:r w:rsidRPr="007A0471">
        <w:rPr>
          <w:rFonts w:ascii="Arial" w:hAnsi="Arial" w:cs="Arial"/>
          <w:sz w:val="20"/>
          <w:szCs w:val="20"/>
          <w:lang w:val="en-US"/>
        </w:rPr>
        <w:t xml:space="preserve"> maximum projection image of paranodes (red channel) and juxtaparanodes (green channel). </w:t>
      </w:r>
      <w:r w:rsidRPr="007A0471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Pr="007A0471">
        <w:rPr>
          <w:rFonts w:ascii="Arial" w:hAnsi="Arial" w:cs="Arial"/>
          <w:sz w:val="20"/>
          <w:szCs w:val="20"/>
          <w:lang w:val="en-US"/>
        </w:rPr>
        <w:t xml:space="preserve"> A preliminary segmentation of paranodes and juxtaparanodes using the Chan-</w:t>
      </w:r>
      <w:proofErr w:type="spellStart"/>
      <w:r w:rsidRPr="007A0471">
        <w:rPr>
          <w:rFonts w:ascii="Arial" w:hAnsi="Arial" w:cs="Arial"/>
          <w:sz w:val="20"/>
          <w:szCs w:val="20"/>
          <w:lang w:val="en-US"/>
        </w:rPr>
        <w:t>Vese</w:t>
      </w:r>
      <w:proofErr w:type="spellEnd"/>
      <w:r w:rsidRPr="007A0471">
        <w:rPr>
          <w:rFonts w:ascii="Arial" w:hAnsi="Arial" w:cs="Arial"/>
          <w:sz w:val="20"/>
          <w:szCs w:val="20"/>
          <w:lang w:val="en-US"/>
        </w:rPr>
        <w:t xml:space="preserve"> active surface model. </w:t>
      </w:r>
      <w:r w:rsidRPr="007A0471">
        <w:rPr>
          <w:rFonts w:ascii="Arial" w:hAnsi="Arial" w:cs="Arial"/>
          <w:b/>
          <w:bCs/>
          <w:sz w:val="20"/>
          <w:szCs w:val="20"/>
          <w:lang w:val="en-US"/>
        </w:rPr>
        <w:t>c</w:t>
      </w:r>
      <w:r w:rsidRPr="007A0471">
        <w:rPr>
          <w:rFonts w:ascii="Arial" w:hAnsi="Arial" w:cs="Arial"/>
          <w:sz w:val="20"/>
          <w:szCs w:val="20"/>
          <w:lang w:val="en-US"/>
        </w:rPr>
        <w:t xml:space="preserve"> </w:t>
      </w:r>
      <w:proofErr w:type="gramStart"/>
      <w:r w:rsidRPr="007A0471">
        <w:rPr>
          <w:rFonts w:ascii="Arial" w:hAnsi="Arial" w:cs="Arial"/>
          <w:sz w:val="20"/>
          <w:szCs w:val="20"/>
          <w:lang w:val="en-US"/>
        </w:rPr>
        <w:t>The</w:t>
      </w:r>
      <w:proofErr w:type="gramEnd"/>
      <w:r w:rsidRPr="007A0471">
        <w:rPr>
          <w:rFonts w:ascii="Arial" w:hAnsi="Arial" w:cs="Arial"/>
          <w:sz w:val="20"/>
          <w:szCs w:val="20"/>
          <w:lang w:val="en-US"/>
        </w:rPr>
        <w:t xml:space="preserve"> slope of the longest detected line segment, which associates with the main orientation of the segmented components, was used to draw a line </w:t>
      </w:r>
      <w:r w:rsidRPr="007A0471">
        <w:rPr>
          <w:rFonts w:ascii="Arial" w:hAnsi="Arial" w:cs="Arial"/>
          <w:i/>
          <w:iCs/>
          <w:sz w:val="20"/>
          <w:szCs w:val="20"/>
          <w:lang w:val="en-US"/>
        </w:rPr>
        <w:t>l</w:t>
      </w:r>
      <w:r w:rsidRPr="007A0471">
        <w:rPr>
          <w:rFonts w:ascii="Arial" w:hAnsi="Arial" w:cs="Arial"/>
          <w:sz w:val="20"/>
          <w:szCs w:val="20"/>
          <w:lang w:val="en-US"/>
        </w:rPr>
        <w:t xml:space="preserve">* (dashed line) that expanded to the image borders. </w:t>
      </w:r>
      <w:r w:rsidRPr="007A0471">
        <w:rPr>
          <w:rFonts w:ascii="Arial" w:hAnsi="Arial" w:cs="Arial"/>
          <w:b/>
          <w:bCs/>
          <w:sz w:val="20"/>
          <w:szCs w:val="20"/>
          <w:lang w:val="en-US"/>
        </w:rPr>
        <w:t>d</w:t>
      </w:r>
      <w:r w:rsidRPr="007A0471">
        <w:rPr>
          <w:rFonts w:ascii="Arial" w:hAnsi="Arial" w:cs="Arial"/>
          <w:sz w:val="20"/>
          <w:szCs w:val="20"/>
          <w:lang w:val="en-US"/>
        </w:rPr>
        <w:t xml:space="preserve"> Projection of the segmented components on </w:t>
      </w:r>
      <w:r w:rsidRPr="007A0471">
        <w:rPr>
          <w:rFonts w:ascii="Arial" w:hAnsi="Arial" w:cs="Arial"/>
          <w:i/>
          <w:iCs/>
          <w:sz w:val="20"/>
          <w:szCs w:val="20"/>
          <w:lang w:val="en-US"/>
        </w:rPr>
        <w:t>l</w:t>
      </w:r>
      <w:r w:rsidRPr="007A0471">
        <w:rPr>
          <w:rFonts w:ascii="Arial" w:hAnsi="Arial" w:cs="Arial"/>
          <w:sz w:val="20"/>
          <w:szCs w:val="20"/>
          <w:lang w:val="en-US"/>
        </w:rPr>
        <w:t>*. Colors correspond with the segmented components in panel c.</w:t>
      </w:r>
      <w:r w:rsidRPr="007A0471">
        <w:rPr>
          <w:rFonts w:ascii="Arial" w:hAnsi="Arial" w:cs="Arial"/>
          <w:b/>
          <w:bCs/>
          <w:sz w:val="20"/>
          <w:szCs w:val="20"/>
          <w:lang w:val="en-US"/>
        </w:rPr>
        <w:t xml:space="preserve"> e</w:t>
      </w:r>
      <w:r w:rsidRPr="007A0471">
        <w:rPr>
          <w:rFonts w:ascii="Arial" w:hAnsi="Arial" w:cs="Arial"/>
          <w:sz w:val="20"/>
          <w:szCs w:val="20"/>
          <w:lang w:val="en-US"/>
        </w:rPr>
        <w:t xml:space="preserve"> Segmentation of paranodes visualized on the maximum projection image of the red channel.</w:t>
      </w:r>
      <w:r w:rsidRPr="007A0471">
        <w:rPr>
          <w:rFonts w:ascii="Arial" w:hAnsi="Arial" w:cs="Arial"/>
          <w:b/>
          <w:bCs/>
          <w:sz w:val="20"/>
          <w:szCs w:val="20"/>
          <w:lang w:val="en-US"/>
        </w:rPr>
        <w:t xml:space="preserve"> f</w:t>
      </w:r>
      <w:r w:rsidRPr="007A0471">
        <w:rPr>
          <w:rFonts w:ascii="Arial" w:hAnsi="Arial" w:cs="Arial"/>
          <w:sz w:val="20"/>
          <w:szCs w:val="20"/>
          <w:lang w:val="en-US"/>
        </w:rPr>
        <w:t xml:space="preserve"> Segmentation of juxtaparanodes visualized on the maximum projection image of the green channel. </w:t>
      </w:r>
      <w:r w:rsidRPr="007A0471">
        <w:rPr>
          <w:rFonts w:ascii="Arial" w:hAnsi="Arial" w:cs="Arial"/>
          <w:b/>
          <w:bCs/>
          <w:sz w:val="20"/>
          <w:szCs w:val="20"/>
          <w:lang w:val="en-US"/>
        </w:rPr>
        <w:t>g</w:t>
      </w:r>
      <w:r w:rsidRPr="007A0471">
        <w:rPr>
          <w:rFonts w:ascii="Arial" w:hAnsi="Arial" w:cs="Arial"/>
          <w:sz w:val="20"/>
          <w:szCs w:val="20"/>
          <w:lang w:val="en-US"/>
        </w:rPr>
        <w:t xml:space="preserve"> 3D rendering of juxtaparanodes (green, g</w:t>
      </w:r>
      <w:r w:rsidRPr="007A0471">
        <w:rPr>
          <w:rFonts w:ascii="Arial" w:hAnsi="Arial" w:cs="Arial"/>
          <w:sz w:val="20"/>
          <w:szCs w:val="20"/>
          <w:vertAlign w:val="subscript"/>
          <w:lang w:val="en-US"/>
        </w:rPr>
        <w:t>1</w:t>
      </w:r>
      <w:r w:rsidRPr="007A0471">
        <w:rPr>
          <w:rFonts w:ascii="Arial" w:hAnsi="Arial" w:cs="Arial"/>
          <w:sz w:val="20"/>
          <w:szCs w:val="20"/>
          <w:lang w:val="en-US"/>
        </w:rPr>
        <w:t>, paranodes (red, g</w:t>
      </w:r>
      <w:r w:rsidRPr="007A0471"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 w:rsidRPr="007A0471">
        <w:rPr>
          <w:rFonts w:ascii="Arial" w:hAnsi="Arial" w:cs="Arial"/>
          <w:sz w:val="20"/>
          <w:szCs w:val="20"/>
          <w:lang w:val="en-US"/>
        </w:rPr>
        <w:t>, and their intersection (yellow, g</w:t>
      </w:r>
      <w:r w:rsidRPr="007A0471">
        <w:rPr>
          <w:rFonts w:ascii="Arial" w:hAnsi="Arial" w:cs="Arial"/>
          <w:sz w:val="20"/>
          <w:szCs w:val="20"/>
          <w:vertAlign w:val="subscript"/>
          <w:lang w:val="en-US"/>
        </w:rPr>
        <w:t>3</w:t>
      </w:r>
      <w:r w:rsidRPr="007A0471">
        <w:rPr>
          <w:rFonts w:ascii="Arial" w:hAnsi="Arial" w:cs="Arial"/>
          <w:sz w:val="20"/>
          <w:szCs w:val="20"/>
          <w:lang w:val="en-US"/>
        </w:rPr>
        <w:t xml:space="preserve">). The extracted </w:t>
      </w:r>
      <w:r w:rsidRPr="007A0471">
        <w:rPr>
          <w:rFonts w:ascii="Arial" w:hAnsi="Arial" w:cs="Arial"/>
          <w:sz w:val="20"/>
          <w:szCs w:val="20"/>
          <w:lang w:val="en-US"/>
        </w:rPr>
        <w:lastRenderedPageBreak/>
        <w:t>skeletons of the paranodes and juxtaparanodes are overlaid on their corresponding rendering. NR=node of Ranvier.</w:t>
      </w:r>
    </w:p>
    <w:p w14:paraId="1661B66F" w14:textId="77777777" w:rsidR="009D5DD7" w:rsidRPr="007A0471" w:rsidRDefault="009D5DD7" w:rsidP="009D5DD7">
      <w:pPr>
        <w:spacing w:line="360" w:lineRule="auto"/>
        <w:rPr>
          <w:rFonts w:ascii="Arial" w:eastAsia="Arial" w:hAnsi="Arial" w:cs="Arial"/>
          <w:sz w:val="20"/>
          <w:szCs w:val="20"/>
          <w:lang w:val="en-US" w:eastAsia="fi-FI"/>
        </w:rPr>
      </w:pPr>
    </w:p>
    <w:p w14:paraId="3DA08423" w14:textId="77777777" w:rsidR="009D5DD7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51F9F4F3" w14:textId="77777777" w:rsidR="009D5DD7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7D36FDFE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41BAF2CF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b/>
          <w:lang w:val="en-US" w:eastAsia="fi-FI"/>
        </w:rPr>
      </w:pPr>
      <w:r>
        <w:rPr>
          <w:rFonts w:ascii="Arial" w:eastAsia="Arial" w:hAnsi="Arial" w:cs="Arial"/>
          <w:b/>
          <w:noProof/>
          <w:lang w:val="en-US" w:eastAsia="fi-FI"/>
        </w:rPr>
        <w:drawing>
          <wp:inline distT="0" distB="0" distL="0" distR="0" wp14:anchorId="1B3E1E73" wp14:editId="3922EE6E">
            <wp:extent cx="5727700" cy="2128520"/>
            <wp:effectExtent l="0" t="0" r="0" b="5080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2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1BAA7" w14:textId="77777777" w:rsidR="009D5DD7" w:rsidRPr="004B706F" w:rsidRDefault="009D5DD7" w:rsidP="009D5DD7">
      <w:pPr>
        <w:spacing w:line="360" w:lineRule="auto"/>
        <w:rPr>
          <w:rFonts w:ascii="Arial" w:eastAsia="Arial" w:hAnsi="Arial" w:cs="Arial"/>
          <w:b/>
          <w:bCs/>
          <w:sz w:val="20"/>
          <w:szCs w:val="20"/>
          <w:lang w:val="en-US" w:eastAsia="fi-FI"/>
        </w:rPr>
      </w:pPr>
      <w:r w:rsidRPr="6F76C787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 xml:space="preserve">Supplementary figure </w:t>
      </w:r>
      <w:r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2</w:t>
      </w:r>
      <w:r w:rsidRPr="6F76C787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. Grouping of mice to stress</w:t>
      </w:r>
      <w:r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-</w:t>
      </w:r>
      <w:r w:rsidRPr="6F76C787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 xml:space="preserve">susceptible and </w:t>
      </w:r>
      <w:r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-</w:t>
      </w:r>
      <w:r w:rsidRPr="6F76C787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 xml:space="preserve">resilient based on social interaction ratio. </w:t>
      </w:r>
      <w:proofErr w:type="spellStart"/>
      <w:proofErr w:type="gramStart"/>
      <w:r w:rsidRPr="6F76C787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a</w:t>
      </w:r>
      <w:proofErr w:type="spellEnd"/>
      <w:proofErr w:type="gramEnd"/>
      <w:r w:rsidRPr="6F76C787">
        <w:rPr>
          <w:rFonts w:ascii="Arial" w:eastAsia="Arial" w:hAnsi="Arial" w:cs="Arial"/>
          <w:sz w:val="20"/>
          <w:szCs w:val="20"/>
          <w:lang w:val="en-US" w:eastAsia="fi-FI"/>
        </w:rPr>
        <w:t xml:space="preserve"> Experimental timeline. </w:t>
      </w:r>
      <w:r w:rsidRPr="6F76C787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b</w:t>
      </w:r>
      <w:r w:rsidRPr="6F76C787">
        <w:rPr>
          <w:rFonts w:ascii="Arial" w:eastAsia="Arial" w:hAnsi="Arial" w:cs="Arial"/>
          <w:sz w:val="20"/>
          <w:szCs w:val="20"/>
          <w:lang w:val="en-US" w:eastAsia="fi-FI"/>
        </w:rPr>
        <w:t xml:space="preserve"> Grouping of mice into stress-resilient and -susceptible individuals, similar as in</w:t>
      </w:r>
      <w:r w:rsidRPr="6F76C787">
        <w:rPr>
          <w:rFonts w:ascii="Arial" w:eastAsia="Arial" w:hAnsi="Arial" w:cs="Arial"/>
          <w:sz w:val="20"/>
          <w:szCs w:val="20"/>
          <w:lang w:val="en-US" w:eastAsia="fi-FI"/>
        </w:rPr>
        <w:fldChar w:fldCharType="begin"/>
      </w:r>
      <w:r>
        <w:rPr>
          <w:rFonts w:ascii="Arial" w:eastAsia="Arial" w:hAnsi="Arial" w:cs="Arial"/>
          <w:sz w:val="20"/>
          <w:szCs w:val="20"/>
          <w:lang w:val="en-US" w:eastAsia="fi-FI"/>
        </w:rPr>
        <w:instrText xml:space="preserve"> ADDIN ZOTERO_ITEM CSL_CITATION {"citationID":"TlGuPCqB","properties":{"formattedCitation":"\\super 30\\nosupersub{}","plainCitation":"30","noteIndex":0},"citationItems":[{"id":918,"uris":["http://zotero.org/users/6535786/items/GR5C5AWQ"],"itemData":{"id":918,"type":"article-journal","container-title":"eneuro","DOI":"10.1523/ENEURO.0166-18.2018","ISSN":"2373-2822","issue":"4","journalAbbreviation":"eNeuro","language":"en","page":"ENEURO.0166-18.2018","source":"DOI.org (Crossref)","title":"Genetic Control of Myelin Plasticity after Chronic Psychosocial Stress","volume":"5","author":[{"family":"Laine","given":"Mikaela A."},{"family":"Trontti","given":"Kalevi"},{"family":"Misiewicz","given":"Zuzanna"},{"family":"Sokolowska","given":"Ewa"},{"family":"Kulesskaya","given":"Natalia"},{"family":"Heikkinen","given":"Aino"},{"family":"Saarnio","given":"Suvi"},{"family":"Balcells","given":"Ingrid"},{"family":"Ameslon","given":"Pierre"},{"family":"Greco","given":"Dario"},{"family":"Mattila","given":"Pirkko"},{"family":"Ellonen","given":"Pekka"},{"family":"Paulin","given":"Lars"},{"family":"Auvinen","given":"Petri"},{"family":"Jokitalo","given":"Eija"},{"family":"Hovatta","given":"Iiris"}],"issued":{"date-parts":[["2018",7]]}}}],"schema":"https://github.com/citation-style-language/schema/raw/master/csl-citation.json"} </w:instrText>
      </w:r>
      <w:r w:rsidRPr="6F76C787">
        <w:rPr>
          <w:rFonts w:ascii="Arial" w:eastAsia="Arial" w:hAnsi="Arial" w:cs="Arial"/>
          <w:sz w:val="20"/>
          <w:szCs w:val="20"/>
          <w:lang w:val="en-US" w:eastAsia="fi-FI"/>
        </w:rPr>
        <w:fldChar w:fldCharType="separate"/>
      </w:r>
      <w:r w:rsidRPr="00642EB6">
        <w:rPr>
          <w:rFonts w:ascii="Arial" w:hAnsi="Arial" w:cs="Arial"/>
          <w:sz w:val="20"/>
          <w:vertAlign w:val="superscript"/>
          <w:lang w:val="en-GB"/>
        </w:rPr>
        <w:t>30</w:t>
      </w:r>
      <w:r w:rsidRPr="6F76C787">
        <w:rPr>
          <w:rFonts w:ascii="Arial" w:eastAsia="Arial" w:hAnsi="Arial" w:cs="Arial"/>
          <w:sz w:val="20"/>
          <w:szCs w:val="20"/>
          <w:lang w:val="en-US" w:eastAsia="fi-FI"/>
        </w:rPr>
        <w:fldChar w:fldCharType="end"/>
      </w:r>
      <w:r w:rsidRPr="6F76C787">
        <w:rPr>
          <w:rFonts w:ascii="Arial" w:eastAsia="Arial" w:hAnsi="Arial" w:cs="Arial"/>
          <w:sz w:val="20"/>
          <w:szCs w:val="20"/>
          <w:lang w:val="en-US" w:eastAsia="fi-FI"/>
        </w:rPr>
        <w:t xml:space="preserve">. SA=Social approach test. </w:t>
      </w:r>
      <w:r w:rsidRPr="00F4245C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SI ratio=time spent in interaction zone when a social target present / time spent in interaction zone when no social target present. </w:t>
      </w:r>
      <w:r w:rsidRPr="6F76C787">
        <w:rPr>
          <w:rFonts w:ascii="Arial" w:eastAsia="Arial" w:hAnsi="Arial" w:cs="Arial"/>
          <w:sz w:val="20"/>
          <w:szCs w:val="20"/>
          <w:lang w:val="en-US" w:eastAsia="fi-FI"/>
        </w:rPr>
        <w:t>Error bars represent ±SEM.</w:t>
      </w:r>
    </w:p>
    <w:p w14:paraId="29626F23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404E5CB8" w14:textId="77777777" w:rsidR="009D5DD7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1947D1DE" w14:textId="77777777" w:rsidR="009D5DD7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734AEF03" w14:textId="77777777" w:rsidR="009D5DD7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1CC03D3A" w14:textId="77777777" w:rsidR="009D5DD7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15F9ACB8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2663CFBC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  <w:r>
        <w:rPr>
          <w:rFonts w:ascii="Arial" w:eastAsia="Arial" w:hAnsi="Arial" w:cs="Arial"/>
          <w:noProof/>
          <w:lang w:val="en-US" w:eastAsia="fi-FI"/>
        </w:rPr>
        <w:lastRenderedPageBreak/>
        <w:drawing>
          <wp:inline distT="0" distB="0" distL="0" distR="0" wp14:anchorId="0C21C4D6" wp14:editId="0688F52D">
            <wp:extent cx="5727700" cy="4399915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39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51E4F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5108B3AF" w14:textId="77777777" w:rsidR="009D5DD7" w:rsidRPr="007A0471" w:rsidRDefault="009D5DD7" w:rsidP="009D5DD7">
      <w:pPr>
        <w:spacing w:line="360" w:lineRule="auto"/>
        <w:rPr>
          <w:rFonts w:ascii="Arial" w:eastAsia="Arial" w:hAnsi="Arial" w:cs="Arial"/>
          <w:b/>
          <w:sz w:val="20"/>
          <w:szCs w:val="20"/>
          <w:lang w:val="en-US" w:eastAsia="fi-FI"/>
        </w:rPr>
      </w:pP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Supplementary </w:t>
      </w:r>
      <w:r>
        <w:rPr>
          <w:rFonts w:ascii="Arial" w:eastAsia="Arial" w:hAnsi="Arial" w:cs="Arial"/>
          <w:b/>
          <w:sz w:val="20"/>
          <w:szCs w:val="20"/>
          <w:lang w:val="en-US" w:eastAsia="fi-FI"/>
        </w:rPr>
        <w:t>F</w:t>
      </w: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igure </w:t>
      </w:r>
      <w:r>
        <w:rPr>
          <w:rFonts w:ascii="Arial" w:eastAsia="Arial" w:hAnsi="Arial" w:cs="Arial"/>
          <w:b/>
          <w:sz w:val="20"/>
          <w:szCs w:val="20"/>
          <w:lang w:val="en-US" w:eastAsia="fi-FI"/>
        </w:rPr>
        <w:t>3.</w:t>
      </w: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 Shorter white matter node gaps in </w:t>
      </w:r>
      <w:proofErr w:type="gramStart"/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>stress-susceptible</w:t>
      </w:r>
      <w:proofErr w:type="gramEnd"/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 D2 mice.</w:t>
      </w:r>
    </w:p>
    <w:p w14:paraId="55E22B7F" w14:textId="77777777" w:rsidR="009D5DD7" w:rsidRPr="00EC1DCA" w:rsidRDefault="009D5DD7" w:rsidP="009D5DD7">
      <w:pPr>
        <w:spacing w:line="360" w:lineRule="auto"/>
        <w:rPr>
          <w:rFonts w:ascii="Arial" w:eastAsia="Arial" w:hAnsi="Arial" w:cs="Arial"/>
          <w:color w:val="FF0000"/>
          <w:sz w:val="20"/>
          <w:szCs w:val="20"/>
          <w:lang w:val="en-US" w:eastAsia="fi-FI"/>
        </w:rPr>
      </w:pP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a </w:t>
      </w:r>
      <w:r w:rsidRPr="007A0471">
        <w:rPr>
          <w:rFonts w:ascii="Arial" w:eastAsia="Arial" w:hAnsi="Arial" w:cs="Arial"/>
          <w:bCs/>
          <w:sz w:val="20"/>
          <w:szCs w:val="20"/>
          <w:lang w:val="en-US" w:eastAsia="fi-FI"/>
        </w:rPr>
        <w:t>3D reconstruction of paranodes in the forceps minor.</w:t>
      </w: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 b</w:t>
      </w:r>
      <w:r>
        <w:rPr>
          <w:rFonts w:ascii="Arial" w:eastAsia="Arial" w:hAnsi="Arial" w:cs="Arial"/>
          <w:b/>
          <w:sz w:val="20"/>
          <w:szCs w:val="20"/>
          <w:lang w:val="en-US" w:eastAsia="fi-FI"/>
        </w:rPr>
        <w:t>-e</w:t>
      </w:r>
      <w:r w:rsidRPr="007A0471">
        <w:rPr>
          <w:rFonts w:ascii="Arial" w:eastAsia="Arial" w:hAnsi="Arial" w:cs="Arial"/>
          <w:sz w:val="20"/>
          <w:szCs w:val="20"/>
          <w:lang w:val="en-US" w:eastAsia="fi-FI"/>
        </w:rPr>
        <w:t xml:space="preserve"> Quantification of paranode length </w:t>
      </w:r>
      <w:r>
        <w:rPr>
          <w:rFonts w:ascii="Arial" w:eastAsia="Arial" w:hAnsi="Arial" w:cs="Arial"/>
          <w:sz w:val="20"/>
          <w:szCs w:val="20"/>
          <w:lang w:val="en-US" w:eastAsia="fi-FI"/>
        </w:rPr>
        <w:t>(</w:t>
      </w:r>
      <w:proofErr w:type="spellStart"/>
      <w:proofErr w:type="gramStart"/>
      <w:r w:rsidRPr="00ED7311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b,c</w:t>
      </w:r>
      <w:proofErr w:type="spellEnd"/>
      <w:proofErr w:type="gramEnd"/>
      <w:r>
        <w:rPr>
          <w:rFonts w:ascii="Arial" w:eastAsia="Arial" w:hAnsi="Arial" w:cs="Arial"/>
          <w:sz w:val="20"/>
          <w:szCs w:val="20"/>
          <w:lang w:val="en-US" w:eastAsia="fi-FI"/>
        </w:rPr>
        <w:t xml:space="preserve">) </w:t>
      </w:r>
      <w:r w:rsidRPr="007A0471">
        <w:rPr>
          <w:rFonts w:ascii="Arial" w:eastAsia="Arial" w:hAnsi="Arial" w:cs="Arial"/>
          <w:sz w:val="20"/>
          <w:szCs w:val="20"/>
          <w:lang w:val="en-US" w:eastAsia="fi-FI"/>
        </w:rPr>
        <w:t>node width</w:t>
      </w:r>
      <w:r>
        <w:rPr>
          <w:rFonts w:ascii="Arial" w:eastAsia="Arial" w:hAnsi="Arial" w:cs="Arial"/>
          <w:sz w:val="20"/>
          <w:szCs w:val="20"/>
          <w:lang w:val="en-US" w:eastAsia="fi-FI"/>
        </w:rPr>
        <w:t xml:space="preserve"> (</w:t>
      </w:r>
      <w:proofErr w:type="spellStart"/>
      <w:r w:rsidRPr="00ED7311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d,e</w:t>
      </w:r>
      <w:proofErr w:type="spellEnd"/>
      <w:r>
        <w:rPr>
          <w:rFonts w:ascii="Arial" w:eastAsia="Arial" w:hAnsi="Arial" w:cs="Arial"/>
          <w:sz w:val="20"/>
          <w:szCs w:val="20"/>
          <w:lang w:val="en-US" w:eastAsia="fi-FI"/>
        </w:rPr>
        <w:t>)</w:t>
      </w:r>
      <w:r w:rsidRPr="007A0471">
        <w:rPr>
          <w:rFonts w:ascii="Arial" w:eastAsia="Arial" w:hAnsi="Arial" w:cs="Arial"/>
          <w:sz w:val="20"/>
          <w:szCs w:val="20"/>
          <w:lang w:val="en-US" w:eastAsia="fi-FI"/>
        </w:rPr>
        <w:t xml:space="preserve"> in the white matter. (</w:t>
      </w: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>b</w:t>
      </w:r>
      <w:r w:rsidRPr="007A0471">
        <w:rPr>
          <w:rFonts w:ascii="Arial" w:eastAsia="Arial" w:hAnsi="Arial" w:cs="Arial"/>
          <w:sz w:val="20"/>
          <w:szCs w:val="20"/>
          <w:lang w:val="en-US" w:eastAsia="fi-FI"/>
        </w:rPr>
        <w:t xml:space="preserve"> B6: Con=234 nodes from 8 mice, Res=197 nodes from 6 mice, Sus=188 nodes from 5 mice; Generalized estimating equation (GEE), </w:t>
      </w:r>
      <w:r w:rsidRPr="007A0471">
        <w:rPr>
          <w:rFonts w:ascii="Arial" w:eastAsia="Arial" w:hAnsi="Arial" w:cs="Arial"/>
          <w:i/>
          <w:iCs/>
          <w:sz w:val="20"/>
          <w:szCs w:val="20"/>
          <w:lang w:val="en-US" w:eastAsia="fi-FI"/>
        </w:rPr>
        <w:t>p</w:t>
      </w:r>
      <w:r w:rsidRPr="007A0471">
        <w:rPr>
          <w:rFonts w:ascii="Arial" w:eastAsia="Arial" w:hAnsi="Arial" w:cs="Arial"/>
          <w:sz w:val="20"/>
          <w:szCs w:val="20"/>
          <w:lang w:val="en-US" w:eastAsia="fi-FI"/>
        </w:rPr>
        <w:t xml:space="preserve">=0.056. D2: Con=272 nodes from 6 mice, Res=80 nodes from 3 mice, Sus=219 nodes from 6 mice; GEE, </w:t>
      </w:r>
      <w:r w:rsidRPr="007A0471">
        <w:rPr>
          <w:rFonts w:ascii="Arial" w:eastAsia="Arial" w:hAnsi="Arial" w:cs="Arial"/>
          <w:i/>
          <w:iCs/>
          <w:sz w:val="20"/>
          <w:szCs w:val="20"/>
          <w:lang w:val="en-US" w:eastAsia="fi-FI"/>
        </w:rPr>
        <w:t>p</w:t>
      </w:r>
      <w:r w:rsidRPr="007A0471">
        <w:rPr>
          <w:rFonts w:ascii="Arial" w:eastAsia="Arial" w:hAnsi="Arial" w:cs="Arial"/>
          <w:sz w:val="20"/>
          <w:szCs w:val="20"/>
          <w:lang w:val="en-US" w:eastAsia="fi-FI"/>
        </w:rPr>
        <w:t xml:space="preserve">=0.252. </w:t>
      </w:r>
      <w:r w:rsidRPr="00EC1DCA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US" w:eastAsia="fi-FI"/>
        </w:rPr>
        <w:t>c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 Cumulative paranode length distribution. Kolmogorov-Smirnov (KS), B6: Con vs. Res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=0.088; Con vs. Sus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=0.149; Res vs. Sus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=0.767. D2: Con vs. Res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=0.634; Con vs. Sus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=0.304; Res vs. Sus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=0.339. </w:t>
      </w:r>
      <w:r w:rsidRPr="00EC1DCA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US" w:eastAsia="fi-FI"/>
        </w:rPr>
        <w:t xml:space="preserve">d 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B6: Con=122 nodes from 8 mice, Res=110 nodes from 9 mice, Sus=94 nodes from 5 mice; GEE,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=0.164. D2: Con=136 nodes from 6 mice, Res=39 nodes from 3 mice, Sus=112 nodes from 6 mice; GEE,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=0.037, pairwise comparisons: Con </w:t>
      </w:r>
      <w:r w:rsidRPr="00EC1DCA">
        <w:rPr>
          <w:rFonts w:ascii="Arial" w:eastAsia="Arial" w:hAnsi="Arial" w:cs="Arial"/>
          <w:i/>
          <w:color w:val="000000" w:themeColor="text1"/>
          <w:sz w:val="20"/>
          <w:szCs w:val="20"/>
          <w:lang w:val="en-US" w:eastAsia="fi-FI"/>
        </w:rPr>
        <w:t>vs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. Res, </w:t>
      </w:r>
      <w:r w:rsidRPr="00EC1DCA">
        <w:rPr>
          <w:rFonts w:ascii="Arial" w:eastAsia="Arial" w:hAnsi="Arial" w:cs="Arial"/>
          <w:i/>
          <w:color w:val="000000" w:themeColor="text1"/>
          <w:sz w:val="20"/>
          <w:szCs w:val="20"/>
          <w:lang w:val="en-US" w:eastAsia="fi-FI"/>
        </w:rPr>
        <w:t>p=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0.465; Con </w:t>
      </w:r>
      <w:r w:rsidRPr="00EC1DCA">
        <w:rPr>
          <w:rFonts w:ascii="Arial" w:eastAsia="Arial" w:hAnsi="Arial" w:cs="Arial"/>
          <w:i/>
          <w:color w:val="000000" w:themeColor="text1"/>
          <w:sz w:val="20"/>
          <w:szCs w:val="20"/>
          <w:lang w:val="en-US" w:eastAsia="fi-FI"/>
        </w:rPr>
        <w:t>vs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. Sus, </w:t>
      </w:r>
      <w:r w:rsidRPr="00EC1DCA">
        <w:rPr>
          <w:rFonts w:ascii="Arial" w:eastAsia="Arial" w:hAnsi="Arial" w:cs="Arial"/>
          <w:i/>
          <w:color w:val="000000" w:themeColor="text1"/>
          <w:sz w:val="20"/>
          <w:szCs w:val="20"/>
          <w:lang w:val="en-US" w:eastAsia="fi-FI"/>
        </w:rPr>
        <w:t>p=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0.336; Res </w:t>
      </w:r>
      <w:r w:rsidRPr="00EC1DCA">
        <w:rPr>
          <w:rFonts w:ascii="Arial" w:eastAsia="Arial" w:hAnsi="Arial" w:cs="Arial"/>
          <w:i/>
          <w:color w:val="000000" w:themeColor="text1"/>
          <w:sz w:val="20"/>
          <w:szCs w:val="20"/>
          <w:lang w:val="en-US" w:eastAsia="fi-FI"/>
        </w:rPr>
        <w:t>vs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>. Sus,</w:t>
      </w:r>
      <w:r w:rsidRPr="00EC1DCA">
        <w:rPr>
          <w:rFonts w:ascii="Arial" w:eastAsia="Arial" w:hAnsi="Arial" w:cs="Arial"/>
          <w:i/>
          <w:color w:val="000000" w:themeColor="text1"/>
          <w:sz w:val="20"/>
          <w:szCs w:val="20"/>
          <w:lang w:val="en-US" w:eastAsia="fi-FI"/>
        </w:rPr>
        <w:t xml:space="preserve"> 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=0.011. </w:t>
      </w:r>
      <w:r w:rsidRPr="00EC1DCA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US" w:eastAsia="fi-FI"/>
        </w:rPr>
        <w:t xml:space="preserve">e 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>Cumulative paranode length distribution. Kolmogorov-</w:t>
      </w:r>
      <w:proofErr w:type="spellStart"/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>Smirnof</w:t>
      </w:r>
      <w:proofErr w:type="spellEnd"/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 (KS), B6: Con vs. Res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=0.491; Con vs. Sus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=0.031; Res vs. Sus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=0.054. D2: Con vs. Res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=0.767; Con vs. Sus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=0.016; Res vs. Sus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>=0.196</w:t>
      </w:r>
      <w:r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>)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. Nominal </w:t>
      </w:r>
      <w:r w:rsidRPr="00EC1DCA">
        <w:rPr>
          <w:rFonts w:ascii="Arial" w:eastAsia="Arial" w:hAnsi="Arial" w:cs="Arial"/>
          <w:i/>
          <w:iCs/>
          <w:color w:val="000000" w:themeColor="text1"/>
          <w:sz w:val="20"/>
          <w:szCs w:val="20"/>
          <w:lang w:val="en-US" w:eastAsia="fi-FI"/>
        </w:rPr>
        <w:t>p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>-values surviving Bonferroni correction (</w:t>
      </w:r>
      <w:r w:rsidRPr="00EC1DCA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α = 0.0167) </w:t>
      </w:r>
      <w:r w:rsidRPr="00EC1DCA">
        <w:rPr>
          <w:rFonts w:ascii="Arial" w:eastAsia="Arial" w:hAnsi="Arial" w:cs="Arial"/>
          <w:color w:val="000000" w:themeColor="text1"/>
          <w:sz w:val="20"/>
          <w:szCs w:val="20"/>
          <w:lang w:val="en-US" w:eastAsia="fi-FI"/>
        </w:rPr>
        <w:t xml:space="preserve">are shown.   </w:t>
      </w:r>
    </w:p>
    <w:p w14:paraId="60AB88B1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2FA7DB2C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558FFDE6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  <w:r>
        <w:rPr>
          <w:rFonts w:ascii="Arial" w:eastAsia="Arial" w:hAnsi="Arial" w:cs="Arial"/>
          <w:noProof/>
          <w:lang w:val="en-US" w:eastAsia="fi-FI"/>
        </w:rPr>
        <w:lastRenderedPageBreak/>
        <w:drawing>
          <wp:inline distT="0" distB="0" distL="0" distR="0" wp14:anchorId="4F327200" wp14:editId="5D4C3BBF">
            <wp:extent cx="4818888" cy="3886200"/>
            <wp:effectExtent l="0" t="0" r="1270" b="0"/>
            <wp:docPr id="16" name="Picture 16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8888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C555F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4433D7CE" w14:textId="77777777" w:rsidR="009D5DD7" w:rsidRPr="007A0471" w:rsidRDefault="009D5DD7" w:rsidP="009D5DD7">
      <w:pPr>
        <w:spacing w:line="360" w:lineRule="auto"/>
        <w:rPr>
          <w:rFonts w:ascii="Arial" w:eastAsia="Arial" w:hAnsi="Arial" w:cs="Arial"/>
          <w:b/>
          <w:sz w:val="20"/>
          <w:szCs w:val="20"/>
          <w:lang w:val="en-US" w:eastAsia="fi-FI"/>
        </w:rPr>
      </w:pP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Supplementary </w:t>
      </w:r>
      <w:r>
        <w:rPr>
          <w:rFonts w:ascii="Arial" w:eastAsia="Arial" w:hAnsi="Arial" w:cs="Arial"/>
          <w:b/>
          <w:sz w:val="20"/>
          <w:szCs w:val="20"/>
          <w:lang w:val="en-US" w:eastAsia="fi-FI"/>
        </w:rPr>
        <w:t>F</w:t>
      </w: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igure </w:t>
      </w:r>
      <w:r>
        <w:rPr>
          <w:rFonts w:ascii="Arial" w:eastAsia="Arial" w:hAnsi="Arial" w:cs="Arial"/>
          <w:b/>
          <w:sz w:val="20"/>
          <w:szCs w:val="20"/>
          <w:lang w:val="en-US" w:eastAsia="fi-FI"/>
        </w:rPr>
        <w:t>4</w:t>
      </w: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>. No difference in the density of oligodendrocyte lineage cells 1 week after chronic social defeat stress</w:t>
      </w:r>
    </w:p>
    <w:p w14:paraId="13EADFD1" w14:textId="2C771B30" w:rsidR="009D5DD7" w:rsidRPr="007A0471" w:rsidRDefault="009D5DD7" w:rsidP="009D5DD7">
      <w:pPr>
        <w:spacing w:line="360" w:lineRule="auto"/>
        <w:rPr>
          <w:rFonts w:ascii="Arial" w:eastAsia="Arial" w:hAnsi="Arial" w:cs="Arial"/>
          <w:sz w:val="20"/>
          <w:szCs w:val="20"/>
          <w:lang w:val="en-US" w:eastAsia="fi-FI"/>
        </w:rPr>
      </w:pPr>
      <w:proofErr w:type="spellStart"/>
      <w:proofErr w:type="gramStart"/>
      <w:r w:rsidRPr="007A0471">
        <w:rPr>
          <w:rFonts w:ascii="Arial" w:eastAsia="Arial" w:hAnsi="Arial" w:cs="Arial"/>
          <w:b/>
          <w:color w:val="000000"/>
          <w:sz w:val="20"/>
          <w:szCs w:val="20"/>
          <w:lang w:val="en-US" w:eastAsia="fi-FI"/>
        </w:rPr>
        <w:t>a</w:t>
      </w:r>
      <w:proofErr w:type="spellEnd"/>
      <w:proofErr w:type="gramEnd"/>
      <w:r w:rsidRPr="007A0471">
        <w:rPr>
          <w:rFonts w:ascii="Arial" w:eastAsia="Arial" w:hAnsi="Arial" w:cs="Arial"/>
          <w:b/>
          <w:color w:val="000000"/>
          <w:sz w:val="20"/>
          <w:szCs w:val="20"/>
          <w:lang w:val="en-US" w:eastAsia="fi-FI"/>
        </w:rPr>
        <w:t xml:space="preserve"> </w:t>
      </w:r>
      <w:r w:rsidRPr="007A0471">
        <w:rPr>
          <w:rFonts w:ascii="Arial" w:eastAsia="Arial" w:hAnsi="Arial" w:cs="Arial"/>
          <w:sz w:val="20"/>
          <w:szCs w:val="20"/>
          <w:lang w:val="en-US" w:eastAsia="fi-FI"/>
        </w:rPr>
        <w:t xml:space="preserve">Oligodendrocyte precursor cells (OPCs) identified with platelet-derived growth factor receptor α (PDGFRA) and differentiated oligodendrocytes (OLGs) labeled with </w:t>
      </w:r>
      <w:proofErr w:type="spellStart"/>
      <w:r w:rsidRPr="007A0471">
        <w:rPr>
          <w:rFonts w:ascii="Arial" w:eastAsia="Arial" w:hAnsi="Arial" w:cs="Arial"/>
          <w:sz w:val="20"/>
          <w:szCs w:val="20"/>
          <w:lang w:val="en-US" w:eastAsia="fi-FI"/>
        </w:rPr>
        <w:t>adenomateous</w:t>
      </w:r>
      <w:proofErr w:type="spellEnd"/>
      <w:r w:rsidRPr="007A0471">
        <w:rPr>
          <w:rFonts w:ascii="Arial" w:eastAsia="Arial" w:hAnsi="Arial" w:cs="Arial"/>
          <w:sz w:val="20"/>
          <w:szCs w:val="20"/>
          <w:lang w:val="en-US" w:eastAsia="fi-FI"/>
        </w:rPr>
        <w:t xml:space="preserve"> polyposis coli clone 1 (CC1) antibody. These markers were co-stained with OLIG2 to restrict the analysis to OLG lineage. </w:t>
      </w:r>
      <w:proofErr w:type="spellStart"/>
      <w:proofErr w:type="gramStart"/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>b</w:t>
      </w:r>
      <w:r w:rsidR="00EA62F4">
        <w:rPr>
          <w:rFonts w:ascii="Arial" w:eastAsia="Arial" w:hAnsi="Arial" w:cs="Arial"/>
          <w:b/>
          <w:sz w:val="20"/>
          <w:szCs w:val="20"/>
          <w:lang w:val="en-US" w:eastAsia="fi-FI"/>
        </w:rPr>
        <w:t>,</w:t>
      </w:r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>c</w:t>
      </w:r>
      <w:proofErr w:type="spellEnd"/>
      <w:proofErr w:type="gramEnd"/>
      <w:r w:rsidRPr="007A0471">
        <w:rPr>
          <w:rFonts w:ascii="Arial" w:eastAsia="Arial" w:hAnsi="Arial" w:cs="Arial"/>
          <w:b/>
          <w:sz w:val="20"/>
          <w:szCs w:val="20"/>
          <w:lang w:val="en-US" w:eastAsia="fi-FI"/>
        </w:rPr>
        <w:t xml:space="preserve"> </w:t>
      </w:r>
      <w:r w:rsidRPr="007A0471">
        <w:rPr>
          <w:rFonts w:ascii="Arial" w:eastAsia="Arial" w:hAnsi="Arial" w:cs="Arial"/>
          <w:sz w:val="20"/>
          <w:szCs w:val="20"/>
          <w:lang w:val="en-US" w:eastAsia="fi-FI"/>
        </w:rPr>
        <w:t>Box plots of OLGs (</w:t>
      </w:r>
      <w:r w:rsidRPr="007A0471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b</w:t>
      </w:r>
      <w:r w:rsidRPr="007A0471">
        <w:rPr>
          <w:rFonts w:ascii="Arial" w:eastAsia="Arial" w:hAnsi="Arial" w:cs="Arial"/>
          <w:sz w:val="20"/>
          <w:szCs w:val="20"/>
          <w:lang w:val="en-US" w:eastAsia="fi-FI"/>
        </w:rPr>
        <w:t>) and OPCs (</w:t>
      </w:r>
      <w:r w:rsidRPr="007A0471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c</w:t>
      </w:r>
      <w:r w:rsidRPr="007A0471">
        <w:rPr>
          <w:rFonts w:ascii="Arial" w:eastAsia="Arial" w:hAnsi="Arial" w:cs="Arial"/>
          <w:sz w:val="20"/>
          <w:szCs w:val="20"/>
          <w:lang w:val="en-US" w:eastAsia="fi-FI"/>
        </w:rPr>
        <w:t xml:space="preserve">) in the </w:t>
      </w:r>
      <w:proofErr w:type="spellStart"/>
      <w:r w:rsidRPr="007A0471">
        <w:rPr>
          <w:rFonts w:ascii="Arial" w:eastAsia="Arial" w:hAnsi="Arial" w:cs="Arial"/>
          <w:sz w:val="20"/>
          <w:szCs w:val="20"/>
          <w:lang w:val="en-US" w:eastAsia="fi-FI"/>
        </w:rPr>
        <w:t>mPFC</w:t>
      </w:r>
      <w:proofErr w:type="spellEnd"/>
      <w:r w:rsidRPr="007A0471">
        <w:rPr>
          <w:rFonts w:ascii="Arial" w:eastAsia="Arial" w:hAnsi="Arial" w:cs="Arial"/>
          <w:sz w:val="20"/>
          <w:szCs w:val="20"/>
          <w:lang w:val="en-US" w:eastAsia="fi-FI"/>
        </w:rPr>
        <w:t xml:space="preserve">. Each data point represents one animal’s average number of cells across 3-14 images. </w:t>
      </w:r>
    </w:p>
    <w:p w14:paraId="34991092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6F1D7AFE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590446D3" w14:textId="77777777" w:rsidR="009D5DD7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  <w:r>
        <w:rPr>
          <w:rFonts w:ascii="Arial" w:eastAsia="Arial" w:hAnsi="Arial" w:cs="Arial"/>
          <w:noProof/>
          <w:lang w:val="en-US" w:eastAsia="fi-FI"/>
        </w:rPr>
        <w:lastRenderedPageBreak/>
        <w:drawing>
          <wp:inline distT="0" distB="0" distL="0" distR="0" wp14:anchorId="509CEEBE" wp14:editId="2F7FDF7E">
            <wp:extent cx="5727700" cy="3364230"/>
            <wp:effectExtent l="0" t="0" r="0" b="1270"/>
            <wp:docPr id="5" name="Picture 5" descr="A picture containing text, receipt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receipt, screensho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36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E03DE" w14:textId="77777777" w:rsidR="009D5DD7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5E870EBF" w14:textId="77777777" w:rsidR="009D5DD7" w:rsidRPr="00DD50A0" w:rsidRDefault="009D5DD7" w:rsidP="009D5DD7">
      <w:pPr>
        <w:spacing w:line="360" w:lineRule="auto"/>
        <w:rPr>
          <w:rFonts w:ascii="Arial" w:eastAsia="Arial" w:hAnsi="Arial" w:cs="Arial"/>
          <w:sz w:val="20"/>
          <w:szCs w:val="20"/>
          <w:lang w:val="en-US" w:eastAsia="fi-FI"/>
        </w:rPr>
      </w:pPr>
      <w:r w:rsidRPr="00DD50A0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 xml:space="preserve">Supplementary Figure </w:t>
      </w:r>
      <w:r w:rsidRPr="00022A28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5</w:t>
      </w:r>
      <w:r w:rsidRPr="00DD50A0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 xml:space="preserve">. Behavior in the EZM and EPM tests after an acute and chronic manipulation of </w:t>
      </w:r>
      <w:proofErr w:type="spellStart"/>
      <w:r w:rsidRPr="00DD50A0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vHPC</w:t>
      </w:r>
      <w:proofErr w:type="spellEnd"/>
      <w:r w:rsidRPr="00DD50A0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-to-</w:t>
      </w:r>
      <w:proofErr w:type="spellStart"/>
      <w:r w:rsidRPr="00DD50A0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mPFC</w:t>
      </w:r>
      <w:proofErr w:type="spellEnd"/>
      <w:r w:rsidRPr="00DD50A0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 xml:space="preserve"> projection.</w:t>
      </w:r>
    </w:p>
    <w:p w14:paraId="7E4DB0F1" w14:textId="133EEB3F" w:rsidR="009D5DD7" w:rsidRPr="00DD50A0" w:rsidRDefault="009D5DD7" w:rsidP="009D5DD7">
      <w:pPr>
        <w:spacing w:line="360" w:lineRule="auto"/>
        <w:rPr>
          <w:rFonts w:ascii="Arial" w:eastAsia="Arial" w:hAnsi="Arial" w:cs="Arial"/>
          <w:sz w:val="20"/>
          <w:szCs w:val="20"/>
          <w:lang w:val="en-US" w:eastAsia="fi-FI"/>
        </w:rPr>
      </w:pPr>
      <w:r w:rsidRPr="000765C5">
        <w:rPr>
          <w:rFonts w:ascii="Arial" w:eastAsia="Arial" w:hAnsi="Arial" w:cs="Arial"/>
          <w:b/>
          <w:bCs/>
          <w:sz w:val="20"/>
          <w:szCs w:val="20"/>
          <w:lang w:val="en-GB" w:eastAsia="fi-FI"/>
        </w:rPr>
        <w:t xml:space="preserve">a </w:t>
      </w:r>
      <w:r w:rsidRPr="000765C5">
        <w:rPr>
          <w:rFonts w:ascii="Arial" w:eastAsia="Arial" w:hAnsi="Arial" w:cs="Arial"/>
          <w:sz w:val="20"/>
          <w:szCs w:val="20"/>
          <w:lang w:val="en-GB" w:eastAsia="fi-FI"/>
        </w:rPr>
        <w:t xml:space="preserve">No differences in locomotor activity after an acute CNO injection in the elevated zero maze (EZM) test (two-sided student’s t-test). </w:t>
      </w:r>
      <w:r w:rsidRPr="000765C5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b-</w:t>
      </w:r>
      <w:r w:rsidR="00EA62F4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e</w:t>
      </w:r>
      <w:r w:rsidRPr="000765C5">
        <w:rPr>
          <w:rFonts w:ascii="Arial" w:eastAsia="Arial" w:hAnsi="Arial" w:cs="Arial"/>
          <w:sz w:val="20"/>
          <w:szCs w:val="20"/>
          <w:lang w:val="en-US" w:eastAsia="fi-FI"/>
        </w:rPr>
        <w:t xml:space="preserve"> </w:t>
      </w:r>
      <w:r>
        <w:rPr>
          <w:rFonts w:ascii="Arial" w:eastAsia="Arial" w:hAnsi="Arial" w:cs="Arial"/>
          <w:sz w:val="20"/>
          <w:szCs w:val="20"/>
          <w:lang w:val="en-US" w:eastAsia="fi-FI"/>
        </w:rPr>
        <w:t>Comparison of t</w:t>
      </w:r>
      <w:r w:rsidRPr="000765C5">
        <w:rPr>
          <w:rFonts w:ascii="Arial" w:eastAsia="Arial" w:hAnsi="Arial" w:cs="Arial"/>
          <w:sz w:val="20"/>
          <w:szCs w:val="20"/>
          <w:lang w:val="en-US" w:eastAsia="fi-FI"/>
        </w:rPr>
        <w:t>ime spent in the open</w:t>
      </w:r>
      <w:r w:rsidR="00EA62F4">
        <w:rPr>
          <w:rFonts w:ascii="Arial" w:eastAsia="Arial" w:hAnsi="Arial" w:cs="Arial"/>
          <w:sz w:val="20"/>
          <w:szCs w:val="20"/>
          <w:lang w:val="en-US" w:eastAsia="fi-FI"/>
        </w:rPr>
        <w:t xml:space="preserve"> (</w:t>
      </w:r>
      <w:r w:rsidR="00EA62F4" w:rsidRPr="00EA62F4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b</w:t>
      </w:r>
      <w:r w:rsidR="00EA62F4">
        <w:rPr>
          <w:rFonts w:ascii="Arial" w:eastAsia="Arial" w:hAnsi="Arial" w:cs="Arial"/>
          <w:sz w:val="20"/>
          <w:szCs w:val="20"/>
          <w:lang w:val="en-US" w:eastAsia="fi-FI"/>
        </w:rPr>
        <w:t>)</w:t>
      </w:r>
      <w:r w:rsidRPr="000765C5">
        <w:rPr>
          <w:rFonts w:ascii="Arial" w:eastAsia="Arial" w:hAnsi="Arial" w:cs="Arial"/>
          <w:sz w:val="20"/>
          <w:szCs w:val="20"/>
          <w:lang w:val="en-US" w:eastAsia="fi-FI"/>
        </w:rPr>
        <w:t>, closed</w:t>
      </w:r>
      <w:r w:rsidR="00EA62F4">
        <w:rPr>
          <w:rFonts w:ascii="Arial" w:eastAsia="Arial" w:hAnsi="Arial" w:cs="Arial"/>
          <w:sz w:val="20"/>
          <w:szCs w:val="20"/>
          <w:lang w:val="en-US" w:eastAsia="fi-FI"/>
        </w:rPr>
        <w:t xml:space="preserve"> (</w:t>
      </w:r>
      <w:r w:rsidR="00EA62F4" w:rsidRPr="00EA62F4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c</w:t>
      </w:r>
      <w:r w:rsidR="00EA62F4">
        <w:rPr>
          <w:rFonts w:ascii="Arial" w:eastAsia="Arial" w:hAnsi="Arial" w:cs="Arial"/>
          <w:sz w:val="20"/>
          <w:szCs w:val="20"/>
          <w:lang w:val="en-US" w:eastAsia="fi-FI"/>
        </w:rPr>
        <w:t xml:space="preserve">), </w:t>
      </w:r>
      <w:r w:rsidRPr="000765C5">
        <w:rPr>
          <w:rFonts w:ascii="Arial" w:eastAsia="Arial" w:hAnsi="Arial" w:cs="Arial"/>
          <w:sz w:val="20"/>
          <w:szCs w:val="20"/>
          <w:lang w:val="en-US" w:eastAsia="fi-FI"/>
        </w:rPr>
        <w:t>risk assessment</w:t>
      </w:r>
      <w:r w:rsidR="00EA62F4">
        <w:rPr>
          <w:rFonts w:ascii="Arial" w:eastAsia="Arial" w:hAnsi="Arial" w:cs="Arial"/>
          <w:sz w:val="20"/>
          <w:szCs w:val="20"/>
          <w:lang w:val="en-US" w:eastAsia="fi-FI"/>
        </w:rPr>
        <w:t xml:space="preserve"> (</w:t>
      </w:r>
      <w:r w:rsidR="00EA62F4" w:rsidRPr="00EA62F4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d</w:t>
      </w:r>
      <w:r w:rsidR="00EA62F4">
        <w:rPr>
          <w:rFonts w:ascii="Arial" w:eastAsia="Arial" w:hAnsi="Arial" w:cs="Arial"/>
          <w:sz w:val="20"/>
          <w:szCs w:val="20"/>
          <w:lang w:val="en-US" w:eastAsia="fi-FI"/>
        </w:rPr>
        <w:t>)</w:t>
      </w:r>
      <w:r w:rsidRPr="000765C5">
        <w:rPr>
          <w:rFonts w:ascii="Arial" w:eastAsia="Arial" w:hAnsi="Arial" w:cs="Arial"/>
          <w:sz w:val="20"/>
          <w:szCs w:val="20"/>
          <w:lang w:val="en-US" w:eastAsia="fi-FI"/>
        </w:rPr>
        <w:t xml:space="preserve"> zones </w:t>
      </w:r>
      <w:r w:rsidR="00EA62F4">
        <w:rPr>
          <w:rFonts w:ascii="Arial" w:eastAsia="Arial" w:hAnsi="Arial" w:cs="Arial"/>
          <w:sz w:val="20"/>
          <w:szCs w:val="20"/>
          <w:lang w:val="en-US" w:eastAsia="fi-FI"/>
        </w:rPr>
        <w:t>and distance travelled (</w:t>
      </w:r>
      <w:r w:rsidR="00EA62F4" w:rsidRPr="00EA62F4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>e</w:t>
      </w:r>
      <w:r w:rsidR="00EA62F4">
        <w:rPr>
          <w:rFonts w:ascii="Arial" w:eastAsia="Arial" w:hAnsi="Arial" w:cs="Arial"/>
          <w:sz w:val="20"/>
          <w:szCs w:val="20"/>
          <w:lang w:val="en-US" w:eastAsia="fi-FI"/>
        </w:rPr>
        <w:t xml:space="preserve">) </w:t>
      </w:r>
      <w:r w:rsidRPr="000765C5">
        <w:rPr>
          <w:rFonts w:ascii="Arial" w:eastAsia="Arial" w:hAnsi="Arial" w:cs="Arial"/>
          <w:sz w:val="20"/>
          <w:szCs w:val="20"/>
          <w:lang w:val="en-US" w:eastAsia="fi-FI"/>
        </w:rPr>
        <w:t xml:space="preserve">in the EZM tests </w:t>
      </w:r>
      <w:r>
        <w:rPr>
          <w:rFonts w:ascii="Arial" w:eastAsia="Arial" w:hAnsi="Arial" w:cs="Arial"/>
          <w:sz w:val="20"/>
          <w:szCs w:val="20"/>
          <w:lang w:val="en-US" w:eastAsia="fi-FI"/>
        </w:rPr>
        <w:t>after an acute</w:t>
      </w:r>
      <w:r w:rsidR="0079646F">
        <w:rPr>
          <w:rFonts w:ascii="Arial" w:eastAsia="Arial" w:hAnsi="Arial" w:cs="Arial"/>
          <w:sz w:val="20"/>
          <w:szCs w:val="20"/>
          <w:lang w:val="en-US" w:eastAsia="fi-FI"/>
        </w:rPr>
        <w:t xml:space="preserve"> (EZM1)</w:t>
      </w:r>
      <w:r>
        <w:rPr>
          <w:rFonts w:ascii="Arial" w:eastAsia="Arial" w:hAnsi="Arial" w:cs="Arial"/>
          <w:sz w:val="20"/>
          <w:szCs w:val="20"/>
          <w:lang w:val="en-US" w:eastAsia="fi-FI"/>
        </w:rPr>
        <w:t xml:space="preserve"> and chronic</w:t>
      </w:r>
      <w:r w:rsidR="0079646F">
        <w:rPr>
          <w:rFonts w:ascii="Arial" w:eastAsia="Arial" w:hAnsi="Arial" w:cs="Arial"/>
          <w:sz w:val="20"/>
          <w:szCs w:val="20"/>
          <w:lang w:val="en-US" w:eastAsia="fi-FI"/>
        </w:rPr>
        <w:t xml:space="preserve"> (EZM2)</w:t>
      </w:r>
      <w:r>
        <w:rPr>
          <w:rFonts w:ascii="Arial" w:eastAsia="Arial" w:hAnsi="Arial" w:cs="Arial"/>
          <w:sz w:val="20"/>
          <w:szCs w:val="20"/>
          <w:lang w:val="en-US" w:eastAsia="fi-FI"/>
        </w:rPr>
        <w:t xml:space="preserve"> </w:t>
      </w:r>
      <w:r w:rsidRPr="000765C5">
        <w:rPr>
          <w:rFonts w:ascii="Arial" w:eastAsia="Arial" w:hAnsi="Arial" w:cs="Arial"/>
          <w:sz w:val="20"/>
          <w:szCs w:val="20"/>
          <w:lang w:val="en-US" w:eastAsia="fi-FI"/>
        </w:rPr>
        <w:t xml:space="preserve">CNO administration (Two-way repeated ANOVA). </w:t>
      </w:r>
      <w:r w:rsidRPr="000765C5">
        <w:rPr>
          <w:rFonts w:ascii="Arial" w:eastAsia="Arial" w:hAnsi="Arial" w:cs="Arial"/>
          <w:b/>
          <w:bCs/>
          <w:sz w:val="20"/>
          <w:szCs w:val="20"/>
          <w:lang w:val="en-US" w:eastAsia="fi-FI"/>
        </w:rPr>
        <w:t xml:space="preserve">f </w:t>
      </w:r>
      <w:r w:rsidRPr="000765C5">
        <w:rPr>
          <w:rFonts w:ascii="Arial" w:eastAsia="Arial" w:hAnsi="Arial" w:cs="Arial"/>
          <w:sz w:val="20"/>
          <w:szCs w:val="20"/>
          <w:lang w:val="en-GB" w:eastAsia="fi-FI"/>
        </w:rPr>
        <w:t xml:space="preserve">No differences in locomotor activity after chronic CNO injections in the elevated plus maze (EPM) test (two-sided student’s t-test). </w:t>
      </w:r>
      <w:r w:rsidRPr="000765C5">
        <w:rPr>
          <w:rFonts w:ascii="Arial" w:eastAsia="Arial" w:hAnsi="Arial" w:cs="Arial"/>
          <w:sz w:val="20"/>
          <w:szCs w:val="20"/>
          <w:lang w:val="en-US" w:eastAsia="fi-FI"/>
        </w:rPr>
        <w:t>Control n=11; hM3Dq n=13. Error bars represent ±SEM.  </w:t>
      </w:r>
    </w:p>
    <w:p w14:paraId="0589FB8D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1983F637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768952FA" w14:textId="77777777" w:rsidR="009D5DD7" w:rsidRPr="00DD0029" w:rsidRDefault="009D5DD7" w:rsidP="009D5DD7">
      <w:pPr>
        <w:spacing w:line="360" w:lineRule="auto"/>
        <w:rPr>
          <w:rFonts w:ascii="Arial" w:eastAsia="Arial" w:hAnsi="Arial" w:cs="Arial"/>
          <w:lang w:val="en-US" w:eastAsia="fi-FI"/>
        </w:rPr>
      </w:pPr>
    </w:p>
    <w:p w14:paraId="0D41271A" w14:textId="77777777" w:rsidR="009D5DD7" w:rsidRPr="007A0471" w:rsidRDefault="009D5DD7" w:rsidP="009D5DD7">
      <w:pPr>
        <w:spacing w:line="360" w:lineRule="auto"/>
        <w:rPr>
          <w:rFonts w:ascii="Arial" w:eastAsia="Arial" w:hAnsi="Arial" w:cs="Arial"/>
          <w:sz w:val="20"/>
          <w:szCs w:val="20"/>
          <w:lang w:val="en-US" w:eastAsia="fi-FI"/>
        </w:rPr>
      </w:pPr>
    </w:p>
    <w:p w14:paraId="1785C1AD" w14:textId="77777777" w:rsidR="009D5DD7" w:rsidRPr="00DD0029" w:rsidRDefault="009D5DD7" w:rsidP="009D5DD7">
      <w:pPr>
        <w:spacing w:line="360" w:lineRule="auto"/>
        <w:rPr>
          <w:rFonts w:ascii="Calibri" w:eastAsia="Calibri" w:hAnsi="Calibri" w:cs="Calibri"/>
          <w:lang w:val="en-US" w:eastAsia="fi-FI"/>
        </w:rPr>
      </w:pPr>
    </w:p>
    <w:p w14:paraId="0163CA4A" w14:textId="77777777" w:rsidR="009D5DD7" w:rsidRPr="00AB773B" w:rsidRDefault="009D5DD7" w:rsidP="009D5DD7">
      <w:pPr>
        <w:spacing w:line="360" w:lineRule="auto"/>
        <w:rPr>
          <w:lang w:val="en-US"/>
        </w:rPr>
      </w:pPr>
    </w:p>
    <w:p w14:paraId="6C543473" w14:textId="77777777" w:rsidR="009D5DD7" w:rsidRDefault="009D5DD7" w:rsidP="009D5DD7">
      <w:pPr>
        <w:spacing w:line="360" w:lineRule="auto"/>
        <w:rPr>
          <w:lang w:val="en-US"/>
        </w:rPr>
      </w:pPr>
    </w:p>
    <w:p w14:paraId="756D0920" w14:textId="77777777" w:rsidR="009D5DD7" w:rsidRDefault="009D5DD7" w:rsidP="009D5DD7">
      <w:pPr>
        <w:spacing w:line="360" w:lineRule="auto"/>
        <w:rPr>
          <w:lang w:val="en-US"/>
        </w:rPr>
      </w:pPr>
    </w:p>
    <w:p w14:paraId="730404D6" w14:textId="77777777" w:rsidR="009D5DD7" w:rsidRDefault="009D5DD7" w:rsidP="009D5DD7">
      <w:pPr>
        <w:spacing w:line="360" w:lineRule="auto"/>
        <w:rPr>
          <w:lang w:val="en-US"/>
        </w:rPr>
      </w:pPr>
    </w:p>
    <w:p w14:paraId="7C3A7B74" w14:textId="77777777" w:rsidR="009D5DD7" w:rsidRDefault="009D5DD7" w:rsidP="009D5DD7">
      <w:pPr>
        <w:spacing w:line="360" w:lineRule="auto"/>
        <w:rPr>
          <w:lang w:val="en-US"/>
        </w:rPr>
      </w:pPr>
    </w:p>
    <w:p w14:paraId="6A9EF8C4" w14:textId="77777777" w:rsidR="009D5DD7" w:rsidRPr="00AB773B" w:rsidRDefault="009D5DD7" w:rsidP="009D5DD7">
      <w:pPr>
        <w:spacing w:line="360" w:lineRule="auto"/>
        <w:rPr>
          <w:lang w:val="en-US"/>
        </w:rPr>
      </w:pPr>
    </w:p>
    <w:p w14:paraId="6FBA5922" w14:textId="77777777" w:rsidR="009D5DD7" w:rsidRPr="007026AA" w:rsidRDefault="009D5DD7" w:rsidP="009D5DD7">
      <w:pPr>
        <w:pStyle w:val="Caption"/>
        <w:keepNext/>
        <w:spacing w:line="360" w:lineRule="auto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r w:rsidRPr="007026AA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lastRenderedPageBreak/>
        <w:t xml:space="preserve">Supplementary table  </w:t>
      </w:r>
      <w:r w:rsidRPr="007026AA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7026AA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instrText xml:space="preserve"> SEQ Supplementary_table_ \* ARABIC </w:instrText>
      </w:r>
      <w:r w:rsidRPr="007026AA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4"/>
          <w:szCs w:val="24"/>
          <w:lang w:val="en-US"/>
        </w:rPr>
        <w:t>1</w:t>
      </w:r>
      <w:r w:rsidRPr="007026AA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7026AA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>.</w:t>
      </w:r>
      <w:r w:rsidRPr="007026AA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List of Node of Ranvier genes</w:t>
      </w:r>
    </w:p>
    <w:tbl>
      <w:tblPr>
        <w:tblW w:w="58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4678"/>
      </w:tblGrid>
      <w:tr w:rsidR="009D5DD7" w:rsidRPr="0016730A" w14:paraId="4869FE74" w14:textId="77777777" w:rsidTr="00C66BA0">
        <w:trPr>
          <w:trHeight w:val="30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A56B3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fi-FI"/>
              </w:rPr>
              <w:t>Gene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CF9DA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96574F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fi-FI"/>
              </w:rPr>
              <w:t>Nodal</w:t>
            </w:r>
            <w:proofErr w:type="spellEnd"/>
            <w:r w:rsidRPr="0096574F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fi-FI"/>
              </w:rPr>
              <w:t xml:space="preserve"> </w:t>
            </w:r>
            <w:proofErr w:type="spellStart"/>
            <w:r w:rsidRPr="0096574F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fi-FI"/>
              </w:rPr>
              <w:t>c</w:t>
            </w:r>
            <w:r w:rsidRPr="0016730A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fi-FI"/>
              </w:rPr>
              <w:t>omponent</w:t>
            </w:r>
            <w:proofErr w:type="spellEnd"/>
          </w:p>
        </w:tc>
      </w:tr>
      <w:tr w:rsidR="009D5DD7" w:rsidRPr="0016730A" w14:paraId="4F97A1BD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39550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Ank3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3EA7E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Paranode</w:t>
            </w:r>
            <w:proofErr w:type="spellEnd"/>
          </w:p>
        </w:tc>
      </w:tr>
      <w:tr w:rsidR="009D5DD7" w:rsidRPr="0016730A" w14:paraId="49C90C3D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B1D2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Cldn5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676D2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Paranode</w:t>
            </w:r>
            <w:proofErr w:type="spellEnd"/>
          </w:p>
        </w:tc>
      </w:tr>
      <w:tr w:rsidR="009D5DD7" w:rsidRPr="0016730A" w14:paraId="001DE320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7519C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Cntnap1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29229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Paranode</w:t>
            </w:r>
            <w:proofErr w:type="spellEnd"/>
          </w:p>
        </w:tc>
      </w:tr>
      <w:tr w:rsidR="009D5DD7" w:rsidRPr="0016730A" w14:paraId="58E50FD9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EE6E5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Kif13b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C8F60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Paranode</w:t>
            </w:r>
            <w:proofErr w:type="spellEnd"/>
          </w:p>
        </w:tc>
      </w:tr>
      <w:tr w:rsidR="009D5DD7" w:rsidRPr="0016730A" w14:paraId="6D3F9FEA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DF025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Gjc2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B892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Paranode</w:t>
            </w:r>
            <w:proofErr w:type="spellEnd"/>
          </w:p>
        </w:tc>
      </w:tr>
      <w:tr w:rsidR="009D5DD7" w:rsidRPr="0016730A" w14:paraId="7C7C6546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6BCE8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Mag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9F582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Paranode</w:t>
            </w:r>
            <w:proofErr w:type="spellEnd"/>
          </w:p>
        </w:tc>
      </w:tr>
      <w:tr w:rsidR="009D5DD7" w:rsidRPr="00642EB6" w14:paraId="1DEE7EC0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21BE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Ncmap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64D7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  <w:t>Paranode</w:t>
            </w:r>
            <w:r w:rsidRPr="0096574F"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  <w:t xml:space="preserve"> (not detected in our RNA-seq data)</w:t>
            </w:r>
          </w:p>
        </w:tc>
      </w:tr>
      <w:tr w:rsidR="009D5DD7" w:rsidRPr="0016730A" w14:paraId="4D9BFC71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13BC7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Nfasc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2BB1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Paranode</w:t>
            </w:r>
            <w:proofErr w:type="spellEnd"/>
          </w:p>
        </w:tc>
      </w:tr>
      <w:tr w:rsidR="009D5DD7" w:rsidRPr="0016730A" w14:paraId="3D7E1014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05E67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Scn2a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29012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Paranode</w:t>
            </w:r>
            <w:proofErr w:type="spellEnd"/>
          </w:p>
        </w:tc>
      </w:tr>
      <w:tr w:rsidR="009D5DD7" w:rsidRPr="0016730A" w14:paraId="5FB7E74B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BADC1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Sptan1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57A77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Paranode</w:t>
            </w:r>
            <w:proofErr w:type="spellEnd"/>
          </w:p>
        </w:tc>
      </w:tr>
      <w:tr w:rsidR="009D5DD7" w:rsidRPr="00642EB6" w14:paraId="40E58B33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10DB3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Stbn4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7639E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  <w:t>Paranode</w:t>
            </w:r>
            <w:r w:rsidRPr="0096574F"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  <w:t xml:space="preserve"> (not detected in our RNA-seq data)</w:t>
            </w:r>
          </w:p>
        </w:tc>
      </w:tr>
      <w:tr w:rsidR="009D5DD7" w:rsidRPr="0016730A" w14:paraId="08218DE0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A0575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Cntn2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42DB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Juxtaparanode</w:t>
            </w:r>
            <w:proofErr w:type="spellEnd"/>
          </w:p>
        </w:tc>
      </w:tr>
      <w:tr w:rsidR="009D5DD7" w:rsidRPr="0016730A" w14:paraId="5784C6EC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7457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Cntnap2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D64B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Juxtaparanode</w:t>
            </w:r>
            <w:proofErr w:type="spellEnd"/>
          </w:p>
        </w:tc>
      </w:tr>
      <w:tr w:rsidR="009D5DD7" w:rsidRPr="0016730A" w14:paraId="0C095EB6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0371C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Dlg2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EEBD0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Juxtaparanode</w:t>
            </w:r>
            <w:proofErr w:type="spellEnd"/>
          </w:p>
        </w:tc>
      </w:tr>
      <w:tr w:rsidR="009D5DD7" w:rsidRPr="0016730A" w14:paraId="0309DA35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1EEB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Dlg4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5FD0D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Juxtaparanode</w:t>
            </w:r>
            <w:proofErr w:type="spellEnd"/>
          </w:p>
        </w:tc>
      </w:tr>
      <w:tr w:rsidR="009D5DD7" w:rsidRPr="0016730A" w14:paraId="2DAB9192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C7BF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Epb41l3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FAF79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Juxtaparanode</w:t>
            </w:r>
            <w:proofErr w:type="spellEnd"/>
          </w:p>
        </w:tc>
      </w:tr>
      <w:tr w:rsidR="009D5DD7" w:rsidRPr="0016730A" w14:paraId="7E41FD15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C54FF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Kcna1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9500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Juxtaparanode</w:t>
            </w:r>
            <w:proofErr w:type="spellEnd"/>
          </w:p>
        </w:tc>
      </w:tr>
      <w:tr w:rsidR="009D5DD7" w:rsidRPr="0016730A" w14:paraId="0F957FE3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717E6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Kcna2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CA366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Juxtaparanode</w:t>
            </w:r>
            <w:proofErr w:type="spellEnd"/>
          </w:p>
        </w:tc>
      </w:tr>
      <w:tr w:rsidR="009D5DD7" w:rsidRPr="0016730A" w14:paraId="0AC18FCF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7D671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Kcnab1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AA8FB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Juxtaparanode</w:t>
            </w:r>
            <w:proofErr w:type="spellEnd"/>
          </w:p>
        </w:tc>
      </w:tr>
      <w:tr w:rsidR="009D5DD7" w:rsidRPr="0016730A" w14:paraId="13E99424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6BDE2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Kcnab2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F5E19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Juxtaparanode</w:t>
            </w:r>
            <w:proofErr w:type="spellEnd"/>
          </w:p>
        </w:tc>
      </w:tr>
      <w:tr w:rsidR="009D5DD7" w:rsidRPr="0016730A" w14:paraId="6833726E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DF41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Sirt2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809B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Juxtaparanode</w:t>
            </w:r>
            <w:proofErr w:type="spellEnd"/>
          </w:p>
        </w:tc>
      </w:tr>
      <w:tr w:rsidR="009D5DD7" w:rsidRPr="0016730A" w14:paraId="008AD189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D8AE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Bcan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A4236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7921E230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25EC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Bin1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AE92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47120FFE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F52C3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Cdh1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B81D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561DEEAE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C6CDA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Dag1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8980C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37F85735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A7FBF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Dlg1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3A9DE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339B4D35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65083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Schip1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B9DA3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54F6D42B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DBFAC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Kcnq2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0606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613AB3BE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541C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Kcnq3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56B85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4D3CCB56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E658E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Myoc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AB0C8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182A3803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848D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Nrcam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D4B0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1054C8E1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376ED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Scn1a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1F8A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642EB6" w14:paraId="0149F4CA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B07C1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Scna1b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52A70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  <w:t>Node</w:t>
            </w:r>
            <w:r w:rsidRPr="0096574F"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  <w:t>(</w:t>
            </w:r>
            <w:r w:rsidRPr="0096574F"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  <w:t>not detected in our RNA-seq data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fi-FI"/>
              </w:rPr>
              <w:t>)</w:t>
            </w:r>
          </w:p>
        </w:tc>
      </w:tr>
      <w:tr w:rsidR="009D5DD7" w:rsidRPr="0016730A" w14:paraId="121D31BE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A4A8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lastRenderedPageBreak/>
              <w:t>Scn8a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96826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32B40212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9FD23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Spock1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DEE6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5E54D269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04CF9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Sptbn4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BD87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Node</w:t>
            </w:r>
            <w:proofErr w:type="spellEnd"/>
          </w:p>
        </w:tc>
      </w:tr>
      <w:tr w:rsidR="009D5DD7" w:rsidRPr="0016730A" w14:paraId="7167C276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8F569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Ermn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B33C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Internode</w:t>
            </w:r>
            <w:proofErr w:type="spellEnd"/>
          </w:p>
        </w:tc>
      </w:tr>
      <w:tr w:rsidR="009D5DD7" w:rsidRPr="0016730A" w14:paraId="7F6CE048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C1584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Mbp</w:t>
            </w:r>
            <w:proofErr w:type="spell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22B1D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Internode</w:t>
            </w:r>
            <w:proofErr w:type="spellEnd"/>
          </w:p>
        </w:tc>
      </w:tr>
      <w:tr w:rsidR="009D5DD7" w:rsidRPr="0016730A" w14:paraId="79558AB1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27D0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Pard3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2192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Internode</w:t>
            </w:r>
            <w:proofErr w:type="spellEnd"/>
          </w:p>
        </w:tc>
      </w:tr>
      <w:tr w:rsidR="009D5DD7" w:rsidRPr="0016730A" w14:paraId="0236909A" w14:textId="77777777" w:rsidTr="00C66BA0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B264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Tubb4a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69D8A" w14:textId="77777777" w:rsidR="009D5DD7" w:rsidRPr="0016730A" w:rsidRDefault="009D5DD7" w:rsidP="00C66BA0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</w:pPr>
            <w:proofErr w:type="spellStart"/>
            <w:r w:rsidRPr="0016730A">
              <w:rPr>
                <w:rFonts w:ascii="Arial" w:hAnsi="Arial" w:cs="Arial"/>
                <w:color w:val="000000"/>
                <w:sz w:val="22"/>
                <w:szCs w:val="22"/>
                <w:lang w:eastAsia="fi-FI"/>
              </w:rPr>
              <w:t>Internode</w:t>
            </w:r>
            <w:proofErr w:type="spellEnd"/>
          </w:p>
        </w:tc>
      </w:tr>
    </w:tbl>
    <w:p w14:paraId="5E59F693" w14:textId="77777777" w:rsidR="00A639BC" w:rsidRDefault="0079646F"/>
    <w:sectPr w:rsidR="00A639BC" w:rsidSect="00F55D5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DD7"/>
    <w:rsid w:val="000C35BB"/>
    <w:rsid w:val="0079646F"/>
    <w:rsid w:val="009D5DD7"/>
    <w:rsid w:val="00C56555"/>
    <w:rsid w:val="00EA62F4"/>
    <w:rsid w:val="00F5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0C65866"/>
  <w15:chartTrackingRefBased/>
  <w15:docId w15:val="{E0CF760E-5EA1-9847-A097-1D2A109D7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5DD7"/>
    <w:rPr>
      <w:rFonts w:ascii="Times New Roman" w:eastAsia="Times New Roman" w:hAnsi="Times New Roman" w:cs="Times New Roman"/>
      <w:lang w:val="fi-FI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D5DD7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928</Words>
  <Characters>5291</Characters>
  <Application>Microsoft Office Word</Application>
  <DocSecurity>0</DocSecurity>
  <Lines>44</Lines>
  <Paragraphs>12</Paragraphs>
  <ScaleCrop>false</ScaleCrop>
  <Company/>
  <LinksUpToDate>false</LinksUpToDate>
  <CharactersWithSpaces>6207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Maija Koskinen</dc:creator>
  <cp:keywords/>
  <dc:description/>
  <cp:lastModifiedBy>Maija Koskinen</cp:lastModifiedBy>
  <cp:revision>4</cp:revision>
  <dcterms:created xsi:type="dcterms:W3CDTF">2022-07-07T06:52:00Z</dcterms:created>
  <dcterms:modified xsi:type="dcterms:W3CDTF">2022-07-08T05:42:00Z</dcterms:modified>
</cp:coreProperties>
</file>