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t>Supplementary Table 1. Risk of incident CVD per two-fold higher sphingolipid level in SHFS</w:t>
      </w:r>
    </w:p>
    <w:tbl>
      <w:tblPr>
        <w:tblW w:w="0" w:type="auto"/>
        <w:tblLook w:val="04A0" w:firstRow="1" w:lastRow="0" w:firstColumn="1" w:lastColumn="0" w:noHBand="0" w:noVBand="1"/>
      </w:tblPr>
      <w:tblGrid>
        <w:gridCol w:w="828"/>
        <w:gridCol w:w="601"/>
        <w:gridCol w:w="1243"/>
        <w:gridCol w:w="711"/>
        <w:gridCol w:w="271"/>
        <w:gridCol w:w="601"/>
        <w:gridCol w:w="1243"/>
        <w:gridCol w:w="711"/>
        <w:gridCol w:w="271"/>
        <w:gridCol w:w="601"/>
        <w:gridCol w:w="1243"/>
        <w:gridCol w:w="711"/>
      </w:tblGrid>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3</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Cer-16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1.90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(1.24, 2.91)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0.003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1.83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(1.22, 2.76)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0.004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1.78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(1.17, 2.72)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0.007</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1.41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(1.04, 1.91)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0.025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1.49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(1.12, 1.98)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0.006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1.46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(1.08, 1.95)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0.012</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(0.81, 1.89)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0.328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(0.85, 1.89)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0.237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(0.80, 1.81)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0.382</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(0.81, 1.94)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0.303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(0.82, 1.82)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0.325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1.15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(0.75, 1.75)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0.530</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SM-16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1.63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(0.77, 3.47)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0.205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1.54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(0.74, 3.20)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0.252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1.55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(0.81, 2.99)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0.189</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(0.55, 1.50)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0.708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(0.54, 1.45)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0.631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(0.55, 1.40)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0.586</w:t>
            </w:r>
          </w:p>
        </w:tc>
      </w:tr>
      <w:tr w:rsidR="001335B6" w:rsidRPr="00B21A28" w:rsidTr="00C47B56">
        <w:trPr>
          <w:trHeight w:val="2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(0.60, 1.49)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0.821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(0.57, 1.36)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0.580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(0.59, 1.33)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0.566</w:t>
            </w:r>
          </w:p>
        </w:tc>
      </w:tr>
      <w:tr w:rsidR="001335B6" w:rsidRPr="00B21A28" w:rsidTr="00C47B56">
        <w:trPr>
          <w:trHeight w:val="20"/>
        </w:trPr>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0.98</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(0.66, 1.46)</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0.926</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0.90</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(0.60, 1.35)</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0.614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0.92</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(0.63, 1.34)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0.653</w:t>
            </w:r>
          </w:p>
        </w:tc>
      </w:tr>
    </w:tbl>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t>Model 1 includes terms for age, sex, and study site (but site only in SHFS!).  Model 2 additionally includes terms for education, smoking, physical activity, BMI, waist circumference, LDL, systolic blood pressure, treated hypertension, duration of diabetes, type of diabetes medication used, and treated hyperlipidemia. Model 3 further adjusts for one of the other species: Cer-16 and SM-16 models include adjustment for Cer-22 and SM-22, respectively; Cer-20, -22, -24, and SM-20, -22, and -24 models include adjustment for Cer-16 and SM-16, respectively.</w:t>
      </w:r>
    </w:p>
    <w:p w:rsidR="001335B6" w:rsidRPr="00B21A28" w:rsidRDefault="001335B6" w:rsidP="001335B6">
      <w:pPr>
        <w:spacing w:after="0" w:line="480" w:lineRule="auto"/>
        <w:rPr>
          <w:rFonts w:ascii="Times New Roman" w:hAnsi="Times New Roman" w:cs="Times New Roman"/>
        </w:rPr>
      </w:pPr>
    </w:p>
    <w:p w:rsidR="001335B6" w:rsidRPr="00B21A28" w:rsidRDefault="001335B6" w:rsidP="001335B6">
      <w:pPr>
        <w:spacing w:after="0" w:line="480" w:lineRule="auto"/>
        <w:rPr>
          <w:rFonts w:ascii="Times New Roman" w:hAnsi="Times New Roman" w:cs="Times New Roman"/>
        </w:rPr>
      </w:pPr>
    </w:p>
    <w:p w:rsidR="001335B6" w:rsidRDefault="001335B6" w:rsidP="001335B6">
      <w:pPr>
        <w:spacing w:after="0" w:line="480" w:lineRule="auto"/>
        <w:rPr>
          <w:rFonts w:ascii="Times New Roman" w:hAnsi="Times New Roman" w:cs="Times New Roman"/>
        </w:rPr>
      </w:pPr>
      <w:r>
        <w:rPr>
          <w:rFonts w:ascii="Times New Roman" w:hAnsi="Times New Roman" w:cs="Times New Roman"/>
        </w:rPr>
        <w:br w:type="page"/>
      </w:r>
    </w:p>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lastRenderedPageBreak/>
        <w:t>Supplementary Table 2. Odds of incident CVD per two-fold higher sphingolipid level in SHS</w:t>
      </w:r>
    </w:p>
    <w:tbl>
      <w:tblPr>
        <w:tblW w:w="0" w:type="auto"/>
        <w:tblLook w:val="04A0" w:firstRow="1" w:lastRow="0" w:firstColumn="1" w:lastColumn="0" w:noHBand="0" w:noVBand="1"/>
      </w:tblPr>
      <w:tblGrid>
        <w:gridCol w:w="828"/>
        <w:gridCol w:w="601"/>
        <w:gridCol w:w="1243"/>
        <w:gridCol w:w="711"/>
        <w:gridCol w:w="271"/>
        <w:gridCol w:w="601"/>
        <w:gridCol w:w="1243"/>
        <w:gridCol w:w="711"/>
        <w:gridCol w:w="271"/>
        <w:gridCol w:w="601"/>
        <w:gridCol w:w="1243"/>
        <w:gridCol w:w="711"/>
      </w:tblGrid>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Model 3</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HR</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Cer-16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(0.57, 2.62)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0.615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(0.30, 1.69)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0.441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(0.26, 1.60)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0.345</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(0.55, 1.56)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0.780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(0.40, 1.28)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0.259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(0.36, 1.22)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0.188</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(0.40, 1.56)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0.494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(0.27, 1.18)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0.131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(0.20, 0.98)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0.043</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(0.38, 1.72)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0.585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(0.26, 1.34)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0.206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(0.21, 1.16)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0.105</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SM-16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1.58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(0.40, 6.18)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0.513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(0.11, 2.47)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0.406</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(0.12, 3.70)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0.652</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SM-20</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0.54</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(0.22, 1.33)</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0.179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(0.11, 0.97)</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0.045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(0.11, 1.11)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0.074</w:t>
            </w:r>
          </w:p>
        </w:tc>
      </w:tr>
      <w:tr w:rsidR="001335B6" w:rsidRPr="00B21A28" w:rsidTr="00C47B56">
        <w:trPr>
          <w:trHeight w:val="288"/>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0.55</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(0.23, 1.32)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0.182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0.28</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(0.10, 0.82)</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0.021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0.29</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(0.09, 0.91)</w:t>
            </w:r>
          </w:p>
        </w:tc>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0.033</w:t>
            </w:r>
          </w:p>
        </w:tc>
      </w:tr>
      <w:tr w:rsidR="001335B6" w:rsidRPr="00B21A28" w:rsidTr="00C47B56">
        <w:trPr>
          <w:trHeight w:val="288"/>
        </w:trPr>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0.56</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(0.25, 1.24)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0.153</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0.34</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(0.13, 0.91)</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0.031</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 </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0.36</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(0.13, 1.03)</w:t>
            </w:r>
          </w:p>
        </w:tc>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0.057</w:t>
            </w:r>
          </w:p>
        </w:tc>
      </w:tr>
    </w:tbl>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t>Model 1 includes terms for age, sex, and study site.  Model 2 additionally includes terms for education, smoking, physical activity, BMI, waist circumference, LDL, systolic blood pressure, treated hypertension, duration of diabetes, type of diabetes medication used, and treated hyperlipidemia. Model 3 further adjusts for one of the other species: Cer-16 and SM-16 models include adjustment for Cer-22 and SM-22, respectively; Cer-20, -22, -24, and SM-20, -22, and -24 models include adjustment for Cer-16 and SM-16, respectively.</w:t>
      </w:r>
    </w:p>
    <w:p w:rsidR="001335B6" w:rsidRDefault="001335B6" w:rsidP="001335B6">
      <w:pPr>
        <w:spacing w:after="0" w:line="480" w:lineRule="auto"/>
        <w:rPr>
          <w:rFonts w:ascii="Times New Roman" w:hAnsi="Times New Roman" w:cs="Times New Roman"/>
        </w:rPr>
        <w:sectPr w:rsidR="001335B6" w:rsidSect="005F5F28">
          <w:pgSz w:w="12240" w:h="15840"/>
          <w:pgMar w:top="1440" w:right="1440" w:bottom="1440" w:left="1440" w:header="720" w:footer="720" w:gutter="0"/>
          <w:cols w:space="720"/>
          <w:docGrid w:linePitch="360"/>
        </w:sectPr>
      </w:pPr>
    </w:p>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lastRenderedPageBreak/>
        <w:t>Supplemental Table 3. Sensitivity analysis</w:t>
      </w:r>
      <w:r>
        <w:rPr>
          <w:rFonts w:ascii="Times New Roman" w:hAnsi="Times New Roman" w:cs="Times New Roman"/>
        </w:rPr>
        <w:t xml:space="preserve"> – Associations of sphingolipids with incident CVD risk after adjustment for HDL and Triglycerides, Fibrinogen, and Chronic Kidney Disease</w:t>
      </w:r>
    </w:p>
    <w:p w:rsidR="001335B6" w:rsidRPr="00B21A28" w:rsidRDefault="001335B6" w:rsidP="001335B6">
      <w:pPr>
        <w:spacing w:after="0" w:line="480" w:lineRule="auto"/>
        <w:rPr>
          <w:rFonts w:ascii="Times New Roman" w:hAnsi="Times New Roman" w:cs="Times New Roman"/>
        </w:rPr>
      </w:pPr>
    </w:p>
    <w:tbl>
      <w:tblPr>
        <w:tblW w:w="0" w:type="auto"/>
        <w:tblLook w:val="04A0" w:firstRow="1" w:lastRow="0" w:firstColumn="1" w:lastColumn="0" w:noHBand="0" w:noVBand="1"/>
      </w:tblPr>
      <w:tblGrid>
        <w:gridCol w:w="828"/>
        <w:gridCol w:w="601"/>
        <w:gridCol w:w="1243"/>
        <w:gridCol w:w="876"/>
        <w:gridCol w:w="222"/>
        <w:gridCol w:w="620"/>
        <w:gridCol w:w="1243"/>
        <w:gridCol w:w="876"/>
        <w:gridCol w:w="222"/>
        <w:gridCol w:w="711"/>
        <w:gridCol w:w="1243"/>
        <w:gridCol w:w="876"/>
        <w:gridCol w:w="222"/>
        <w:gridCol w:w="711"/>
        <w:gridCol w:w="1243"/>
        <w:gridCol w:w="876"/>
      </w:tblGrid>
      <w:tr w:rsidR="001335B6" w:rsidRPr="00B21A28" w:rsidTr="00C47B56">
        <w:trPr>
          <w:trHeight w:val="315"/>
        </w:trPr>
        <w:tc>
          <w:tcPr>
            <w:tcW w:w="0" w:type="auto"/>
            <w:tcBorders>
              <w:top w:val="nil"/>
              <w:left w:val="nil"/>
              <w:bottom w:val="nil"/>
              <w:right w:val="nil"/>
            </w:tcBorders>
            <w:shd w:val="clear" w:color="auto" w:fill="auto"/>
            <w:noWrap/>
            <w:vAlign w:val="bottom"/>
          </w:tcPr>
          <w:p w:rsidR="001335B6" w:rsidRPr="00B21A28" w:rsidRDefault="001335B6" w:rsidP="00C47B56">
            <w:pPr>
              <w:spacing w:after="0" w:line="240" w:lineRule="auto"/>
              <w:rPr>
                <w:rFonts w:ascii="Times New Roman" w:eastAsia="Times New Roman" w:hAnsi="Times New Roman" w:cs="Times New Roman"/>
              </w:rPr>
            </w:pPr>
          </w:p>
        </w:tc>
        <w:tc>
          <w:tcPr>
            <w:tcW w:w="0" w:type="auto"/>
            <w:gridSpan w:val="3"/>
            <w:tcBorders>
              <w:top w:val="nil"/>
              <w:left w:val="nil"/>
              <w:bottom w:val="single" w:sz="8" w:space="0" w:color="auto"/>
              <w:right w:val="nil"/>
            </w:tcBorders>
            <w:shd w:val="clear" w:color="auto" w:fill="auto"/>
            <w:noWrap/>
            <w:vAlign w:val="center"/>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11"/>
            <w:tcBorders>
              <w:top w:val="nil"/>
              <w:left w:val="nil"/>
              <w:bottom w:val="single" w:sz="8" w:space="0" w:color="auto"/>
              <w:right w:val="nil"/>
            </w:tcBorders>
            <w:shd w:val="clear" w:color="auto" w:fill="auto"/>
            <w:noWrap/>
            <w:vAlign w:val="center"/>
          </w:tcPr>
          <w:p w:rsidR="001335B6" w:rsidRPr="00B21A28" w:rsidRDefault="001335B6" w:rsidP="00C47B5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Additional Adjustments</w:t>
            </w:r>
          </w:p>
        </w:tc>
      </w:tr>
      <w:tr w:rsidR="001335B6" w:rsidRPr="00B21A28" w:rsidTr="00C47B56">
        <w:trPr>
          <w:trHeight w:val="315"/>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rPr>
            </w:pPr>
          </w:p>
        </w:tc>
        <w:tc>
          <w:tcPr>
            <w:tcW w:w="0" w:type="auto"/>
            <w:gridSpan w:val="3"/>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Primary Model</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HDL and</w:t>
            </w:r>
          </w:p>
          <w:p w:rsidR="001335B6" w:rsidRPr="00B21A28" w:rsidRDefault="001335B6" w:rsidP="00C47B5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w:t>
            </w:r>
            <w:r w:rsidRPr="00B21A28">
              <w:rPr>
                <w:rFonts w:ascii="Times New Roman" w:eastAsia="Times New Roman" w:hAnsi="Times New Roman" w:cs="Times New Roman"/>
                <w:color w:val="000000"/>
              </w:rPr>
              <w:t>riglycerides</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Fibrinogen</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gridSpan w:val="3"/>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CKD</w:t>
            </w:r>
          </w:p>
        </w:tc>
      </w:tr>
      <w:tr w:rsidR="001335B6" w:rsidRPr="00B21A28" w:rsidTr="00C47B56">
        <w:trPr>
          <w:trHeight w:val="315"/>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RR</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p-value</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Risk</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p-value</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Risk</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p-value</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Risk</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95% CI</w:t>
            </w:r>
          </w:p>
        </w:tc>
        <w:tc>
          <w:tcPr>
            <w:tcW w:w="0" w:type="auto"/>
            <w:tcBorders>
              <w:top w:val="nil"/>
              <w:left w:val="nil"/>
              <w:bottom w:val="single" w:sz="8"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p-value</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Cer-16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1.54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(1.07, 2.23)</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0.021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1.49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(1.01, 2.18)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1.482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(1.03, 2.13)</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0.035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1.552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(1.07, 2.26)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0.021</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Cer-20</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1.30</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(1.01, 1.68)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0.044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(0.96, 1.64)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1.276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(0.99, 1.64)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0.059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1.295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(1, 1.67)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0.047</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(0.75, 1.5)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0.741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(0.68, 1.4)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(0.76, 1.51)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0.703</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1.068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(0.75, 1.52)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0.713</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Cer-24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(0.74, 1.52)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0.738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0.97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(0.66, 1.42)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1.078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(0.75, 1.54)</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0.682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1.081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(0.75, 1.56)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0.675</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SM-16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(0.65, 2.46)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0.492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1.39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(0.76, 2.57)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1.169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(0.6, 2.29)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0.649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1.267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(0.65, 2.46)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0.484</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SM-20</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(0.48, 1.18)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0.209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(0.5, 1.19)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(0.48, 1.19)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0.231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0.746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(0.47, 1.18)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0.208</w:t>
            </w:r>
          </w:p>
        </w:tc>
      </w:tr>
      <w:tr w:rsidR="001335B6" w:rsidRPr="00B21A28" w:rsidTr="00C47B56">
        <w:trPr>
          <w:trHeight w:val="300"/>
        </w:trPr>
        <w:tc>
          <w:tcPr>
            <w:tcW w:w="0" w:type="auto"/>
            <w:tcBorders>
              <w:top w:val="nil"/>
              <w:left w:val="nil"/>
              <w:bottom w:val="nil"/>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(0.51, 1.13)</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0.169</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0.78</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(0.53, 1.15)</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0.21</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0.776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(0.51, 1.17)</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0.226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0.746</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(0.5, 1.12)</w:t>
            </w:r>
          </w:p>
        </w:tc>
        <w:tc>
          <w:tcPr>
            <w:tcW w:w="0" w:type="auto"/>
            <w:tcBorders>
              <w:top w:val="nil"/>
              <w:left w:val="nil"/>
              <w:bottom w:val="nil"/>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0.16</w:t>
            </w:r>
          </w:p>
        </w:tc>
      </w:tr>
      <w:tr w:rsidR="001335B6" w:rsidRPr="00B21A28" w:rsidTr="00C47B56">
        <w:trPr>
          <w:trHeight w:val="300"/>
        </w:trPr>
        <w:tc>
          <w:tcPr>
            <w:tcW w:w="0" w:type="auto"/>
            <w:tcBorders>
              <w:top w:val="nil"/>
              <w:left w:val="nil"/>
              <w:bottom w:val="single" w:sz="4" w:space="0" w:color="auto"/>
              <w:right w:val="nil"/>
            </w:tcBorders>
            <w:shd w:val="clear" w:color="auto" w:fill="auto"/>
            <w:noWrap/>
            <w:vAlign w:val="bottom"/>
            <w:hideMark/>
          </w:tcPr>
          <w:p w:rsidR="001335B6" w:rsidRPr="00B21A28" w:rsidRDefault="001335B6" w:rsidP="00C47B56">
            <w:pPr>
              <w:spacing w:after="0" w:line="240" w:lineRule="auto"/>
              <w:rPr>
                <w:rFonts w:ascii="Times New Roman" w:eastAsia="Times New Roman" w:hAnsi="Times New Roman" w:cs="Times New Roman"/>
                <w:color w:val="000000"/>
              </w:rPr>
            </w:pPr>
            <w:r w:rsidRPr="00B21A28">
              <w:rPr>
                <w:rFonts w:ascii="Times New Roman" w:eastAsia="Times New Roman" w:hAnsi="Times New Roman" w:cs="Times New Roman"/>
                <w:color w:val="000000"/>
              </w:rPr>
              <w:t>SM-24</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0.78</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(0.54, 1.14)</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0.198</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0.82</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(0.58, 1.18)</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0.29</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0.819</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(0.56, 1.21)</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0.315</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0.772</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(0.53, 1.13)</w:t>
            </w:r>
          </w:p>
        </w:tc>
        <w:tc>
          <w:tcPr>
            <w:tcW w:w="0" w:type="auto"/>
            <w:tcBorders>
              <w:top w:val="nil"/>
              <w:left w:val="nil"/>
              <w:bottom w:val="single" w:sz="4" w:space="0" w:color="auto"/>
              <w:right w:val="nil"/>
            </w:tcBorders>
            <w:shd w:val="clear" w:color="auto" w:fill="auto"/>
            <w:noWrap/>
            <w:vAlign w:val="center"/>
            <w:hideMark/>
          </w:tcPr>
          <w:p w:rsidR="001335B6" w:rsidRPr="00B21A28" w:rsidRDefault="001335B6" w:rsidP="00C47B56">
            <w:pPr>
              <w:spacing w:after="0" w:line="240" w:lineRule="auto"/>
              <w:jc w:val="center"/>
              <w:rPr>
                <w:rFonts w:ascii="Times New Roman" w:eastAsia="Times New Roman" w:hAnsi="Times New Roman" w:cs="Times New Roman"/>
                <w:color w:val="000000"/>
              </w:rPr>
            </w:pPr>
            <w:r w:rsidRPr="00B21A28">
              <w:rPr>
                <w:rFonts w:ascii="Times New Roman" w:eastAsia="Times New Roman" w:hAnsi="Times New Roman" w:cs="Times New Roman"/>
                <w:color w:val="000000"/>
              </w:rPr>
              <w:t>0.18</w:t>
            </w:r>
          </w:p>
        </w:tc>
      </w:tr>
    </w:tbl>
    <w:p w:rsidR="001335B6" w:rsidRPr="00B21A28" w:rsidRDefault="001335B6" w:rsidP="001335B6">
      <w:pPr>
        <w:spacing w:after="0" w:line="480" w:lineRule="auto"/>
        <w:rPr>
          <w:rFonts w:ascii="Times New Roman" w:hAnsi="Times New Roman" w:cs="Times New Roman"/>
        </w:rPr>
      </w:pPr>
      <w:r w:rsidRPr="00B21A28">
        <w:rPr>
          <w:rFonts w:ascii="Times New Roman" w:hAnsi="Times New Roman" w:cs="Times New Roman"/>
        </w:rPr>
        <w:t>Models are adjusted for age, sex, study site, education, smoking, physical activity, BMI, waist circumference, LDL, systolic blood pressure, treated hypertension, duration of diabetes, type of diabetes medication used, and treated hyperlipidemia</w:t>
      </w:r>
    </w:p>
    <w:p w:rsidR="001335B6" w:rsidRPr="00B21A28" w:rsidRDefault="001335B6" w:rsidP="001335B6">
      <w:pPr>
        <w:spacing w:after="0" w:line="480" w:lineRule="auto"/>
        <w:rPr>
          <w:rFonts w:ascii="Times New Roman" w:hAnsi="Times New Roman" w:cs="Times New Roman"/>
        </w:rPr>
      </w:pPr>
    </w:p>
    <w:p w:rsidR="00342BD7" w:rsidRDefault="00342BD7">
      <w:bookmarkStart w:id="0" w:name="_GoBack"/>
      <w:bookmarkEnd w:id="0"/>
    </w:p>
    <w:sectPr w:rsidR="00342BD7" w:rsidSect="00D0390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5B6"/>
    <w:rsid w:val="001335B6"/>
    <w:rsid w:val="003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10B44E-0D45-409F-85CE-F691589D8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35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622</Words>
  <Characters>3546</Characters>
  <Application>Microsoft Office Word</Application>
  <DocSecurity>0</DocSecurity>
  <Lines>29</Lines>
  <Paragraphs>8</Paragraphs>
  <ScaleCrop>false</ScaleCrop>
  <Company>Springer Nature IT</Company>
  <LinksUpToDate>false</LinksUpToDate>
  <CharactersWithSpaces>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2022-04-03T17:39:00Z</dcterms:created>
  <dcterms:modified xsi:type="dcterms:W3CDTF">2022-04-03T17:39:00Z</dcterms:modified>
</cp:coreProperties>
</file>