
<file path=[Content_Types].xml><?xml version="1.0" encoding="utf-8"?>
<Types xmlns="http://schemas.openxmlformats.org/package/2006/content-types">
  <Default Extension="jpeg" ContentType="image/jpeg"/>
  <Default Extension="JPG" ContentType="image/.jp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hint="default" w:ascii="Times New Roman" w:hAnsi="Times New Roman" w:cs="Times New Roman"/>
          <w:b/>
          <w:bCs/>
          <w:sz w:val="24"/>
          <w:szCs w:val="24"/>
          <w:u w:val="single"/>
          <w:lang w:val="en-US"/>
        </w:rPr>
      </w:pPr>
      <w:r>
        <w:rPr>
          <w:rFonts w:hint="default" w:ascii="Times New Roman" w:hAnsi="Times New Roman" w:cs="Times New Roman"/>
          <w:b/>
          <w:bCs/>
          <w:sz w:val="24"/>
          <w:szCs w:val="24"/>
          <w:u w:val="single"/>
          <w:lang w:val="en-US"/>
        </w:rPr>
        <w:t>Supplementary Data:</w:t>
      </w:r>
    </w:p>
    <w:p>
      <w:pPr>
        <w:spacing w:line="360" w:lineRule="auto"/>
        <w:jc w:val="both"/>
        <w:rPr>
          <w:rFonts w:hint="default" w:ascii="Times New Roman" w:hAnsi="Times New Roman" w:cs="Times New Roman"/>
          <w:b/>
          <w:bCs/>
          <w:sz w:val="24"/>
          <w:szCs w:val="24"/>
          <w:u w:val="single"/>
          <w:lang w:val="en-US"/>
        </w:rPr>
      </w:pPr>
      <w:r>
        <w:rPr>
          <w:rFonts w:hint="default" w:ascii="Times New Roman" w:hAnsi="Times New Roman" w:cs="Times New Roman"/>
          <w:b/>
          <w:bCs/>
          <w:sz w:val="24"/>
          <w:szCs w:val="24"/>
          <w:u w:val="single"/>
          <w:lang w:val="en-US"/>
        </w:rPr>
        <w:t>Methodology:</w:t>
      </w:r>
    </w:p>
    <w:p>
      <w:pPr>
        <w:spacing w:before="120" w:beforeLines="50" w:after="120" w:afterLines="50" w:line="360" w:lineRule="auto"/>
        <w:jc w:val="both"/>
        <w:rPr>
          <w:rFonts w:ascii="Times New Roman" w:hAnsi="Times New Roman"/>
          <w:color w:val="0C0C0C"/>
          <w:sz w:val="24"/>
          <w:szCs w:val="24"/>
        </w:rPr>
      </w:pPr>
      <w:r>
        <w:rPr>
          <w:rFonts w:ascii="Times New Roman" w:hAnsi="Times New Roman"/>
          <w:b/>
          <w:bCs/>
          <w:color w:val="0C0C0C"/>
          <w:sz w:val="24"/>
          <w:szCs w:val="24"/>
          <w:lang w:val="en-IN"/>
        </w:rPr>
        <w:t>Transwell</w:t>
      </w:r>
      <w:r>
        <w:rPr>
          <w:rFonts w:ascii="Times New Roman" w:hAnsi="Times New Roman"/>
          <w:b/>
          <w:bCs/>
          <w:iCs/>
          <w:color w:val="0C0C0C"/>
          <w:sz w:val="24"/>
          <w:szCs w:val="24"/>
        </w:rPr>
        <w:t xml:space="preserve"> Assay</w:t>
      </w:r>
      <w:r>
        <w:rPr>
          <w:rFonts w:ascii="Times New Roman" w:hAnsi="Times New Roman"/>
          <w:b/>
          <w:bCs/>
          <w:iCs/>
          <w:color w:val="0C0C0C"/>
          <w:sz w:val="24"/>
          <w:szCs w:val="24"/>
          <w:lang w:val="en-IN"/>
        </w:rPr>
        <w:t>s</w:t>
      </w:r>
      <w:r>
        <w:rPr>
          <w:rFonts w:ascii="Times New Roman" w:hAnsi="Times New Roman"/>
          <w:iCs/>
          <w:color w:val="0C0C0C"/>
          <w:sz w:val="24"/>
          <w:szCs w:val="24"/>
        </w:rPr>
        <w:t>:</w:t>
      </w:r>
      <w:r>
        <w:rPr>
          <w:rFonts w:ascii="Times New Roman" w:hAnsi="Times New Roman"/>
          <w:iCs/>
          <w:color w:val="0C0C0C"/>
          <w:sz w:val="24"/>
          <w:szCs w:val="24"/>
          <w:lang w:val="en-IN"/>
        </w:rPr>
        <w:t xml:space="preserve"> </w:t>
      </w:r>
      <w:r>
        <w:rPr>
          <w:rFonts w:ascii="Times New Roman" w:hAnsi="Times New Roman" w:cs="Times New Roman"/>
          <w:sz w:val="24"/>
          <w:szCs w:val="24"/>
          <w:lang w:val="en-IN"/>
        </w:rPr>
        <w:t>Control-transfected and HBx-CRISPR transfected hepatoma</w:t>
      </w:r>
      <w:r>
        <w:rPr>
          <w:rFonts w:ascii="Times New Roman" w:hAnsi="Times New Roman" w:cs="Times New Roman"/>
          <w:sz w:val="24"/>
          <w:szCs w:val="24"/>
        </w:rPr>
        <w:t xml:space="preserve"> </w:t>
      </w:r>
      <w:r>
        <w:rPr>
          <w:rFonts w:ascii="Times New Roman" w:hAnsi="Times New Roman"/>
          <w:color w:val="0C0C0C"/>
          <w:sz w:val="24"/>
          <w:szCs w:val="24"/>
        </w:rPr>
        <w:t xml:space="preserve">cells were detached, harvested by centrifugation and resuspended in DMEM (without serum), and then placed in the upper chamber of a modified Boyden chamber consisting of uncoated polycarbonate filter membranes of 8 µm pore size. </w:t>
      </w:r>
      <w:r>
        <w:rPr>
          <w:rFonts w:ascii="Times New Roman" w:hAnsi="Times New Roman"/>
          <w:color w:val="0C0C0C"/>
          <w:sz w:val="24"/>
          <w:szCs w:val="24"/>
          <w:lang w:val="en-IN"/>
        </w:rPr>
        <w:t>For invasion, transwell inserts were first coated with matrigel, then t</w:t>
      </w:r>
      <w:r>
        <w:rPr>
          <w:rFonts w:ascii="Times New Roman" w:hAnsi="Times New Roman"/>
          <w:color w:val="0C0C0C"/>
          <w:sz w:val="24"/>
          <w:szCs w:val="24"/>
        </w:rPr>
        <w:t>he chamber was placed in a 24-well culture dish containing D</w:t>
      </w:r>
      <w:r>
        <w:rPr>
          <w:rFonts w:ascii="Times New Roman" w:hAnsi="Times New Roman"/>
          <w:color w:val="0C0C0C"/>
          <w:sz w:val="24"/>
          <w:szCs w:val="24"/>
          <w:lang w:val="en-IN"/>
        </w:rPr>
        <w:t>MEM with FBS in lower chamber</w:t>
      </w:r>
      <w:r>
        <w:rPr>
          <w:rFonts w:ascii="Times New Roman" w:hAnsi="Times New Roman"/>
          <w:color w:val="0C0C0C"/>
          <w:sz w:val="24"/>
          <w:szCs w:val="24"/>
        </w:rPr>
        <w:t>. After 24 h</w:t>
      </w:r>
      <w:r>
        <w:rPr>
          <w:rFonts w:ascii="Times New Roman" w:hAnsi="Times New Roman"/>
          <w:color w:val="0C0C0C"/>
          <w:sz w:val="24"/>
          <w:szCs w:val="24"/>
          <w:lang w:val="en-IN"/>
        </w:rPr>
        <w:t xml:space="preserve"> (for chemotaxis) and 48 h (for invasion)</w:t>
      </w:r>
      <w:r>
        <w:rPr>
          <w:rFonts w:ascii="Times New Roman" w:hAnsi="Times New Roman"/>
          <w:color w:val="0C0C0C"/>
          <w:sz w:val="24"/>
          <w:szCs w:val="24"/>
        </w:rPr>
        <w:t xml:space="preserve"> incubation at 37</w:t>
      </w:r>
      <w:r>
        <w:rPr>
          <w:rFonts w:ascii="Times New Roman" w:hAnsi="Times New Roman"/>
          <w:color w:val="0C0C0C"/>
          <w:sz w:val="24"/>
          <w:szCs w:val="24"/>
          <w:vertAlign w:val="superscript"/>
        </w:rPr>
        <w:t>0</w:t>
      </w:r>
      <w:r>
        <w:rPr>
          <w:rFonts w:ascii="Times New Roman" w:hAnsi="Times New Roman"/>
          <w:color w:val="0C0C0C"/>
          <w:sz w:val="24"/>
          <w:szCs w:val="24"/>
        </w:rPr>
        <w:t xml:space="preserve">C, the lower side of the filter was washed with PBS and fixed with 4% paraformaldeyde for 2 min. Then cells were washed and permeabilized by 100% methanol for 20 min. For quantification, cell nuclei were stained with 0.5% crystal violet. The upper side of the filter containing the non-migrating cells was scraped with a cotton swab. Cells migrating </w:t>
      </w:r>
      <w:r>
        <w:rPr>
          <w:rFonts w:ascii="Times New Roman" w:hAnsi="Times New Roman"/>
          <w:color w:val="0C0C0C"/>
          <w:sz w:val="24"/>
          <w:szCs w:val="24"/>
          <w:lang w:val="en-IN"/>
        </w:rPr>
        <w:t>towards</w:t>
      </w:r>
      <w:r>
        <w:rPr>
          <w:rFonts w:ascii="Times New Roman" w:hAnsi="Times New Roman"/>
          <w:color w:val="0C0C0C"/>
          <w:sz w:val="24"/>
          <w:szCs w:val="24"/>
        </w:rPr>
        <w:t xml:space="preserve"> the lower chamber were counted manually at </w:t>
      </w:r>
      <w:r>
        <w:rPr>
          <w:rFonts w:ascii="Times New Roman" w:hAnsi="Times New Roman"/>
          <w:color w:val="0C0C0C"/>
          <w:sz w:val="24"/>
          <w:szCs w:val="24"/>
          <w:lang w:val="en-IN"/>
        </w:rPr>
        <w:t>4</w:t>
      </w:r>
      <w:r>
        <w:rPr>
          <w:rFonts w:ascii="Times New Roman" w:hAnsi="Times New Roman"/>
          <w:color w:val="0C0C0C"/>
          <w:sz w:val="24"/>
          <w:szCs w:val="24"/>
        </w:rPr>
        <w:t>X objective in random microscopic fields.</w:t>
      </w:r>
    </w:p>
    <w:p>
      <w:pPr>
        <w:spacing w:line="360" w:lineRule="auto"/>
        <w:jc w:val="both"/>
        <w:rPr>
          <w:rFonts w:ascii="Times New Roman" w:hAnsi="Times New Roman" w:eastAsia="MinionPro-Regular"/>
          <w:color w:val="0C0C0C"/>
          <w:sz w:val="24"/>
          <w:szCs w:val="24"/>
        </w:rPr>
      </w:pPr>
      <w:r>
        <w:rPr>
          <w:rFonts w:hint="default" w:ascii="Times New Roman" w:hAnsi="Times New Roman"/>
          <w:b/>
          <w:iCs/>
          <w:color w:val="0C0C0C"/>
          <w:sz w:val="24"/>
          <w:szCs w:val="24"/>
          <w:lang w:val="en-US"/>
        </w:rPr>
        <w:t>Scratch</w:t>
      </w:r>
      <w:r>
        <w:rPr>
          <w:rFonts w:ascii="Times New Roman" w:hAnsi="Times New Roman"/>
          <w:b/>
          <w:iCs/>
          <w:color w:val="0C0C0C"/>
          <w:sz w:val="24"/>
          <w:szCs w:val="24"/>
          <w:lang w:val="en-IN"/>
        </w:rPr>
        <w:t xml:space="preserve"> a</w:t>
      </w:r>
      <w:r>
        <w:rPr>
          <w:rFonts w:ascii="Times New Roman" w:hAnsi="Times New Roman"/>
          <w:b/>
          <w:iCs/>
          <w:color w:val="0C0C0C"/>
          <w:sz w:val="24"/>
          <w:szCs w:val="24"/>
        </w:rPr>
        <w:t>ssay</w:t>
      </w:r>
      <w:r>
        <w:rPr>
          <w:rFonts w:ascii="Times New Roman" w:hAnsi="Times New Roman"/>
          <w:b/>
          <w:iCs/>
          <w:color w:val="0C0C0C"/>
          <w:sz w:val="24"/>
          <w:szCs w:val="24"/>
          <w:lang w:val="en-IN"/>
        </w:rPr>
        <w:t>s</w:t>
      </w:r>
      <w:r>
        <w:rPr>
          <w:rFonts w:ascii="Times New Roman" w:hAnsi="Times New Roman"/>
          <w:b/>
          <w:i/>
          <w:color w:val="0C0C0C"/>
          <w:sz w:val="24"/>
          <w:szCs w:val="24"/>
        </w:rPr>
        <w:t>:</w:t>
      </w:r>
      <w:r>
        <w:rPr>
          <w:rFonts w:ascii="Times New Roman" w:hAnsi="Times New Roman"/>
          <w:color w:val="0C0C0C"/>
          <w:sz w:val="24"/>
          <w:szCs w:val="24"/>
          <w:lang w:val="en-IN"/>
        </w:rPr>
        <w:t xml:space="preserve"> </w:t>
      </w:r>
      <w:r>
        <w:rPr>
          <w:rFonts w:ascii="Times New Roman" w:hAnsi="Times New Roman" w:cs="Times New Roman"/>
          <w:sz w:val="24"/>
          <w:szCs w:val="24"/>
          <w:lang w:val="en-IN"/>
        </w:rPr>
        <w:t>Control-transfected and HBx-CRISPR transfected hepatoma</w:t>
      </w:r>
      <w:r>
        <w:rPr>
          <w:rFonts w:ascii="Times New Roman" w:hAnsi="Times New Roman" w:cs="Times New Roman"/>
          <w:sz w:val="24"/>
          <w:szCs w:val="24"/>
        </w:rPr>
        <w:t xml:space="preserve"> </w:t>
      </w:r>
      <w:r>
        <w:rPr>
          <w:rFonts w:ascii="Times New Roman" w:hAnsi="Times New Roman"/>
          <w:color w:val="0C0C0C"/>
          <w:sz w:val="24"/>
          <w:szCs w:val="24"/>
          <w:lang w:val="en-IN"/>
        </w:rPr>
        <w:t xml:space="preserve">cells </w:t>
      </w:r>
      <w:r>
        <w:rPr>
          <w:rFonts w:ascii="Times New Roman" w:hAnsi="Times New Roman"/>
          <w:color w:val="0C0C0C"/>
          <w:sz w:val="24"/>
          <w:szCs w:val="24"/>
        </w:rPr>
        <w:t>were plated in 12-well plates (3x10</w:t>
      </w:r>
      <w:r>
        <w:rPr>
          <w:rFonts w:ascii="Times New Roman" w:hAnsi="Times New Roman"/>
          <w:color w:val="0C0C0C"/>
          <w:sz w:val="24"/>
          <w:szCs w:val="24"/>
          <w:vertAlign w:val="superscript"/>
        </w:rPr>
        <w:t>6</w:t>
      </w:r>
      <w:r>
        <w:rPr>
          <w:rFonts w:ascii="Times New Roman" w:hAnsi="Times New Roman"/>
          <w:color w:val="0C0C0C"/>
          <w:sz w:val="24"/>
          <w:szCs w:val="24"/>
        </w:rPr>
        <w:t xml:space="preserve">cells/well). </w:t>
      </w:r>
      <w:r>
        <w:rPr>
          <w:rFonts w:ascii="Times New Roman" w:hAnsi="Times New Roman"/>
          <w:color w:val="0C0C0C"/>
          <w:sz w:val="24"/>
          <w:szCs w:val="24"/>
          <w:lang w:val="en-IN"/>
        </w:rPr>
        <w:t>After 6 h of serum starved condition, a s</w:t>
      </w:r>
      <w:r>
        <w:rPr>
          <w:rFonts w:ascii="Times New Roman" w:hAnsi="Times New Roman"/>
          <w:color w:val="0C0C0C"/>
          <w:sz w:val="24"/>
          <w:szCs w:val="24"/>
        </w:rPr>
        <w:t>cratch was made on the cell layer using a 100 µ</w:t>
      </w:r>
      <w:r>
        <w:rPr>
          <w:rFonts w:ascii="Times New Roman" w:hAnsi="Times New Roman"/>
          <w:color w:val="0C0C0C"/>
          <w:sz w:val="24"/>
          <w:szCs w:val="24"/>
          <w:lang w:val="en-IN"/>
        </w:rPr>
        <w:t>l</w:t>
      </w:r>
      <w:r>
        <w:rPr>
          <w:rFonts w:ascii="Times New Roman" w:hAnsi="Times New Roman"/>
          <w:color w:val="0C0C0C"/>
          <w:sz w:val="24"/>
          <w:szCs w:val="24"/>
        </w:rPr>
        <w:t xml:space="preserve"> sterile micropipette tip</w:t>
      </w:r>
      <w:r>
        <w:rPr>
          <w:rFonts w:ascii="Times New Roman" w:hAnsi="Times New Roman"/>
          <w:color w:val="0C0C0C"/>
          <w:sz w:val="24"/>
          <w:szCs w:val="24"/>
          <w:lang w:val="en-IN"/>
        </w:rPr>
        <w:t xml:space="preserve"> to create a wound.</w:t>
      </w:r>
      <w:r>
        <w:rPr>
          <w:rFonts w:ascii="Times New Roman" w:hAnsi="Times New Roman"/>
          <w:color w:val="0C0C0C"/>
          <w:sz w:val="24"/>
          <w:szCs w:val="24"/>
        </w:rPr>
        <w:t xml:space="preserve"> The cells were photographed using a phase-contrast microscope, to determine the wound width at time 0</w:t>
      </w:r>
      <w:r>
        <w:rPr>
          <w:rFonts w:ascii="Times New Roman" w:hAnsi="Times New Roman"/>
          <w:color w:val="0C0C0C"/>
          <w:sz w:val="24"/>
          <w:szCs w:val="24"/>
          <w:lang w:val="en-IN"/>
        </w:rPr>
        <w:t xml:space="preserve"> h</w:t>
      </w:r>
      <w:r>
        <w:rPr>
          <w:rFonts w:ascii="Times New Roman" w:hAnsi="Times New Roman"/>
          <w:color w:val="0C0C0C"/>
          <w:sz w:val="24"/>
          <w:szCs w:val="24"/>
        </w:rPr>
        <w:t>. The cultures were continued, and the cells were photographed again</w:t>
      </w:r>
      <w:r>
        <w:rPr>
          <w:rFonts w:ascii="Times New Roman" w:hAnsi="Times New Roman"/>
          <w:color w:val="0C0C0C"/>
          <w:sz w:val="24"/>
          <w:szCs w:val="24"/>
          <w:lang w:val="en-IN"/>
        </w:rPr>
        <w:t xml:space="preserve"> </w:t>
      </w:r>
      <w:r>
        <w:rPr>
          <w:rFonts w:ascii="Times New Roman" w:hAnsi="Times New Roman"/>
          <w:color w:val="0C0C0C"/>
          <w:sz w:val="24"/>
          <w:szCs w:val="24"/>
        </w:rPr>
        <w:t>after 24 h of wounding the cell layer. Wound healing was visualized by comparing photographs taken at 0 h with 24 h later and analyzed for the distance migrated by the leading edge of the wound at each time point in all the study groups.</w:t>
      </w:r>
      <w:r>
        <w:rPr>
          <w:rFonts w:ascii="Times New Roman" w:hAnsi="Times New Roman"/>
          <w:color w:val="0C0C0C"/>
          <w:sz w:val="24"/>
          <w:szCs w:val="24"/>
          <w:lang w:val="en-IN"/>
        </w:rPr>
        <w:t xml:space="preserve"> </w:t>
      </w:r>
      <w:r>
        <w:rPr>
          <w:rFonts w:ascii="Times New Roman" w:hAnsi="Times New Roman" w:eastAsia="MinionPro-Regular"/>
          <w:color w:val="0C0C0C"/>
          <w:sz w:val="24"/>
          <w:szCs w:val="24"/>
        </w:rPr>
        <w:t>The relative wound width (</w:t>
      </w:r>
      <w:r>
        <w:rPr>
          <w:rFonts w:ascii="Times New Roman" w:hAnsi="Times New Roman" w:eastAsia="MTGU"/>
          <w:color w:val="0C0C0C"/>
          <w:sz w:val="24"/>
          <w:szCs w:val="24"/>
        </w:rPr>
        <w:t>μ</w:t>
      </w:r>
      <w:r>
        <w:rPr>
          <w:rFonts w:ascii="Times New Roman" w:hAnsi="Times New Roman" w:eastAsia="MinionPro-Regular"/>
          <w:color w:val="0C0C0C"/>
          <w:sz w:val="24"/>
          <w:szCs w:val="24"/>
        </w:rPr>
        <w:t>m) was measured as wound</w:t>
      </w:r>
      <w:r>
        <w:rPr>
          <w:rFonts w:ascii="Times New Roman" w:hAnsi="Times New Roman" w:eastAsia="MinionPro-Regular"/>
          <w:color w:val="0C0C0C"/>
          <w:sz w:val="24"/>
          <w:szCs w:val="24"/>
          <w:lang w:val="en-IN"/>
        </w:rPr>
        <w:t xml:space="preserve"> </w:t>
      </w:r>
      <w:r>
        <w:rPr>
          <w:rFonts w:ascii="Times New Roman" w:hAnsi="Times New Roman" w:eastAsia="MinionPro-Regular"/>
          <w:color w:val="0C0C0C"/>
          <w:sz w:val="24"/>
          <w:szCs w:val="24"/>
        </w:rPr>
        <w:t>width at the time 24 h divided by wound width at time point 0 h.</w:t>
      </w:r>
      <w:r>
        <w:rPr>
          <w:rFonts w:ascii="Times New Roman" w:hAnsi="Times New Roman" w:eastAsia="MinionPro-Regular"/>
          <w:color w:val="0C0C0C"/>
          <w:sz w:val="24"/>
          <w:szCs w:val="24"/>
          <w:lang w:val="en-IN"/>
        </w:rPr>
        <w:t xml:space="preserve"> </w:t>
      </w:r>
      <w:r>
        <w:rPr>
          <w:rFonts w:ascii="Times New Roman" w:hAnsi="Times New Roman" w:eastAsia="MinionPro-Regular"/>
          <w:color w:val="0C0C0C"/>
          <w:sz w:val="24"/>
          <w:szCs w:val="24"/>
        </w:rPr>
        <w:t>The measurements were done by Software NIS Elements from</w:t>
      </w:r>
      <w:r>
        <w:rPr>
          <w:rFonts w:ascii="Times New Roman" w:hAnsi="Times New Roman" w:eastAsia="MinionPro-Regular"/>
          <w:color w:val="0C0C0C"/>
          <w:sz w:val="24"/>
          <w:szCs w:val="24"/>
          <w:lang w:val="en-IN"/>
        </w:rPr>
        <w:t xml:space="preserve"> </w:t>
      </w:r>
      <w:r>
        <w:rPr>
          <w:rFonts w:ascii="Times New Roman" w:hAnsi="Times New Roman" w:eastAsia="MinionPro-Regular"/>
          <w:color w:val="0C0C0C"/>
          <w:sz w:val="24"/>
          <w:szCs w:val="24"/>
        </w:rPr>
        <w:t xml:space="preserve">NIKON Eclipse Ti (Nikon Instruments Inc.). </w:t>
      </w:r>
    </w:p>
    <w:p>
      <w:pPr>
        <w:spacing w:before="120" w:beforeLines="50" w:after="120" w:afterLines="50" w:line="36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b/>
          <w:bCs/>
          <w:color w:val="000000" w:themeColor="text1"/>
          <w:sz w:val="24"/>
          <w:szCs w:val="24"/>
          <w:lang w:val="en-IN"/>
          <w14:textFill>
            <w14:solidFill>
              <w14:schemeClr w14:val="tx1"/>
            </w14:solidFill>
          </w14:textFill>
        </w:rPr>
        <w:t xml:space="preserve">Colony formation assay: </w:t>
      </w:r>
      <w:r>
        <w:rPr>
          <w:rFonts w:ascii="Times New Roman" w:hAnsi="Times New Roman" w:cs="Times New Roman"/>
          <w:color w:val="000000" w:themeColor="text1"/>
          <w:sz w:val="24"/>
          <w:szCs w:val="24"/>
          <w:lang w:val="en-IN"/>
          <w14:textFill>
            <w14:solidFill>
              <w14:schemeClr w14:val="tx1"/>
            </w14:solidFill>
          </w14:textFill>
        </w:rPr>
        <w:t>Control-transfected and HBx-CRISPR transfected hepatoma</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lang w:val="en-IN"/>
          <w14:textFill>
            <w14:solidFill>
              <w14:schemeClr w14:val="tx1"/>
            </w14:solidFill>
          </w14:textFill>
        </w:rPr>
        <w:t xml:space="preserve">cells </w:t>
      </w:r>
      <w:r>
        <w:rPr>
          <w:rFonts w:ascii="Times New Roman" w:hAnsi="Times New Roman"/>
          <w:color w:val="000000" w:themeColor="text1"/>
          <w:sz w:val="24"/>
          <w:szCs w:val="24"/>
          <w14:textFill>
            <w14:solidFill>
              <w14:schemeClr w14:val="tx1"/>
            </w14:solidFill>
          </w14:textFill>
        </w:rPr>
        <w:t>were plated in 6-well plates (500 cells/well) and incubated in</w:t>
      </w:r>
      <w:r>
        <w:rPr>
          <w:rFonts w:ascii="Times New Roman" w:hAnsi="Times New Roman"/>
          <w:color w:val="000000" w:themeColor="text1"/>
          <w:sz w:val="24"/>
          <w:szCs w:val="24"/>
          <w:lang w:val="en-IN"/>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complete medium for two weeks. Following fixation by</w:t>
      </w:r>
      <w:r>
        <w:rPr>
          <w:rFonts w:ascii="Times New Roman" w:hAnsi="Times New Roman"/>
          <w:color w:val="000000" w:themeColor="text1"/>
          <w:sz w:val="24"/>
          <w:szCs w:val="24"/>
          <w:lang w:val="en-IN"/>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4 % paraformaldehyde, cells were stained with 0.1 %</w:t>
      </w:r>
      <w:r>
        <w:rPr>
          <w:rFonts w:ascii="Times New Roman" w:hAnsi="Times New Roman"/>
          <w:color w:val="000000" w:themeColor="text1"/>
          <w:sz w:val="24"/>
          <w:szCs w:val="24"/>
          <w:lang w:val="en-IN"/>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crystal violet and stained colonies were counted</w:t>
      </w:r>
      <w:r>
        <w:rPr>
          <w:rFonts w:ascii="Times New Roman" w:hAnsi="Times New Roman"/>
          <w:color w:val="000000" w:themeColor="text1"/>
          <w:sz w:val="24"/>
          <w:szCs w:val="24"/>
          <w:lang w:val="en-IN"/>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under the microscope.</w:t>
      </w:r>
    </w:p>
    <w:p>
      <w:pPr>
        <w:autoSpaceDE w:val="0"/>
        <w:autoSpaceDN w:val="0"/>
        <w:adjustRightInd w:val="0"/>
        <w:spacing w:line="360" w:lineRule="auto"/>
        <w:jc w:val="both"/>
        <w:rPr>
          <w:rFonts w:ascii="Times New Roman" w:hAnsi="Times New Roman" w:cs="Times New Roman"/>
          <w:color w:val="000000" w:themeColor="text1"/>
          <w:sz w:val="24"/>
          <w:szCs w:val="24"/>
          <w:lang w:val="en-IN"/>
          <w14:textFill>
            <w14:solidFill>
              <w14:schemeClr w14:val="tx1"/>
            </w14:solidFill>
          </w14:textFill>
        </w:rPr>
      </w:pPr>
      <w:r>
        <w:rPr>
          <w:rFonts w:ascii="Times New Roman" w:hAnsi="Times New Roman"/>
          <w:b/>
          <w:bCs/>
          <w:color w:val="000000" w:themeColor="text1"/>
          <w:sz w:val="24"/>
          <w:szCs w:val="24"/>
          <w:lang w:val="en-IN"/>
          <w14:textFill>
            <w14:solidFill>
              <w14:schemeClr w14:val="tx1"/>
            </w14:solidFill>
          </w14:textFill>
        </w:rPr>
        <w:t xml:space="preserve">ELISA Assay: </w:t>
      </w:r>
      <w:r>
        <w:rPr>
          <w:rFonts w:ascii="Times New Roman" w:hAnsi="Times New Roman" w:cs="Times New Roman"/>
          <w:color w:val="000000" w:themeColor="text1"/>
          <w:sz w:val="24"/>
          <w:szCs w:val="24"/>
          <w:lang w:val="en-IN"/>
          <w14:textFill>
            <w14:solidFill>
              <w14:schemeClr w14:val="tx1"/>
            </w14:solidFill>
          </w14:textFill>
        </w:rPr>
        <w:t>HepG2.2.15 and HepG2-HBV cells</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lang w:val="en-IN"/>
          <w14:textFill>
            <w14:solidFill>
              <w14:schemeClr w14:val="tx1"/>
            </w14:solidFill>
          </w14:textFill>
        </w:rPr>
        <w:t>Control-transfected and HBx-CRISPR transfected</w:t>
      </w:r>
      <w:r>
        <w:rPr>
          <w:rFonts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lang w:val="en-IN"/>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were cultured with serum-free medium </w:t>
      </w:r>
      <w:r>
        <w:rPr>
          <w:rFonts w:ascii="Times New Roman" w:hAnsi="Times New Roman" w:cs="Times New Roman"/>
          <w:color w:val="000000" w:themeColor="text1"/>
          <w:sz w:val="24"/>
          <w:szCs w:val="24"/>
          <w:lang w:val="en-IN"/>
          <w14:textFill>
            <w14:solidFill>
              <w14:schemeClr w14:val="tx1"/>
            </w14:solidFill>
          </w14:textFill>
        </w:rPr>
        <w:t xml:space="preserve">at different time points. </w:t>
      </w:r>
      <w:r>
        <w:rPr>
          <w:rFonts w:ascii="Times New Roman" w:hAnsi="Times New Roman" w:cs="Times New Roman"/>
          <w:color w:val="000000" w:themeColor="text1"/>
          <w:sz w:val="24"/>
          <w:szCs w:val="24"/>
          <w14:textFill>
            <w14:solidFill>
              <w14:schemeClr w14:val="tx1"/>
            </w14:solidFill>
          </w14:textFill>
        </w:rPr>
        <w:t xml:space="preserve">The supernatant was collected and ELISA </w:t>
      </w:r>
      <w:r>
        <w:rPr>
          <w:rFonts w:ascii="Times New Roman" w:hAnsi="Times New Roman" w:cs="Times New Roman"/>
          <w:color w:val="000000" w:themeColor="text1"/>
          <w:sz w:val="24"/>
          <w:szCs w:val="24"/>
          <w:lang w:val="en-IN"/>
          <w14:textFill>
            <w14:solidFill>
              <w14:schemeClr w14:val="tx1"/>
            </w14:solidFill>
          </w14:textFill>
        </w:rPr>
        <w:t>for HBsAg</w:t>
      </w:r>
      <w:r>
        <w:rPr>
          <w:rFonts w:ascii="Times New Roman" w:hAnsi="Times New Roman" w:cs="Times New Roman"/>
          <w:color w:val="000000" w:themeColor="text1"/>
          <w:sz w:val="24"/>
          <w:szCs w:val="24"/>
          <w14:textFill>
            <w14:solidFill>
              <w14:schemeClr w14:val="tx1"/>
            </w14:solidFill>
          </w14:textFill>
        </w:rPr>
        <w:t xml:space="preserve"> w</w:t>
      </w:r>
      <w:r>
        <w:rPr>
          <w:rFonts w:ascii="Times New Roman" w:hAnsi="Times New Roman" w:cs="Times New Roman"/>
          <w:color w:val="000000" w:themeColor="text1"/>
          <w:sz w:val="24"/>
          <w:szCs w:val="24"/>
          <w:lang w:val="en-IN"/>
          <w14:textFill>
            <w14:solidFill>
              <w14:schemeClr w14:val="tx1"/>
            </w14:solidFill>
          </w14:textFill>
        </w:rPr>
        <w:t>ere</w:t>
      </w:r>
      <w:r>
        <w:rPr>
          <w:rFonts w:ascii="Times New Roman" w:hAnsi="Times New Roman" w:cs="Times New Roman"/>
          <w:color w:val="000000" w:themeColor="text1"/>
          <w:sz w:val="24"/>
          <w:szCs w:val="24"/>
          <w14:textFill>
            <w14:solidFill>
              <w14:schemeClr w14:val="tx1"/>
            </w14:solidFill>
          </w14:textFill>
        </w:rPr>
        <w:t xml:space="preserve"> performed using ELISA kits </w:t>
      </w:r>
      <w:r>
        <w:rPr>
          <w:rFonts w:ascii="Times New Roman" w:hAnsi="Times New Roman" w:cs="Times New Roman"/>
          <w:color w:val="000000" w:themeColor="text1"/>
          <w:sz w:val="24"/>
          <w:szCs w:val="24"/>
          <w:lang w:val="en-IN"/>
          <w14:textFill>
            <w14:solidFill>
              <w14:schemeClr w14:val="tx1"/>
            </w14:solidFill>
          </w14:textFill>
        </w:rPr>
        <w:t xml:space="preserve">(Thermofisher Scientific) </w:t>
      </w:r>
      <w:r>
        <w:rPr>
          <w:rFonts w:ascii="Times New Roman" w:hAnsi="Times New Roman" w:cs="Times New Roman"/>
          <w:color w:val="000000" w:themeColor="text1"/>
          <w:sz w:val="24"/>
          <w:szCs w:val="24"/>
          <w14:textFill>
            <w14:solidFill>
              <w14:schemeClr w14:val="tx1"/>
            </w14:solidFill>
          </w14:textFill>
        </w:rPr>
        <w:t xml:space="preserve">as per manufacturer’s </w:t>
      </w:r>
      <w:r>
        <w:rPr>
          <w:rFonts w:ascii="Times New Roman" w:hAnsi="Times New Roman" w:cs="Times New Roman"/>
          <w:color w:val="000000" w:themeColor="text1"/>
          <w:sz w:val="24"/>
          <w:szCs w:val="24"/>
          <w:lang w:val="en-IN"/>
          <w14:textFill>
            <w14:solidFill>
              <w14:schemeClr w14:val="tx1"/>
            </w14:solidFill>
          </w14:textFill>
        </w:rPr>
        <w:t xml:space="preserve">protocol. The optical density values were measured at 450 nm wavelength using microplate reader </w:t>
      </w:r>
      <w:r>
        <w:rPr>
          <w:rFonts w:ascii="Times New Roman" w:hAnsi="Times New Roman" w:cs="Times New Roman"/>
          <w:color w:val="000000" w:themeColor="text1"/>
          <w:sz w:val="24"/>
          <w:szCs w:val="24"/>
          <w14:textFill>
            <w14:solidFill>
              <w14:schemeClr w14:val="tx1"/>
            </w14:solidFill>
          </w14:textFill>
        </w:rPr>
        <w:t>(Synergy /H1</w:t>
      </w:r>
      <w:r>
        <w:rPr>
          <w:rFonts w:ascii="Times New Roman" w:hAnsi="Times New Roman" w:cs="Times New Roman"/>
          <w:color w:val="000000" w:themeColor="text1"/>
          <w:sz w:val="24"/>
          <w:szCs w:val="24"/>
          <w:lang w:val="en-IN"/>
          <w14:textFill>
            <w14:solidFill>
              <w14:schemeClr w14:val="tx1"/>
            </w14:solidFill>
          </w14:textFill>
        </w:rPr>
        <w:t xml:space="preserve"> Hybrid Multimode Plate Reader</w:t>
      </w:r>
      <w:r>
        <w:rPr>
          <w:rFonts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lang w:val="en-IN"/>
          <w14:textFill>
            <w14:solidFill>
              <w14:schemeClr w14:val="tx1"/>
            </w14:solidFill>
          </w14:textFill>
        </w:rPr>
        <w:t xml:space="preserve"> </w:t>
      </w:r>
    </w:p>
    <w:p>
      <w:pPr>
        <w:autoSpaceDE w:val="0"/>
        <w:autoSpaceDN w:val="0"/>
        <w:adjustRightInd w:val="0"/>
        <w:spacing w:line="360" w:lineRule="auto"/>
        <w:jc w:val="both"/>
        <w:rPr>
          <w:rFonts w:ascii="Times New Roman" w:hAnsi="Times New Roman" w:cs="Times New Roman"/>
          <w:color w:val="000000" w:themeColor="text1"/>
          <w:sz w:val="24"/>
          <w:szCs w:val="24"/>
          <w:lang w:val="en-IN"/>
          <w14:textFill>
            <w14:solidFill>
              <w14:schemeClr w14:val="tx1"/>
            </w14:solidFill>
          </w14:textFill>
        </w:rPr>
      </w:pPr>
      <w:r>
        <w:rPr>
          <w:rFonts w:ascii="Times New Roman" w:hAnsi="Times New Roman" w:cs="Times New Roman"/>
          <w:b/>
          <w:bCs/>
          <w:color w:val="000000" w:themeColor="text1"/>
          <w:sz w:val="24"/>
          <w:szCs w:val="24"/>
          <w:lang w:val="en-IN"/>
          <w14:textFill>
            <w14:solidFill>
              <w14:schemeClr w14:val="tx1"/>
            </w14:solidFill>
          </w14:textFill>
        </w:rPr>
        <w:t>Immuno</w:t>
      </w:r>
      <w:r>
        <w:rPr>
          <w:rFonts w:ascii="Times New Roman" w:hAnsi="Times New Roman" w:cs="Times New Roman"/>
          <w:b/>
          <w:bCs/>
          <w:color w:val="000000" w:themeColor="text1"/>
          <w:sz w:val="24"/>
          <w:szCs w:val="24"/>
          <w14:textFill>
            <w14:solidFill>
              <w14:schemeClr w14:val="tx1"/>
            </w14:solidFill>
          </w14:textFill>
        </w:rPr>
        <w:t>phenotyping</w:t>
      </w:r>
      <w:r>
        <w:rPr>
          <w:rFonts w:ascii="Times New Roman" w:hAnsi="Times New Roman" w:cs="Times New Roman"/>
          <w:b/>
          <w:bCs/>
          <w:color w:val="000000" w:themeColor="text1"/>
          <w:sz w:val="24"/>
          <w:szCs w:val="24"/>
          <w:lang w:val="en-IN"/>
          <w14:textFill>
            <w14:solidFill>
              <w14:schemeClr w14:val="tx1"/>
            </w14:solidFill>
          </w14:textFill>
        </w:rPr>
        <w:t xml:space="preserve"> Assay</w:t>
      </w:r>
      <w:r>
        <w:rPr>
          <w:rFonts w:ascii="Times New Roman" w:hAnsi="Times New Roman" w:cs="Times New Roman"/>
          <w:b/>
          <w:bCs/>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lang w:val="en-IN"/>
          <w14:textFill>
            <w14:solidFill>
              <w14:schemeClr w14:val="tx1"/>
            </w14:solidFill>
          </w14:textFill>
        </w:rPr>
        <w:t>Control-transfected and HBx-CRISPR transfected hepatoma cells</w:t>
      </w:r>
      <w:r>
        <w:rPr>
          <w:rFonts w:ascii="Times New Roman" w:hAnsi="Times New Roman" w:cs="Times New Roman"/>
          <w:color w:val="000000" w:themeColor="text1"/>
          <w:sz w:val="24"/>
          <w:szCs w:val="24"/>
          <w14:textFill>
            <w14:solidFill>
              <w14:schemeClr w14:val="tx1"/>
            </w14:solidFill>
          </w14:textFill>
        </w:rPr>
        <w:t xml:space="preserve"> were fixed with permeabilizing solution containing Triton-X and ethyl alcohol for 20 min and incubated with primary antibodies CD133, VIM, and CDH1 for an hour followed by secondary antibody FITC, at 4</w:t>
      </w:r>
      <w:r>
        <w:rPr>
          <w:rFonts w:hint="eastAsia" w:ascii="Times New Roman" w:hAnsi="Times New Roman" w:cs="Times New Roman"/>
          <w:color w:val="000000" w:themeColor="text1"/>
          <w:sz w:val="24"/>
          <w:szCs w:val="24"/>
          <w:vertAlign w:val="superscript"/>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C in the dark for 45 min and then analyzed using a flow cytometer (BD FACs Calibur). All experiments were performed in triplicates.</w:t>
      </w:r>
      <w:r>
        <w:rPr>
          <w:rFonts w:ascii="Times New Roman" w:hAnsi="Times New Roman" w:cs="Times New Roman"/>
          <w:color w:val="000000" w:themeColor="text1"/>
          <w:sz w:val="24"/>
          <w:szCs w:val="24"/>
          <w:lang w:val="en-IN"/>
          <w14:textFill>
            <w14:solidFill>
              <w14:schemeClr w14:val="tx1"/>
            </w14:solidFill>
          </w14:textFill>
        </w:rPr>
        <w:t xml:space="preserve"> </w:t>
      </w:r>
    </w:p>
    <w:p>
      <w:pPr>
        <w:autoSpaceDE w:val="0"/>
        <w:autoSpaceDN w:val="0"/>
        <w:adjustRightInd w:val="0"/>
        <w:spacing w:line="360" w:lineRule="auto"/>
        <w:jc w:val="both"/>
        <w:rPr>
          <w:rFonts w:ascii="Times New Roman" w:hAnsi="Times New Roman"/>
          <w:color w:val="000000" w:themeColor="text1"/>
          <w:sz w:val="24"/>
          <w:szCs w:val="24"/>
          <w:lang w:val="en-IN"/>
          <w14:textFill>
            <w14:solidFill>
              <w14:schemeClr w14:val="tx1"/>
            </w14:solidFill>
          </w14:textFill>
        </w:rPr>
      </w:pPr>
      <w:r>
        <w:rPr>
          <w:rFonts w:ascii="Times New Roman" w:hAnsi="Times New Roman"/>
          <w:b/>
          <w:bCs/>
          <w:color w:val="000000" w:themeColor="text1"/>
          <w:sz w:val="24"/>
          <w:szCs w:val="24"/>
          <w:lang w:val="en-IN"/>
          <w14:textFill>
            <w14:solidFill>
              <w14:schemeClr w14:val="tx1"/>
            </w14:solidFill>
          </w14:textFill>
        </w:rPr>
        <w:t>Quantitative RT-PCR (qRT-PCR) analysis:</w:t>
      </w:r>
      <w:r>
        <w:rPr>
          <w:rFonts w:ascii="Times New Roman" w:hAnsi="Times New Roman"/>
          <w:color w:val="000000" w:themeColor="text1"/>
          <w:sz w:val="24"/>
          <w:szCs w:val="24"/>
          <w:lang w:val="en-IN"/>
          <w14:textFill>
            <w14:solidFill>
              <w14:schemeClr w14:val="tx1"/>
            </w14:solidFill>
          </w14:textFill>
        </w:rPr>
        <w:t xml:space="preserve"> </w:t>
      </w:r>
      <w:r>
        <w:rPr>
          <w:rFonts w:ascii="Times New Roman" w:hAnsi="Times New Roman" w:cs="Times New Roman"/>
          <w:color w:val="000000" w:themeColor="text1"/>
          <w:sz w:val="24"/>
          <w:szCs w:val="24"/>
          <w:lang w:val="en-IN"/>
          <w14:textFill>
            <w14:solidFill>
              <w14:schemeClr w14:val="tx1"/>
            </w14:solidFill>
          </w14:textFill>
        </w:rPr>
        <w:t>Control-transfected and HBx-CRISPR transfected hepatoma</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lang w:val="en-IN"/>
          <w14:textFill>
            <w14:solidFill>
              <w14:schemeClr w14:val="tx1"/>
            </w14:solidFill>
          </w14:textFill>
        </w:rPr>
        <w:t>cells were harvested by using trypsin-EDTA solution (0.25%). Total RNA was isolated by using Trizol method and quantified at 260/280 nm with Thermo Scientific Nanodrop 2000 Spectrophotometer. A260 nm/A280 nm between 1.90 and 2 was considered for cDNA preparation. cDNA was synthesized from 1µg of RNA using reverse transcriptase (Thermo Scientific Verso cDNA synthesis kit) according to manufacturer instructions. Quantitative PCR was carried with SYBR green PCR master mix (Fermentas Life Sciences) using the ViiA7 instrument system (Applied Biosystems, USA). The following cycling parameters were used: start at 95℃ for 5 min, denaturing at 95℃ for 30s, annealing at 60℃ for 30s, elongation at 72℃ for 30s, and a final 5 min extra extension at the end of the reaction and repeated for 40 amplification cycles. The primer pairs used in the study are given in Table S1.</w:t>
      </w:r>
    </w:p>
    <w:p>
      <w:pPr>
        <w:spacing w:before="120" w:beforeLines="50" w:line="360" w:lineRule="auto"/>
        <w:jc w:val="both"/>
        <w:rPr>
          <w:rFonts w:ascii="Times New Roman" w:hAnsi="Times New Roman"/>
          <w:color w:val="000000" w:themeColor="text1"/>
          <w:sz w:val="24"/>
          <w:szCs w:val="24"/>
          <w:lang w:val="en-IN"/>
          <w14:textFill>
            <w14:solidFill>
              <w14:schemeClr w14:val="tx1"/>
            </w14:solidFill>
          </w14:textFill>
        </w:rPr>
      </w:pPr>
      <w:r>
        <w:rPr>
          <w:rFonts w:ascii="Times New Roman" w:hAnsi="Times New Roman"/>
          <w:b/>
          <w:bCs/>
          <w:color w:val="000000" w:themeColor="text1"/>
          <w:sz w:val="24"/>
          <w:szCs w:val="24"/>
          <w:lang w:val="en-IN"/>
          <w14:textFill>
            <w14:solidFill>
              <w14:schemeClr w14:val="tx1"/>
            </w14:solidFill>
          </w14:textFill>
        </w:rPr>
        <w:t>RNA Seq Studies:</w:t>
      </w:r>
      <w:r>
        <w:rPr>
          <w:rFonts w:ascii="Times New Roman" w:hAnsi="Times New Roman"/>
          <w:b/>
          <w:bCs/>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lang w:val="en-IN"/>
          <w14:textFill>
            <w14:solidFill>
              <w14:schemeClr w14:val="tx1"/>
            </w14:solidFill>
          </w14:textFill>
        </w:rPr>
        <w:t>Control-transfected and HBx-CRISPR transfected hepatoma</w:t>
      </w:r>
      <w:r>
        <w:rPr>
          <w:rFonts w:ascii="Times New Roman" w:hAnsi="Times New Roman" w:cs="Times New Roman"/>
          <w:color w:val="000000" w:themeColor="text1"/>
          <w:sz w:val="24"/>
          <w:szCs w:val="24"/>
          <w14:textFill>
            <w14:solidFill>
              <w14:schemeClr w14:val="tx1"/>
            </w14:solidFill>
          </w14:textFill>
        </w:rPr>
        <w:t xml:space="preserve"> c</w:t>
      </w:r>
      <w:r>
        <w:rPr>
          <w:rFonts w:ascii="Times New Roman" w:hAnsi="Times New Roman"/>
          <w:color w:val="000000" w:themeColor="text1"/>
          <w:sz w:val="24"/>
          <w:szCs w:val="24"/>
          <w14:textFill>
            <w14:solidFill>
              <w14:schemeClr w14:val="tx1"/>
            </w14:solidFill>
          </w14:textFill>
        </w:rPr>
        <w:t>ells were harvested and proceeded for RNA extraction. The RNA quality was checked by nanodrop. Two independent samples for each treatment were collected and their RNA expression profiles were analyzed by Illumina NextSeq Platform. For transcriptomics analysis all processing of RNA samples (cDNA synthesis and labelling hybridization) was performed by DNA Xperts Pvt Ltd. The Illumina transcriptome data was mapped to the reference genome GRCh37.p13 (accession no. GCF_000001405.25). The edgeR software was used for calculating transcript abundance which is represented as CPM (Counts per minute). The heatmaps were constructed using the log-transformed and normalized value of genes based on Pearson uncentered correlation distance and average linkage method. Significant differentially expressed genes (DEGs) were identified and enriched using gene set enrichment analysis (GSEA) website for pathways in Kyoto Encyclopedia of Genes and Genomes (KEGG), Reactome, GSEA hallmarks, Wikipathway, and Gene Ontology (GO) biological processes (BP) and molecular function (MF)  (False Discovery Rate (FDR) &lt;0.05).</w:t>
      </w:r>
    </w:p>
    <w:p>
      <w:pPr>
        <w:spacing w:before="120" w:beforeLines="50" w:after="120" w:afterLines="50" w:line="360" w:lineRule="auto"/>
        <w:jc w:val="both"/>
        <w:rPr>
          <w:rFonts w:ascii="Times New Roman" w:hAnsi="Times New Roman" w:eastAsia="MinionPro-Regular"/>
          <w:color w:val="0C0C0C"/>
          <w:sz w:val="24"/>
          <w:szCs w:val="24"/>
        </w:rPr>
      </w:pPr>
      <w:r>
        <w:rPr>
          <w:rFonts w:ascii="Times New Roman" w:hAnsi="Times New Roman"/>
          <w:b/>
          <w:bCs/>
          <w:color w:val="0C0C0C"/>
          <w:sz w:val="24"/>
          <w:lang w:val="en-IN"/>
        </w:rPr>
        <w:t>Hanging drop cultures:</w:t>
      </w:r>
      <w:r>
        <w:rPr>
          <w:rFonts w:ascii="Times New Roman" w:hAnsi="Times New Roman"/>
          <w:color w:val="0C0C0C"/>
          <w:sz w:val="24"/>
          <w:lang w:val="en-IN"/>
        </w:rPr>
        <w:t xml:space="preserve"> </w:t>
      </w:r>
      <w:r>
        <w:rPr>
          <w:rFonts w:ascii="Times New Roman" w:hAnsi="Times New Roman" w:cs="Times New Roman"/>
          <w:sz w:val="24"/>
          <w:szCs w:val="24"/>
          <w:lang w:val="en-IN"/>
        </w:rPr>
        <w:t>Control-transfected and HBx-CRISPR transfected hepatoma</w:t>
      </w:r>
      <w:r>
        <w:rPr>
          <w:rFonts w:ascii="Times New Roman" w:hAnsi="Times New Roman" w:cs="Times New Roman"/>
          <w:sz w:val="24"/>
          <w:szCs w:val="24"/>
        </w:rPr>
        <w:t xml:space="preserve"> </w:t>
      </w:r>
      <w:r>
        <w:rPr>
          <w:rFonts w:ascii="Times New Roman" w:hAnsi="Times New Roman"/>
          <w:color w:val="0C0C0C"/>
          <w:sz w:val="24"/>
          <w:lang w:val="en-IN"/>
        </w:rPr>
        <w:t>cells were seeded in a hanging-drop plate at a concentration of 1000 cells/μl in growth medium. Images of drops were taken at 24 and 72 h post-treatment. Tumor spheroid adhesion property was scored on a 0–2 scale, with a 0 score  no spheroid formation, a 1 means formation of a loose spheroid, and a 2 signifies compact spheroid formation. For migration assessment, migration</w:t>
      </w:r>
      <w:r>
        <w:rPr>
          <w:rFonts w:ascii="Times New Roman" w:hAnsi="Times New Roman"/>
          <w:color w:val="0C0C0C"/>
          <w:sz w:val="24"/>
          <w:szCs w:val="24"/>
        </w:rPr>
        <w:t xml:space="preserve"> was visualized by comparing photographs taken at 0 h with 24 h</w:t>
      </w:r>
      <w:r>
        <w:rPr>
          <w:rFonts w:ascii="Times New Roman" w:hAnsi="Times New Roman"/>
          <w:color w:val="0C0C0C"/>
          <w:sz w:val="24"/>
          <w:szCs w:val="24"/>
          <w:lang w:val="en-IN"/>
        </w:rPr>
        <w:t xml:space="preserve"> and 72 h</w:t>
      </w:r>
      <w:r>
        <w:rPr>
          <w:rFonts w:ascii="Times New Roman" w:hAnsi="Times New Roman"/>
          <w:color w:val="0C0C0C"/>
          <w:sz w:val="24"/>
          <w:szCs w:val="24"/>
        </w:rPr>
        <w:t xml:space="preserve"> later and analyzed for the distance migrated by </w:t>
      </w:r>
      <w:r>
        <w:rPr>
          <w:rFonts w:ascii="Times New Roman" w:hAnsi="Times New Roman"/>
          <w:color w:val="0C0C0C"/>
          <w:sz w:val="24"/>
          <w:szCs w:val="24"/>
          <w:lang w:val="en-IN"/>
        </w:rPr>
        <w:t>cells to aggregate</w:t>
      </w:r>
      <w:r>
        <w:rPr>
          <w:rFonts w:ascii="Times New Roman" w:hAnsi="Times New Roman"/>
          <w:color w:val="0C0C0C"/>
          <w:sz w:val="24"/>
          <w:szCs w:val="24"/>
        </w:rPr>
        <w:t xml:space="preserve"> at each time point in all the study groups.</w:t>
      </w:r>
      <w:r>
        <w:rPr>
          <w:rFonts w:ascii="Times New Roman" w:hAnsi="Times New Roman"/>
          <w:color w:val="0C0C0C"/>
          <w:sz w:val="24"/>
          <w:szCs w:val="24"/>
          <w:lang w:val="en-IN"/>
        </w:rPr>
        <w:t xml:space="preserve"> </w:t>
      </w:r>
      <w:r>
        <w:rPr>
          <w:rFonts w:ascii="Times New Roman" w:hAnsi="Times New Roman" w:eastAsia="MinionPro-Regular"/>
          <w:color w:val="0C0C0C"/>
          <w:sz w:val="24"/>
          <w:szCs w:val="24"/>
        </w:rPr>
        <w:t xml:space="preserve">The relative </w:t>
      </w:r>
      <w:r>
        <w:rPr>
          <w:rFonts w:ascii="Times New Roman" w:hAnsi="Times New Roman" w:eastAsia="MinionPro-Regular"/>
          <w:color w:val="0C0C0C"/>
          <w:sz w:val="24"/>
          <w:szCs w:val="24"/>
          <w:lang w:val="en-IN"/>
        </w:rPr>
        <w:t>migration percentage</w:t>
      </w:r>
      <w:r>
        <w:rPr>
          <w:rFonts w:ascii="Times New Roman" w:hAnsi="Times New Roman" w:eastAsia="MinionPro-Regular"/>
          <w:color w:val="0C0C0C"/>
          <w:sz w:val="24"/>
          <w:szCs w:val="24"/>
        </w:rPr>
        <w:t xml:space="preserve"> was measured as </w:t>
      </w:r>
      <w:r>
        <w:rPr>
          <w:rFonts w:ascii="Times New Roman" w:hAnsi="Times New Roman" w:eastAsia="MinionPro-Regular"/>
          <w:color w:val="0C0C0C"/>
          <w:sz w:val="24"/>
          <w:szCs w:val="24"/>
          <w:lang w:val="en-IN"/>
        </w:rPr>
        <w:t>migrated cell area</w:t>
      </w:r>
      <w:r>
        <w:rPr>
          <w:rFonts w:ascii="Times New Roman" w:hAnsi="Times New Roman" w:eastAsia="MinionPro-Regular"/>
          <w:color w:val="0C0C0C"/>
          <w:sz w:val="24"/>
          <w:szCs w:val="24"/>
        </w:rPr>
        <w:t xml:space="preserve"> at the time 24 h</w:t>
      </w:r>
      <w:r>
        <w:rPr>
          <w:rFonts w:ascii="Times New Roman" w:hAnsi="Times New Roman" w:eastAsia="MinionPro-Regular"/>
          <w:color w:val="0C0C0C"/>
          <w:sz w:val="24"/>
          <w:szCs w:val="24"/>
          <w:lang w:val="en-IN"/>
        </w:rPr>
        <w:t xml:space="preserve"> and 72 h</w:t>
      </w:r>
      <w:r>
        <w:rPr>
          <w:rFonts w:ascii="Times New Roman" w:hAnsi="Times New Roman" w:eastAsia="MinionPro-Regular"/>
          <w:color w:val="0C0C0C"/>
          <w:sz w:val="24"/>
          <w:szCs w:val="24"/>
        </w:rPr>
        <w:t xml:space="preserve"> divided by </w:t>
      </w:r>
      <w:r>
        <w:rPr>
          <w:rFonts w:ascii="Times New Roman" w:hAnsi="Times New Roman" w:eastAsia="MinionPro-Regular"/>
          <w:color w:val="0C0C0C"/>
          <w:sz w:val="24"/>
          <w:szCs w:val="24"/>
          <w:lang w:val="en-IN"/>
        </w:rPr>
        <w:t>total area covered by seeded cell</w:t>
      </w:r>
      <w:r>
        <w:rPr>
          <w:rFonts w:ascii="Times New Roman" w:hAnsi="Times New Roman" w:eastAsia="MinionPro-Regular"/>
          <w:color w:val="0C0C0C"/>
          <w:sz w:val="24"/>
          <w:szCs w:val="24"/>
        </w:rPr>
        <w:t xml:space="preserve"> at time point 0 h. The measurements were done by Software NIS Elements from</w:t>
      </w:r>
      <w:r>
        <w:rPr>
          <w:rFonts w:ascii="Times New Roman" w:hAnsi="Times New Roman" w:eastAsia="MinionPro-Regular"/>
          <w:color w:val="0C0C0C"/>
          <w:sz w:val="24"/>
          <w:szCs w:val="24"/>
          <w:lang w:val="en-IN"/>
        </w:rPr>
        <w:t xml:space="preserve"> </w:t>
      </w:r>
      <w:r>
        <w:rPr>
          <w:rFonts w:ascii="Times New Roman" w:hAnsi="Times New Roman" w:eastAsia="MinionPro-Regular"/>
          <w:color w:val="0C0C0C"/>
          <w:sz w:val="24"/>
          <w:szCs w:val="24"/>
        </w:rPr>
        <w:t xml:space="preserve">NIKON Eclipse Ti and final assessment done with the help of ImageJ software. The unit for measurement was </w:t>
      </w:r>
      <w:r>
        <w:rPr>
          <w:rFonts w:ascii="Times New Roman" w:hAnsi="Times New Roman" w:eastAsia="MTGU"/>
          <w:color w:val="0C0C0C"/>
          <w:sz w:val="24"/>
          <w:szCs w:val="24"/>
        </w:rPr>
        <w:t>μ</w:t>
      </w:r>
      <w:r>
        <w:rPr>
          <w:rFonts w:ascii="Times New Roman" w:hAnsi="Times New Roman" w:eastAsia="MinionPro-Regular"/>
          <w:color w:val="0C0C0C"/>
          <w:sz w:val="24"/>
          <w:szCs w:val="24"/>
        </w:rPr>
        <w:t xml:space="preserve">m. </w:t>
      </w:r>
    </w:p>
    <w:p>
      <w:pPr>
        <w:autoSpaceDE w:val="0"/>
        <w:autoSpaceDN w:val="0"/>
        <w:adjustRightInd w:val="0"/>
        <w:spacing w:before="120" w:beforeLines="50" w:after="120" w:afterLines="50" w:line="360" w:lineRule="auto"/>
        <w:jc w:val="both"/>
        <w:rPr>
          <w:rFonts w:ascii="Times New Roman" w:hAnsi="Times New Roman"/>
          <w:b/>
          <w:color w:val="000000" w:themeColor="text1"/>
          <w:sz w:val="24"/>
          <w:szCs w:val="24"/>
          <w:lang w:val="en-IN"/>
          <w14:textFill>
            <w14:solidFill>
              <w14:schemeClr w14:val="tx1"/>
            </w14:solidFill>
          </w14:textFill>
        </w:rPr>
      </w:pPr>
      <w:r>
        <w:rPr>
          <w:rFonts w:ascii="Times New Roman" w:hAnsi="Times New Roman"/>
          <w:b/>
          <w:color w:val="000000" w:themeColor="text1"/>
          <w:sz w:val="24"/>
          <w:szCs w:val="24"/>
          <w:lang w:val="en-IN"/>
          <w14:textFill>
            <w14:solidFill>
              <w14:schemeClr w14:val="tx1"/>
            </w14:solidFill>
          </w14:textFill>
        </w:rPr>
        <w:t>Results</w:t>
      </w:r>
    </w:p>
    <w:p>
      <w:pPr>
        <w:autoSpaceDE w:val="0"/>
        <w:autoSpaceDN w:val="0"/>
        <w:adjustRightInd w:val="0"/>
        <w:spacing w:before="120" w:beforeLines="50" w:after="120" w:afterLines="5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b/>
          <w:color w:val="000000" w:themeColor="text1"/>
          <w:sz w:val="24"/>
          <w:szCs w:val="24"/>
          <w:lang w:val="en-IN"/>
          <w14:textFill>
            <w14:solidFill>
              <w14:schemeClr w14:val="tx1"/>
            </w14:solidFill>
          </w14:textFill>
        </w:rPr>
        <w:t>HBx knock</w:t>
      </w:r>
      <w:r>
        <w:rPr>
          <w:rFonts w:ascii="Times New Roman" w:hAnsi="Times New Roman"/>
          <w:b/>
          <w:color w:val="000000" w:themeColor="text1"/>
          <w:sz w:val="24"/>
          <w:szCs w:val="24"/>
          <w14:textFill>
            <w14:solidFill>
              <w14:schemeClr w14:val="tx1"/>
            </w14:solidFill>
          </w14:textFill>
        </w:rPr>
        <w:t>down resulted in downregulation of genes significantly associated with cell proliferation and stemness</w:t>
      </w:r>
      <w:r>
        <w:rPr>
          <w:rFonts w:ascii="Times New Roman" w:hAnsi="Times New Roman"/>
          <w:b/>
          <w:color w:val="000000" w:themeColor="text1"/>
          <w:sz w:val="24"/>
          <w:szCs w:val="24"/>
          <w:lang w:val="en-US"/>
          <w14:textFill>
            <w14:solidFill>
              <w14:schemeClr w14:val="tx1"/>
            </w14:solidFill>
          </w14:textFill>
        </w:rPr>
        <w:t xml:space="preserve"> (contd.): </w:t>
      </w:r>
      <w:r>
        <w:rPr>
          <w:rFonts w:ascii="Times New Roman" w:hAnsi="Times New Roman" w:cs="Times New Roman"/>
          <w:color w:val="000000" w:themeColor="text1"/>
          <w:sz w:val="24"/>
          <w:szCs w:val="24"/>
          <w14:textFill>
            <w14:solidFill>
              <w14:schemeClr w14:val="tx1"/>
            </w14:solidFill>
          </w14:textFill>
        </w:rPr>
        <w:t>The top downregulated genes were associated with metabolism (UGT1A9, DPYS, LDHB), histone modifications (ISY1-RAB43, H2AW, H2BU1), viral infection (RPL17-C18orf32), cellular processes (S100A6, CHI3L1, ADAMTS1, VIM), and signal transduction (IRS4, CD81, PTPN13, CDCA7L) (Fig S4 and Table S2).</w:t>
      </w:r>
    </w:p>
    <w:p>
      <w:pPr>
        <w:autoSpaceDE w:val="0"/>
        <w:autoSpaceDN w:val="0"/>
        <w:adjustRightInd w:val="0"/>
        <w:spacing w:before="120" w:beforeLines="50" w:after="120" w:afterLines="50" w:line="36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The Gene ontology analysis showed that the significantly downregulated genes had DNA, kinase, and transcription factor binding activity and were mainly components of the plasma membrane, golgi apparatus, and endoplasmic reticulum. The upregulated genes were not significantly enriched for any GOMF (</w:t>
      </w:r>
      <w:r>
        <w:rPr>
          <w:rFonts w:ascii="Times New Roman" w:hAnsi="Times New Roman"/>
          <w:b/>
          <w:bCs/>
          <w:color w:val="000000" w:themeColor="text1"/>
          <w:sz w:val="24"/>
          <w:szCs w:val="24"/>
          <w14:textFill>
            <w14:solidFill>
              <w14:schemeClr w14:val="tx1"/>
            </w14:solidFill>
          </w14:textFill>
        </w:rPr>
        <w:t>G</w:t>
      </w:r>
      <w:r>
        <w:rPr>
          <w:rFonts w:ascii="Times New Roman" w:hAnsi="Times New Roman"/>
          <w:color w:val="000000" w:themeColor="text1"/>
          <w:sz w:val="24"/>
          <w:szCs w:val="24"/>
          <w14:textFill>
            <w14:solidFill>
              <w14:schemeClr w14:val="tx1"/>
            </w14:solidFill>
          </w14:textFill>
        </w:rPr>
        <w:t xml:space="preserve">ene </w:t>
      </w:r>
      <w:r>
        <w:rPr>
          <w:rFonts w:ascii="Times New Roman" w:hAnsi="Times New Roman"/>
          <w:b/>
          <w:bCs/>
          <w:color w:val="000000" w:themeColor="text1"/>
          <w:sz w:val="24"/>
          <w:szCs w:val="24"/>
          <w14:textFill>
            <w14:solidFill>
              <w14:schemeClr w14:val="tx1"/>
            </w14:solidFill>
          </w14:textFill>
        </w:rPr>
        <w:t>O</w:t>
      </w:r>
      <w:r>
        <w:rPr>
          <w:rFonts w:ascii="Times New Roman" w:hAnsi="Times New Roman"/>
          <w:color w:val="000000" w:themeColor="text1"/>
          <w:sz w:val="24"/>
          <w:szCs w:val="24"/>
          <w14:textFill>
            <w14:solidFill>
              <w14:schemeClr w14:val="tx1"/>
            </w14:solidFill>
          </w14:textFill>
        </w:rPr>
        <w:t xml:space="preserve">ntology in </w:t>
      </w:r>
      <w:r>
        <w:rPr>
          <w:rFonts w:ascii="Times New Roman" w:hAnsi="Times New Roman"/>
          <w:b/>
          <w:bCs/>
          <w:color w:val="000000" w:themeColor="text1"/>
          <w:sz w:val="24"/>
          <w:szCs w:val="24"/>
          <w14:textFill>
            <w14:solidFill>
              <w14:schemeClr w14:val="tx1"/>
            </w14:solidFill>
          </w14:textFill>
        </w:rPr>
        <w:t>M</w:t>
      </w:r>
      <w:r>
        <w:rPr>
          <w:rFonts w:ascii="Times New Roman" w:hAnsi="Times New Roman"/>
          <w:color w:val="000000" w:themeColor="text1"/>
          <w:sz w:val="24"/>
          <w:szCs w:val="24"/>
          <w14:textFill>
            <w14:solidFill>
              <w14:schemeClr w14:val="tx1"/>
            </w14:solidFill>
          </w14:textFill>
        </w:rPr>
        <w:t xml:space="preserve">olecular </w:t>
      </w:r>
      <w:r>
        <w:rPr>
          <w:rFonts w:ascii="Times New Roman" w:hAnsi="Times New Roman"/>
          <w:b/>
          <w:bCs/>
          <w:color w:val="000000" w:themeColor="text1"/>
          <w:sz w:val="24"/>
          <w:szCs w:val="24"/>
          <w14:textFill>
            <w14:solidFill>
              <w14:schemeClr w14:val="tx1"/>
            </w14:solidFill>
          </w14:textFill>
        </w:rPr>
        <w:t>F</w:t>
      </w:r>
      <w:r>
        <w:rPr>
          <w:rFonts w:ascii="Times New Roman" w:hAnsi="Times New Roman"/>
          <w:color w:val="000000" w:themeColor="text1"/>
          <w:sz w:val="24"/>
          <w:szCs w:val="24"/>
          <w14:textFill>
            <w14:solidFill>
              <w14:schemeClr w14:val="tx1"/>
            </w14:solidFill>
          </w14:textFill>
        </w:rPr>
        <w:t>unction) and GOCC (</w:t>
      </w:r>
      <w:r>
        <w:rPr>
          <w:rFonts w:ascii="Times New Roman" w:hAnsi="Times New Roman"/>
          <w:b/>
          <w:bCs/>
          <w:color w:val="000000" w:themeColor="text1"/>
          <w:sz w:val="24"/>
          <w:szCs w:val="24"/>
          <w14:textFill>
            <w14:solidFill>
              <w14:schemeClr w14:val="tx1"/>
            </w14:solidFill>
          </w14:textFill>
        </w:rPr>
        <w:t>G</w:t>
      </w:r>
      <w:r>
        <w:rPr>
          <w:rFonts w:ascii="Times New Roman" w:hAnsi="Times New Roman"/>
          <w:color w:val="000000" w:themeColor="text1"/>
          <w:sz w:val="24"/>
          <w:szCs w:val="24"/>
          <w14:textFill>
            <w14:solidFill>
              <w14:schemeClr w14:val="tx1"/>
            </w14:solidFill>
          </w14:textFill>
        </w:rPr>
        <w:t xml:space="preserve">ene </w:t>
      </w:r>
      <w:r>
        <w:rPr>
          <w:rFonts w:ascii="Times New Roman" w:hAnsi="Times New Roman"/>
          <w:b/>
          <w:bCs/>
          <w:color w:val="000000" w:themeColor="text1"/>
          <w:sz w:val="24"/>
          <w:szCs w:val="24"/>
          <w14:textFill>
            <w14:solidFill>
              <w14:schemeClr w14:val="tx1"/>
            </w14:solidFill>
          </w14:textFill>
        </w:rPr>
        <w:t>O</w:t>
      </w:r>
      <w:r>
        <w:rPr>
          <w:rFonts w:ascii="Times New Roman" w:hAnsi="Times New Roman"/>
          <w:color w:val="000000" w:themeColor="text1"/>
          <w:sz w:val="24"/>
          <w:szCs w:val="24"/>
          <w14:textFill>
            <w14:solidFill>
              <w14:schemeClr w14:val="tx1"/>
            </w14:solidFill>
          </w14:textFill>
        </w:rPr>
        <w:t xml:space="preserve">ntology in </w:t>
      </w:r>
      <w:r>
        <w:rPr>
          <w:rFonts w:ascii="Times New Roman" w:hAnsi="Times New Roman"/>
          <w:b/>
          <w:bCs/>
          <w:color w:val="000000" w:themeColor="text1"/>
          <w:sz w:val="24"/>
          <w:szCs w:val="24"/>
          <w14:textFill>
            <w14:solidFill>
              <w14:schemeClr w14:val="tx1"/>
            </w14:solidFill>
          </w14:textFill>
        </w:rPr>
        <w:t>C</w:t>
      </w:r>
      <w:r>
        <w:rPr>
          <w:rFonts w:ascii="Times New Roman" w:hAnsi="Times New Roman"/>
          <w:color w:val="000000" w:themeColor="text1"/>
          <w:sz w:val="24"/>
          <w:szCs w:val="24"/>
          <w14:textFill>
            <w14:solidFill>
              <w14:schemeClr w14:val="tx1"/>
            </w14:solidFill>
          </w14:textFill>
        </w:rPr>
        <w:t xml:space="preserve">ellular </w:t>
      </w:r>
      <w:r>
        <w:rPr>
          <w:rFonts w:ascii="Times New Roman" w:hAnsi="Times New Roman"/>
          <w:b/>
          <w:bCs/>
          <w:color w:val="000000" w:themeColor="text1"/>
          <w:sz w:val="24"/>
          <w:szCs w:val="24"/>
          <w14:textFill>
            <w14:solidFill>
              <w14:schemeClr w14:val="tx1"/>
            </w14:solidFill>
          </w14:textFill>
        </w:rPr>
        <w:t>C</w:t>
      </w:r>
      <w:r>
        <w:rPr>
          <w:rFonts w:ascii="Times New Roman" w:hAnsi="Times New Roman"/>
          <w:color w:val="000000" w:themeColor="text1"/>
          <w:sz w:val="24"/>
          <w:szCs w:val="24"/>
          <w14:textFill>
            <w14:solidFill>
              <w14:schemeClr w14:val="tx1"/>
            </w14:solidFill>
          </w14:textFill>
        </w:rPr>
        <w:t xml:space="preserve">omponents) (Fig S6B and S6D). </w:t>
      </w:r>
    </w:p>
    <w:p>
      <w:pPr>
        <w:autoSpaceDE w:val="0"/>
        <w:autoSpaceDN w:val="0"/>
        <w:adjustRightInd w:val="0"/>
        <w:spacing w:before="120" w:beforeLines="50" w:after="120" w:afterLines="50" w:line="360" w:lineRule="auto"/>
        <w:jc w:val="both"/>
        <w:rPr>
          <w:rFonts w:hint="default" w:ascii="Times New Roman" w:hAnsi="Times New Roman" w:eastAsia="MinionPro-Regular"/>
          <w:color w:val="0C0C0C"/>
          <w:sz w:val="24"/>
          <w:szCs w:val="24"/>
          <w:lang w:val="en-US"/>
        </w:rPr>
      </w:pPr>
      <w:r>
        <w:rPr>
          <w:rFonts w:ascii="Times New Roman" w:hAnsi="Times New Roman"/>
          <w:color w:val="000000" w:themeColor="text1"/>
          <w:sz w:val="24"/>
          <w:szCs w:val="24"/>
          <w14:textFill>
            <w14:solidFill>
              <w14:schemeClr w14:val="tx1"/>
            </w14:solidFill>
          </w14:textFill>
        </w:rPr>
        <w:t>Specifically, the driver genes of Wnt signaling (LEF1, MMP7, WNT5A, WNT5B, WNT6, FZD2, and TCF4), PI3K signaling (ARAP3, AKT3, IRS4, and IRS2), Hedgehog signaling (LRP2, GLI3, GAS1, ZIC2, BMP2, and BMP7), Notch signaling (DLL1, HES5, JAG2, and NUMB), and MAPK signaling (RAC2, ELK1, FGF9, FGF2, PLA2G2A, MAP3K5, PLA2G4A PAK1, MEF2C and FLNC) which might promote the invasion and metastasis of tumor cells were downregulated in HBx-CRISPR group (Fig S4A-E).  Further, the downregulated genes showed GSEA hallmarks for WNT and Hedgehog signaling, inflammatory responses, and EMT (Fig S6C).</w:t>
      </w:r>
      <w:r>
        <w:rPr>
          <w:rFonts w:hint="default" w:ascii="Times New Roman" w:hAnsi="Times New Roman"/>
          <w:color w:val="000000" w:themeColor="text1"/>
          <w:sz w:val="24"/>
          <w:szCs w:val="24"/>
          <w:lang w:val="en-US"/>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 xml:space="preserve">FGF2, SOX2, PBX1, ZIC3, FOXD3, GSC, and CDX2 which are known for transcriptional regulation of stemness-related genes were also significantly downregulated in the HBx-CRISPR group (Fig S7). In addition, downregulation of various transcription factors like </w:t>
      </w:r>
      <w:r>
        <w:rPr>
          <w:rFonts w:ascii="Times New Roman" w:hAnsi="Times New Roman" w:cs="Times New Roman"/>
          <w:color w:val="000000" w:themeColor="text1"/>
          <w:sz w:val="24"/>
          <w:szCs w:val="24"/>
          <w14:textFill>
            <w14:solidFill>
              <w14:schemeClr w14:val="tx1"/>
            </w14:solidFill>
          </w14:textFill>
        </w:rPr>
        <w:t>HEY2, DACH1, TCF4, SOX2, and SP9 in the HBx-CRISPR group was observed as compared to the controls. (</w:t>
      </w:r>
      <w:r>
        <w:rPr>
          <w:rFonts w:ascii="Times New Roman" w:hAnsi="Times New Roman"/>
          <w:color w:val="000000" w:themeColor="text1"/>
          <w:sz w:val="24"/>
          <w:szCs w:val="24"/>
          <w14:textFill>
            <w14:solidFill>
              <w14:schemeClr w14:val="tx1"/>
            </w14:solidFill>
          </w14:textFill>
        </w:rPr>
        <w:t xml:space="preserve">Fig S7). Furthermore, 14 Zinc finger nucleases (ZNF302, 35, 239, 467, 717, 681, 418, 532, 676, 215, 521, 320, 736 and 518B) were downregulated and ZNF763 was upregulated in HBx-CRISPR group in comparison to the controls </w:t>
      </w:r>
      <w:r>
        <w:rPr>
          <w:rFonts w:ascii="Times New Roman" w:hAnsi="Times New Roman" w:cs="Times New Roman"/>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 xml:space="preserve">Fig S7) </w:t>
      </w:r>
      <w:r>
        <w:rPr>
          <w:rFonts w:ascii="Times New Roman" w:hAnsi="Times New Roman"/>
          <w:color w:val="000000" w:themeColor="text1"/>
          <w:sz w:val="24"/>
          <w:szCs w:val="24"/>
          <w:lang w:val="en-US"/>
          <w14:textFill>
            <w14:solidFill>
              <w14:schemeClr w14:val="tx1"/>
            </w14:solidFill>
          </w14:textFill>
        </w:rPr>
        <w:t>.</w:t>
      </w:r>
    </w:p>
    <w:p>
      <w:pPr>
        <w:spacing w:line="360" w:lineRule="auto"/>
        <w:jc w:val="both"/>
        <w:rPr>
          <w:rFonts w:hint="default" w:ascii="Times New Roman" w:hAnsi="Times New Roman" w:cs="Times New Roman"/>
          <w:b/>
          <w:bCs/>
          <w:sz w:val="24"/>
          <w:szCs w:val="24"/>
          <w:u w:val="single"/>
          <w:lang w:val="en-US"/>
        </w:rPr>
      </w:pPr>
      <w:r>
        <w:rPr>
          <w:rFonts w:hint="default" w:ascii="Times New Roman" w:hAnsi="Times New Roman" w:cs="Times New Roman"/>
          <w:b/>
          <w:bCs/>
          <w:sz w:val="24"/>
          <w:szCs w:val="24"/>
          <w:u w:val="single"/>
          <w:lang w:val="en-US"/>
        </w:rPr>
        <w:t>Supplementary Figures:</w:t>
      </w:r>
    </w:p>
    <w:p>
      <w:pPr>
        <w:spacing w:line="360" w:lineRule="auto"/>
        <w:jc w:val="both"/>
        <w:rPr>
          <w:rFonts w:ascii="Times New Roman" w:hAnsi="Times New Roman" w:cs="Times New Roman"/>
          <w:sz w:val="24"/>
          <w:szCs w:val="24"/>
        </w:rPr>
      </w:pPr>
      <w:r>
        <w:rPr>
          <w:rFonts w:ascii="Times New Roman" w:hAnsi="Times New Roman" w:cs="Times New Roman"/>
          <w:b/>
          <w:bCs/>
          <w:sz w:val="24"/>
          <w:szCs w:val="24"/>
        </w:rPr>
        <w:t>Figure S1:</w:t>
      </w:r>
      <w:r>
        <w:rPr>
          <w:rFonts w:ascii="Times New Roman" w:hAnsi="Times New Roman" w:cs="Times New Roman"/>
          <w:sz w:val="24"/>
          <w:szCs w:val="24"/>
        </w:rPr>
        <w:t xml:space="preserve"> </w:t>
      </w:r>
    </w:p>
    <w:p>
      <w:pPr>
        <w:spacing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drawing>
          <wp:inline distT="0" distB="0" distL="114300" distR="114300">
            <wp:extent cx="5266690" cy="2962910"/>
            <wp:effectExtent l="0" t="0" r="6350" b="8890"/>
            <wp:docPr id="8" name="Picture 8" descr="Supplementary results CRISPR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upplementary results CRISPR PAPER"/>
                    <pic:cNvPicPr>
                      <a:picLocks noChangeAspect="1"/>
                    </pic:cNvPicPr>
                  </pic:nvPicPr>
                  <pic:blipFill>
                    <a:blip r:embed="rId4"/>
                    <a:stretch>
                      <a:fillRect/>
                    </a:stretch>
                  </pic:blipFill>
                  <pic:spPr>
                    <a:xfrm>
                      <a:off x="0" y="0"/>
                      <a:ext cx="5266690" cy="2962910"/>
                    </a:xfrm>
                    <a:prstGeom prst="rect">
                      <a:avLst/>
                    </a:prstGeom>
                  </pic:spPr>
                </pic:pic>
              </a:graphicData>
            </a:graphic>
          </wp:inline>
        </w:drawing>
      </w:r>
    </w:p>
    <w:p>
      <w:pPr>
        <w:spacing w:line="360" w:lineRule="auto"/>
        <w:jc w:val="both"/>
        <w:rPr>
          <w:rFonts w:ascii="Times New Roman" w:hAnsi="Times New Roman" w:eastAsia="Times New Roman"/>
          <w:color w:val="000000"/>
          <w:sz w:val="24"/>
          <w:szCs w:val="24"/>
        </w:rPr>
      </w:pPr>
      <w:r>
        <w:rPr>
          <w:rFonts w:ascii="Times New Roman" w:hAnsi="Times New Roman" w:cs="Times New Roman"/>
          <w:sz w:val="24"/>
          <w:szCs w:val="24"/>
        </w:rPr>
        <w:t xml:space="preserve">(A) Representation of HBx ORF position in the linear genome of HBV (B) Table containing best possible sgRNAs against the HBx gene for designing HBx specific CRISPR/Cas9 (C) </w:t>
      </w:r>
      <w:r>
        <w:rPr>
          <w:rFonts w:ascii="Times New Roman" w:hAnsi="Times New Roman" w:eastAsia="Times New Roman"/>
          <w:color w:val="000000"/>
          <w:sz w:val="24"/>
          <w:szCs w:val="24"/>
        </w:rPr>
        <w:t>Vector map of eSpCas9-2A-Puro (PX459)V2.0</w:t>
      </w:r>
      <w:r>
        <w:rPr>
          <w:rFonts w:hint="default" w:ascii="Times New Roman" w:hAnsi="Times New Roman" w:eastAsia="Times New Roman"/>
          <w:color w:val="000000"/>
          <w:sz w:val="24"/>
          <w:szCs w:val="24"/>
          <w:lang w:val="en-US"/>
        </w:rPr>
        <w:t xml:space="preserve"> (D) Restriction sites in vector elucidated from Snapgene viewer</w:t>
      </w:r>
      <w:r>
        <w:rPr>
          <w:rFonts w:ascii="Times New Roman" w:hAnsi="Times New Roman" w:eastAsia="Times New Roman"/>
          <w:color w:val="000000"/>
          <w:sz w:val="24"/>
          <w:szCs w:val="24"/>
        </w:rPr>
        <w:t xml:space="preserve">. </w:t>
      </w: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Figure S2: </w:t>
      </w:r>
    </w:p>
    <w:p>
      <w:pPr>
        <w:spacing w:line="360" w:lineRule="auto"/>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drawing>
          <wp:inline distT="0" distB="0" distL="114300" distR="114300">
            <wp:extent cx="5266690" cy="2962910"/>
            <wp:effectExtent l="0" t="0" r="6350" b="8890"/>
            <wp:docPr id="9" name="Picture 9" descr="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2"/>
                    <pic:cNvPicPr>
                      <a:picLocks noChangeAspect="1"/>
                    </pic:cNvPicPr>
                  </pic:nvPicPr>
                  <pic:blipFill>
                    <a:blip r:embed="rId5"/>
                    <a:stretch>
                      <a:fillRect/>
                    </a:stretch>
                  </pic:blipFill>
                  <pic:spPr>
                    <a:xfrm>
                      <a:off x="0" y="0"/>
                      <a:ext cx="5266690" cy="2962910"/>
                    </a:xfrm>
                    <a:prstGeom prst="rect">
                      <a:avLst/>
                    </a:prstGeom>
                  </pic:spPr>
                </pic:pic>
              </a:graphicData>
            </a:graphic>
          </wp:inline>
        </w:drawing>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(A) Gel image of undigested and digested products (B)</w:t>
      </w:r>
      <w:r>
        <w:rPr>
          <w:rFonts w:hint="default" w:ascii="Times New Roman" w:hAnsi="Times New Roman" w:cs="Times New Roman"/>
          <w:sz w:val="24"/>
          <w:szCs w:val="24"/>
          <w:lang w:val="en-US"/>
        </w:rPr>
        <w:t xml:space="preserve"> Images (Phase contrast and fluorescent) of HepG2.2.15 cells transfected with control and HBx-CRISPR</w:t>
      </w:r>
      <w:r>
        <w:rPr>
          <w:rFonts w:ascii="Times New Roman" w:hAnsi="Times New Roman" w:cs="Times New Roman"/>
          <w:sz w:val="24"/>
          <w:szCs w:val="24"/>
        </w:rPr>
        <w:t xml:space="preserve"> </w:t>
      </w:r>
      <w:r>
        <w:rPr>
          <w:rFonts w:hint="default" w:ascii="Times New Roman" w:hAnsi="Times New Roman" w:cs="Times New Roman"/>
          <w:sz w:val="24"/>
          <w:szCs w:val="24"/>
          <w:lang w:val="en-US"/>
        </w:rPr>
        <w:t xml:space="preserve">(C) </w:t>
      </w:r>
      <w:r>
        <w:rPr>
          <w:rFonts w:ascii="Times New Roman" w:hAnsi="Times New Roman" w:cs="Times New Roman"/>
          <w:sz w:val="24"/>
          <w:szCs w:val="24"/>
        </w:rPr>
        <w:t>Related HBx gene expression at indicated plasmid concentration</w:t>
      </w:r>
      <w:r>
        <w:rPr>
          <w:rFonts w:hint="default" w:ascii="Times New Roman" w:hAnsi="Times New Roman" w:cs="Times New Roman"/>
          <w:sz w:val="24"/>
          <w:szCs w:val="24"/>
          <w:lang w:val="en-US"/>
        </w:rPr>
        <w:t xml:space="preserve"> (D) </w:t>
      </w:r>
      <w:r>
        <w:rPr>
          <w:rFonts w:ascii="Times New Roman" w:hAnsi="Times New Roman" w:cs="Times New Roman"/>
          <w:sz w:val="24"/>
          <w:szCs w:val="24"/>
        </w:rPr>
        <w:t xml:space="preserve">Relative HBx gene expression in HepG2.2.15-HBx-CRISPR and HepG2.2.15-Ct cells. </w:t>
      </w:r>
      <w:r>
        <w:rPr>
          <w:rFonts w:ascii="Times New Roman" w:hAnsi="Times New Roman" w:eastAsia="Times New Roman"/>
          <w:color w:val="000000"/>
          <w:sz w:val="24"/>
          <w:szCs w:val="24"/>
        </w:rPr>
        <w:t xml:space="preserve">Data is represented as mean </w:t>
      </w:r>
      <w:r>
        <w:rPr>
          <w:rFonts w:ascii="Times New Roman" w:hAnsi="Times New Roman" w:eastAsia="Times New Roman"/>
          <w:sz w:val="24"/>
          <w:szCs w:val="24"/>
        </w:rPr>
        <w:t xml:space="preserve">+ standard deviation. </w:t>
      </w:r>
      <w:r>
        <w:rPr>
          <w:rFonts w:ascii="Times New Roman" w:hAnsi="Times New Roman" w:eastAsia="Times New Roman"/>
          <w:color w:val="000000"/>
          <w:sz w:val="24"/>
          <w:szCs w:val="24"/>
        </w:rPr>
        <w:t>‘*’represents p&lt; 0.05.</w:t>
      </w:r>
    </w:p>
    <w:p>
      <w:pPr>
        <w:spacing w:line="360" w:lineRule="auto"/>
        <w:jc w:val="both"/>
        <w:rPr>
          <w:rFonts w:ascii="Times New Roman" w:hAnsi="Times New Roman" w:cs="Times New Roman"/>
          <w:b/>
          <w:bCs/>
          <w:sz w:val="24"/>
          <w:szCs w:val="24"/>
        </w:rPr>
      </w:pPr>
    </w:p>
    <w:p>
      <w:pPr>
        <w:spacing w:line="360" w:lineRule="auto"/>
        <w:jc w:val="both"/>
        <w:rPr>
          <w:rFonts w:hint="default" w:ascii="Times New Roman" w:hAnsi="Times New Roman" w:cs="Times New Roman"/>
          <w:sz w:val="24"/>
          <w:szCs w:val="24"/>
          <w:lang w:val="en-US"/>
        </w:rPr>
      </w:pPr>
      <w:r>
        <w:rPr>
          <w:rFonts w:ascii="Times New Roman" w:hAnsi="Times New Roman" w:cs="Times New Roman"/>
          <w:b/>
          <w:bCs/>
          <w:sz w:val="24"/>
          <w:szCs w:val="24"/>
        </w:rPr>
        <w:t>Figure S3:</w:t>
      </w:r>
      <w:r>
        <w:rPr>
          <w:rFonts w:ascii="Times New Roman" w:hAnsi="Times New Roman" w:cs="Times New Roman"/>
          <w:sz w:val="24"/>
          <w:szCs w:val="24"/>
        </w:rPr>
        <w:t xml:space="preserve"> </w:t>
      </w:r>
    </w:p>
    <w:p>
      <w:pPr>
        <w:spacing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drawing>
          <wp:inline distT="0" distB="0" distL="114300" distR="114300">
            <wp:extent cx="5266690" cy="2124710"/>
            <wp:effectExtent l="0" t="0" r="6350" b="8890"/>
            <wp:docPr id="10" name="Picture 10" descr="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3"/>
                    <pic:cNvPicPr>
                      <a:picLocks noChangeAspect="1"/>
                    </pic:cNvPicPr>
                  </pic:nvPicPr>
                  <pic:blipFill>
                    <a:blip r:embed="rId6"/>
                    <a:srcRect b="28290"/>
                    <a:stretch>
                      <a:fillRect/>
                    </a:stretch>
                  </pic:blipFill>
                  <pic:spPr>
                    <a:xfrm>
                      <a:off x="0" y="0"/>
                      <a:ext cx="5266690" cy="2124710"/>
                    </a:xfrm>
                    <a:prstGeom prst="rect">
                      <a:avLst/>
                    </a:prstGeom>
                  </pic:spPr>
                </pic:pic>
              </a:graphicData>
            </a:graphic>
          </wp:inline>
        </w:drawing>
      </w:r>
    </w:p>
    <w:p>
      <w:pPr>
        <w:numPr>
          <w:ilvl w:val="0"/>
          <w:numId w:val="1"/>
        </w:numPr>
        <w:spacing w:line="360" w:lineRule="auto"/>
        <w:jc w:val="both"/>
        <w:rPr>
          <w:rFonts w:hint="default" w:ascii="Times New Roman" w:hAnsi="Times New Roman" w:cs="Times New Roman"/>
          <w:sz w:val="24"/>
          <w:szCs w:val="24"/>
          <w:lang w:val="en-US"/>
        </w:rPr>
      </w:pPr>
      <w:r>
        <w:rPr>
          <w:rFonts w:ascii="Times New Roman" w:hAnsi="Times New Roman" w:cs="Times New Roman"/>
          <w:sz w:val="24"/>
          <w:szCs w:val="24"/>
        </w:rPr>
        <w:t xml:space="preserve">Relative HBx gene expression in HepG2.2.15-HBx-CRISPR and HepG2.2.15-Ct cells in at various time points (0, 48,72,96 and 120 hrs) </w:t>
      </w:r>
      <w:r>
        <w:rPr>
          <w:rFonts w:ascii="Times New Roman" w:hAnsi="Times New Roman" w:eastAsia="Times New Roman"/>
          <w:color w:val="000000"/>
          <w:sz w:val="24"/>
          <w:szCs w:val="24"/>
        </w:rPr>
        <w:t xml:space="preserve">(B) </w:t>
      </w:r>
      <w:r>
        <w:rPr>
          <w:rFonts w:hint="default" w:ascii="Times New Roman" w:hAnsi="Times New Roman" w:cs="Times New Roman"/>
          <w:sz w:val="24"/>
          <w:szCs w:val="24"/>
          <w:lang w:val="en-US"/>
        </w:rPr>
        <w:t>L</w:t>
      </w:r>
      <w:r>
        <w:rPr>
          <w:rFonts w:ascii="Times New Roman" w:hAnsi="Times New Roman" w:cs="Times New Roman"/>
          <w:sz w:val="24"/>
          <w:szCs w:val="24"/>
        </w:rPr>
        <w:t>ine graph between HBx expression</w:t>
      </w:r>
      <w:r>
        <w:rPr>
          <w:rFonts w:hint="default" w:ascii="Times New Roman" w:hAnsi="Times New Roman" w:cs="Times New Roman"/>
          <w:sz w:val="24"/>
          <w:szCs w:val="24"/>
          <w:lang w:val="en-US"/>
        </w:rPr>
        <w:t xml:space="preserve"> and</w:t>
      </w:r>
      <w:r>
        <w:rPr>
          <w:rFonts w:ascii="Times New Roman" w:hAnsi="Times New Roman" w:cs="Times New Roman"/>
          <w:sz w:val="24"/>
          <w:szCs w:val="24"/>
        </w:rPr>
        <w:t xml:space="preserve"> HBV cccDNA expression in HepG2.2.15-HBx-CRISPR and HepG2.2.15-Ct cells in at various time points (0,72,96 and 120 hrs)</w:t>
      </w:r>
      <w:r>
        <w:rPr>
          <w:rFonts w:hint="default" w:ascii="Times New Roman" w:hAnsi="Times New Roman" w:cs="Times New Roman"/>
          <w:sz w:val="24"/>
          <w:szCs w:val="24"/>
          <w:lang w:val="en-US"/>
        </w:rPr>
        <w:t>.</w:t>
      </w:r>
    </w:p>
    <w:p>
      <w:pPr>
        <w:numPr>
          <w:ilvl w:val="0"/>
          <w:numId w:val="0"/>
        </w:numPr>
        <w:spacing w:line="360" w:lineRule="auto"/>
        <w:jc w:val="both"/>
        <w:rPr>
          <w:rFonts w:ascii="Times New Roman" w:hAnsi="Times New Roman" w:cs="Times New Roman"/>
          <w:b/>
          <w:bCs/>
          <w:sz w:val="24"/>
          <w:szCs w:val="24"/>
        </w:rPr>
      </w:pPr>
    </w:p>
    <w:p>
      <w:pPr>
        <w:numPr>
          <w:ilvl w:val="0"/>
          <w:numId w:val="0"/>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Figure S4: </w:t>
      </w:r>
    </w:p>
    <w:p>
      <w:pPr>
        <w:spacing w:line="360" w:lineRule="auto"/>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drawing>
          <wp:inline distT="0" distB="0" distL="114300" distR="114300">
            <wp:extent cx="5267325" cy="2962910"/>
            <wp:effectExtent l="0" t="0" r="5715" b="8890"/>
            <wp:docPr id="4" name="Picture 4" descr="Slid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lide11"/>
                    <pic:cNvPicPr>
                      <a:picLocks noChangeAspect="1"/>
                    </pic:cNvPicPr>
                  </pic:nvPicPr>
                  <pic:blipFill>
                    <a:blip r:embed="rId7"/>
                    <a:stretch>
                      <a:fillRect/>
                    </a:stretch>
                  </pic:blipFill>
                  <pic:spPr>
                    <a:xfrm>
                      <a:off x="0" y="0"/>
                      <a:ext cx="5267325" cy="2962910"/>
                    </a:xfrm>
                    <a:prstGeom prst="rect">
                      <a:avLst/>
                    </a:prstGeom>
                  </pic:spPr>
                </pic:pic>
              </a:graphicData>
            </a:graphic>
          </wp:inline>
        </w:drawing>
      </w:r>
    </w:p>
    <w:p>
      <w:pPr>
        <w:spacing w:line="360" w:lineRule="auto"/>
        <w:jc w:val="both"/>
        <w:rPr>
          <w:rFonts w:hint="default" w:ascii="Times New Roman" w:hAnsi="Times New Roman" w:cs="Times New Roman"/>
          <w:b/>
          <w:bCs/>
          <w:sz w:val="24"/>
          <w:szCs w:val="24"/>
          <w:lang w:val="en-US"/>
        </w:rPr>
      </w:pPr>
      <w:r>
        <w:rPr>
          <w:rFonts w:ascii="Times New Roman" w:hAnsi="Times New Roman" w:eastAsia="Times New Roman"/>
          <w:color w:val="000000"/>
          <w:sz w:val="24"/>
          <w:szCs w:val="24"/>
        </w:rPr>
        <w:t xml:space="preserve">List of </w:t>
      </w:r>
      <w:r>
        <w:rPr>
          <w:rFonts w:hint="default" w:ascii="Times New Roman" w:hAnsi="Times New Roman" w:eastAsia="Times New Roman"/>
          <w:color w:val="000000"/>
          <w:sz w:val="24"/>
          <w:szCs w:val="24"/>
          <w:lang w:val="en-US"/>
        </w:rPr>
        <w:t xml:space="preserve">top 20 </w:t>
      </w:r>
      <w:r>
        <w:rPr>
          <w:rFonts w:ascii="Times New Roman" w:hAnsi="Times New Roman" w:eastAsia="Times New Roman"/>
          <w:color w:val="000000"/>
          <w:sz w:val="24"/>
          <w:szCs w:val="24"/>
        </w:rPr>
        <w:t>significantly downregulated</w:t>
      </w:r>
      <w:r>
        <w:rPr>
          <w:rFonts w:hint="default" w:ascii="Times New Roman" w:hAnsi="Times New Roman" w:eastAsia="Times New Roman"/>
          <w:color w:val="000000"/>
          <w:sz w:val="24"/>
          <w:szCs w:val="24"/>
          <w:lang w:val="en-US"/>
        </w:rPr>
        <w:t xml:space="preserve"> and upregulated</w:t>
      </w:r>
      <w:r>
        <w:rPr>
          <w:rFonts w:ascii="Times New Roman" w:hAnsi="Times New Roman" w:eastAsia="Times New Roman"/>
          <w:color w:val="000000"/>
          <w:sz w:val="24"/>
          <w:szCs w:val="24"/>
        </w:rPr>
        <w:t xml:space="preserve"> genes with their logFc and p value</w:t>
      </w:r>
      <w:r>
        <w:rPr>
          <w:rFonts w:hint="default" w:ascii="Times New Roman" w:hAnsi="Times New Roman" w:eastAsia="Times New Roman"/>
          <w:color w:val="000000"/>
          <w:sz w:val="24"/>
          <w:szCs w:val="24"/>
          <w:lang w:val="en-US"/>
        </w:rPr>
        <w:t>.</w:t>
      </w:r>
    </w:p>
    <w:p>
      <w:pPr>
        <w:spacing w:line="360" w:lineRule="auto"/>
        <w:jc w:val="both"/>
        <w:rPr>
          <w:rFonts w:ascii="Times New Roman" w:hAnsi="Times New Roman" w:cs="Times New Roman"/>
          <w:b/>
          <w:bCs/>
          <w:sz w:val="24"/>
          <w:szCs w:val="24"/>
        </w:rPr>
      </w:pPr>
    </w:p>
    <w:p>
      <w:pPr>
        <w:spacing w:line="360" w:lineRule="auto"/>
        <w:jc w:val="both"/>
        <w:rPr>
          <w:rFonts w:hint="default" w:ascii="Times New Roman" w:hAnsi="Times New Roman" w:cs="Times New Roman"/>
          <w:b/>
          <w:bCs/>
          <w:sz w:val="24"/>
          <w:szCs w:val="24"/>
          <w:lang w:val="en-US"/>
        </w:rPr>
      </w:pPr>
      <w:r>
        <w:rPr>
          <w:rFonts w:ascii="Times New Roman" w:hAnsi="Times New Roman" w:cs="Times New Roman"/>
          <w:b/>
          <w:bCs/>
          <w:sz w:val="24"/>
          <w:szCs w:val="24"/>
        </w:rPr>
        <w:t>Figure S</w:t>
      </w:r>
      <w:r>
        <w:rPr>
          <w:rFonts w:hint="default" w:ascii="Times New Roman" w:hAnsi="Times New Roman" w:cs="Times New Roman"/>
          <w:b/>
          <w:bCs/>
          <w:sz w:val="24"/>
          <w:szCs w:val="24"/>
          <w:lang w:val="en-US"/>
        </w:rPr>
        <w:t>5</w:t>
      </w:r>
      <w:r>
        <w:rPr>
          <w:rFonts w:ascii="Times New Roman" w:hAnsi="Times New Roman" w:cs="Times New Roman"/>
          <w:b/>
          <w:bCs/>
          <w:sz w:val="24"/>
          <w:szCs w:val="24"/>
        </w:rPr>
        <w:t>:</w:t>
      </w:r>
      <w:r>
        <w:rPr>
          <w:rFonts w:hint="default" w:ascii="Times New Roman" w:hAnsi="Times New Roman" w:cs="Times New Roman"/>
          <w:b/>
          <w:bCs/>
          <w:sz w:val="24"/>
          <w:szCs w:val="24"/>
          <w:lang w:val="en-US"/>
        </w:rPr>
        <w:t xml:space="preserve"> </w:t>
      </w:r>
    </w:p>
    <w:p>
      <w:pPr>
        <w:spacing w:line="360" w:lineRule="auto"/>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drawing>
          <wp:inline distT="0" distB="0" distL="114300" distR="114300">
            <wp:extent cx="5267325" cy="2962910"/>
            <wp:effectExtent l="0" t="0" r="5715" b="8890"/>
            <wp:docPr id="5" name="Picture 5" descr="Slid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lide12"/>
                    <pic:cNvPicPr>
                      <a:picLocks noChangeAspect="1"/>
                    </pic:cNvPicPr>
                  </pic:nvPicPr>
                  <pic:blipFill>
                    <a:blip r:embed="rId8"/>
                    <a:stretch>
                      <a:fillRect/>
                    </a:stretch>
                  </pic:blipFill>
                  <pic:spPr>
                    <a:xfrm>
                      <a:off x="0" y="0"/>
                      <a:ext cx="5267325" cy="2962910"/>
                    </a:xfrm>
                    <a:prstGeom prst="rect">
                      <a:avLst/>
                    </a:prstGeom>
                  </pic:spPr>
                </pic:pic>
              </a:graphicData>
            </a:graphic>
          </wp:inline>
        </w:drawing>
      </w:r>
    </w:p>
    <w:p>
      <w:pPr>
        <w:spacing w:line="360" w:lineRule="auto"/>
        <w:jc w:val="both"/>
        <w:rPr>
          <w:rFonts w:hint="default" w:ascii="Times New Roman" w:hAnsi="Times New Roman"/>
          <w:sz w:val="24"/>
          <w:szCs w:val="24"/>
          <w:lang w:val="en-US"/>
        </w:rPr>
      </w:pPr>
      <w:r>
        <w:rPr>
          <w:rFonts w:ascii="Times New Roman" w:hAnsi="Times New Roman" w:cs="Times New Roman"/>
          <w:sz w:val="24"/>
          <w:szCs w:val="24"/>
        </w:rPr>
        <w:t>(A-E)</w:t>
      </w:r>
      <w:r>
        <w:rPr>
          <w:rFonts w:ascii="Times New Roman" w:hAnsi="Times New Roman" w:eastAsia="Times New Roman"/>
          <w:color w:val="000000"/>
          <w:sz w:val="24"/>
          <w:szCs w:val="24"/>
        </w:rPr>
        <w:t xml:space="preserve"> List of significantly downregulated genes with their logFc and p value plays important role in various oncogenic pathways (Wnt, notch, Hedgehog, Mapk and transcripional regulation of pluripotent stemness</w:t>
      </w:r>
      <w:r>
        <w:rPr>
          <w:rFonts w:ascii="Times New Roman" w:hAnsi="Times New Roman"/>
          <w:sz w:val="24"/>
          <w:szCs w:val="24"/>
        </w:rPr>
        <w:t xml:space="preserve"> in </w:t>
      </w:r>
      <w:r>
        <w:rPr>
          <w:rFonts w:ascii="Times New Roman" w:hAnsi="Times New Roman" w:eastAsia="Times New Roman"/>
          <w:color w:val="000000"/>
          <w:sz w:val="24"/>
          <w:szCs w:val="24"/>
        </w:rPr>
        <w:t>HepG2.2.15 samples</w:t>
      </w:r>
      <w:r>
        <w:rPr>
          <w:rFonts w:ascii="Times New Roman" w:hAnsi="Times New Roman"/>
          <w:sz w:val="24"/>
          <w:szCs w:val="24"/>
        </w:rPr>
        <w:t xml:space="preserve"> after HBx knockdown.</w:t>
      </w:r>
    </w:p>
    <w:p>
      <w:pPr>
        <w:spacing w:line="360" w:lineRule="auto"/>
        <w:jc w:val="both"/>
        <w:rPr>
          <w:rFonts w:ascii="Times New Roman" w:hAnsi="Times New Roman" w:cs="Times New Roman"/>
          <w:b/>
          <w:bCs/>
          <w:sz w:val="24"/>
          <w:szCs w:val="24"/>
        </w:rPr>
      </w:pPr>
    </w:p>
    <w:p>
      <w:pPr>
        <w:spacing w:line="360" w:lineRule="auto"/>
        <w:jc w:val="both"/>
        <w:rPr>
          <w:rFonts w:hint="default" w:ascii="Times New Roman" w:hAnsi="Times New Roman" w:cs="Times New Roman"/>
          <w:b/>
          <w:bCs/>
          <w:sz w:val="24"/>
          <w:szCs w:val="24"/>
          <w:lang w:val="en-US"/>
        </w:rPr>
      </w:pPr>
      <w:bookmarkStart w:id="0" w:name="_GoBack"/>
      <w:bookmarkEnd w:id="0"/>
      <w:r>
        <w:rPr>
          <w:rFonts w:ascii="Times New Roman" w:hAnsi="Times New Roman" w:cs="Times New Roman"/>
          <w:b/>
          <w:bCs/>
          <w:sz w:val="24"/>
          <w:szCs w:val="24"/>
        </w:rPr>
        <w:t>Figure S</w:t>
      </w:r>
      <w:r>
        <w:rPr>
          <w:rFonts w:hint="default" w:ascii="Times New Roman" w:hAnsi="Times New Roman" w:cs="Times New Roman"/>
          <w:b/>
          <w:bCs/>
          <w:sz w:val="24"/>
          <w:szCs w:val="24"/>
          <w:lang w:val="en-US"/>
        </w:rPr>
        <w:t>6</w:t>
      </w:r>
      <w:r>
        <w:rPr>
          <w:rFonts w:ascii="Times New Roman" w:hAnsi="Times New Roman" w:cs="Times New Roman"/>
          <w:b/>
          <w:bCs/>
          <w:sz w:val="24"/>
          <w:szCs w:val="24"/>
        </w:rPr>
        <w:t>:</w:t>
      </w:r>
      <w:r>
        <w:rPr>
          <w:rFonts w:hint="default" w:ascii="Times New Roman" w:hAnsi="Times New Roman" w:cs="Times New Roman"/>
          <w:b/>
          <w:bCs/>
          <w:sz w:val="24"/>
          <w:szCs w:val="24"/>
          <w:lang w:val="en-US"/>
        </w:rPr>
        <w:t xml:space="preserve"> </w:t>
      </w:r>
    </w:p>
    <w:p>
      <w:pPr>
        <w:spacing w:line="360" w:lineRule="auto"/>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drawing>
          <wp:inline distT="0" distB="0" distL="114300" distR="114300">
            <wp:extent cx="5267325" cy="2962910"/>
            <wp:effectExtent l="0" t="0" r="5715" b="8890"/>
            <wp:docPr id="6" name="Picture 6" descr="Slid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lide13"/>
                    <pic:cNvPicPr>
                      <a:picLocks noChangeAspect="1"/>
                    </pic:cNvPicPr>
                  </pic:nvPicPr>
                  <pic:blipFill>
                    <a:blip r:embed="rId9"/>
                    <a:stretch>
                      <a:fillRect/>
                    </a:stretch>
                  </pic:blipFill>
                  <pic:spPr>
                    <a:xfrm>
                      <a:off x="0" y="0"/>
                      <a:ext cx="5267325" cy="2962910"/>
                    </a:xfrm>
                    <a:prstGeom prst="rect">
                      <a:avLst/>
                    </a:prstGeom>
                  </pic:spPr>
                </pic:pic>
              </a:graphicData>
            </a:graphic>
          </wp:inline>
        </w:drawing>
      </w:r>
    </w:p>
    <w:p>
      <w:pPr>
        <w:spacing w:line="360" w:lineRule="auto"/>
        <w:jc w:val="both"/>
        <w:rPr>
          <w:rFonts w:hint="default" w:ascii="Times New Roman" w:hAnsi="Times New Roman" w:cs="Times New Roman"/>
          <w:b/>
          <w:bCs/>
          <w:sz w:val="24"/>
          <w:szCs w:val="24"/>
          <w:lang w:val="en-US"/>
        </w:rPr>
      </w:pPr>
      <w:r>
        <w:rPr>
          <w:rFonts w:ascii="Times New Roman" w:hAnsi="Times New Roman"/>
          <w:sz w:val="24"/>
          <w:szCs w:val="24"/>
        </w:rPr>
        <w:t xml:space="preserve">Gene enrichment analysis for differential genes in various pathways </w:t>
      </w:r>
      <w:r>
        <w:rPr>
          <w:rFonts w:hint="default" w:ascii="Times New Roman" w:hAnsi="Times New Roman"/>
          <w:sz w:val="24"/>
          <w:szCs w:val="24"/>
          <w:lang w:val="en-US"/>
        </w:rPr>
        <w:t>(Reactome, Molecular function, GSEA Hallmark, Cellular component and Transcriptional factors)</w:t>
      </w:r>
      <w:r>
        <w:rPr>
          <w:rFonts w:ascii="Times New Roman" w:hAnsi="Times New Roman"/>
          <w:sz w:val="24"/>
          <w:szCs w:val="24"/>
        </w:rPr>
        <w:t xml:space="preserve"> in </w:t>
      </w:r>
      <w:r>
        <w:rPr>
          <w:rFonts w:ascii="Times New Roman" w:hAnsi="Times New Roman" w:eastAsia="Times New Roman"/>
          <w:color w:val="000000"/>
          <w:sz w:val="24"/>
          <w:szCs w:val="24"/>
        </w:rPr>
        <w:t>HepG2.2.15 samples</w:t>
      </w:r>
      <w:r>
        <w:rPr>
          <w:rFonts w:ascii="Times New Roman" w:hAnsi="Times New Roman"/>
          <w:sz w:val="24"/>
          <w:szCs w:val="24"/>
        </w:rPr>
        <w:t xml:space="preserve"> after HBx knockdown.</w:t>
      </w:r>
    </w:p>
    <w:p>
      <w:pPr>
        <w:spacing w:line="360" w:lineRule="auto"/>
        <w:jc w:val="both"/>
        <w:rPr>
          <w:rFonts w:ascii="Times New Roman" w:hAnsi="Times New Roman" w:cs="Times New Roman"/>
          <w:b/>
          <w:bCs/>
          <w:sz w:val="24"/>
          <w:szCs w:val="24"/>
        </w:rPr>
      </w:pP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Figure S</w:t>
      </w:r>
      <w:r>
        <w:rPr>
          <w:rFonts w:hint="default" w:ascii="Times New Roman" w:hAnsi="Times New Roman" w:cs="Times New Roman"/>
          <w:b/>
          <w:bCs/>
          <w:sz w:val="24"/>
          <w:szCs w:val="24"/>
          <w:lang w:val="en-US"/>
        </w:rPr>
        <w:t>7</w:t>
      </w:r>
      <w:r>
        <w:rPr>
          <w:rFonts w:ascii="Times New Roman" w:hAnsi="Times New Roman" w:cs="Times New Roman"/>
          <w:b/>
          <w:bCs/>
          <w:sz w:val="24"/>
          <w:szCs w:val="24"/>
        </w:rPr>
        <w:t xml:space="preserve">: </w:t>
      </w:r>
    </w:p>
    <w:p>
      <w:pPr>
        <w:spacing w:line="360" w:lineRule="auto"/>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drawing>
          <wp:inline distT="0" distB="0" distL="114300" distR="114300">
            <wp:extent cx="5267325" cy="2962910"/>
            <wp:effectExtent l="0" t="0" r="5715" b="8890"/>
            <wp:docPr id="7" name="Picture 7" descr="Slid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lide14"/>
                    <pic:cNvPicPr>
                      <a:picLocks noChangeAspect="1"/>
                    </pic:cNvPicPr>
                  </pic:nvPicPr>
                  <pic:blipFill>
                    <a:blip r:embed="rId10"/>
                    <a:stretch>
                      <a:fillRect/>
                    </a:stretch>
                  </pic:blipFill>
                  <pic:spPr>
                    <a:xfrm>
                      <a:off x="0" y="0"/>
                      <a:ext cx="5267325" cy="2962910"/>
                    </a:xfrm>
                    <a:prstGeom prst="rect">
                      <a:avLst/>
                    </a:prstGeom>
                  </pic:spPr>
                </pic:pic>
              </a:graphicData>
            </a:graphic>
          </wp:inline>
        </w:drawing>
      </w:r>
    </w:p>
    <w:p>
      <w:pPr>
        <w:spacing w:line="360" w:lineRule="auto"/>
        <w:jc w:val="both"/>
        <w:rPr>
          <w:rFonts w:ascii="Times New Roman" w:hAnsi="Times New Roman"/>
          <w:sz w:val="24"/>
          <w:szCs w:val="24"/>
        </w:rPr>
      </w:pPr>
      <w:r>
        <w:rPr>
          <w:rFonts w:ascii="Times New Roman" w:hAnsi="Times New Roman" w:eastAsia="Times New Roman"/>
          <w:color w:val="000000"/>
          <w:sz w:val="24"/>
          <w:szCs w:val="24"/>
        </w:rPr>
        <w:t>List of significantly downregulated and upregulated transcription factors genes with their logFc and p value HepG2.2.15 samples</w:t>
      </w:r>
      <w:r>
        <w:rPr>
          <w:rFonts w:ascii="Times New Roman" w:hAnsi="Times New Roman"/>
          <w:sz w:val="24"/>
          <w:szCs w:val="24"/>
        </w:rPr>
        <w:t xml:space="preserve"> after HBx knockdown. (Highlighted factors are mentioned in manuscript with their roles).</w:t>
      </w:r>
    </w:p>
    <w:p>
      <w:pPr>
        <w:spacing w:line="360" w:lineRule="auto"/>
        <w:jc w:val="both"/>
        <w:rPr>
          <w:rFonts w:ascii="Times New Roman" w:hAnsi="Times New Roman"/>
          <w:sz w:val="24"/>
          <w:szCs w:val="24"/>
        </w:rPr>
      </w:pPr>
    </w:p>
    <w:p>
      <w:pPr>
        <w:autoSpaceDE w:val="0"/>
        <w:autoSpaceDN w:val="0"/>
        <w:adjustRightInd w:val="0"/>
        <w:spacing w:before="120" w:beforeLines="50" w:after="120" w:afterLines="50" w:line="360" w:lineRule="auto"/>
        <w:jc w:val="both"/>
        <w:rPr>
          <w:rFonts w:hint="default" w:ascii="Times New Roman" w:hAnsi="Times New Roman" w:cs="Times New Roman"/>
          <w:b/>
          <w:bCs/>
          <w:sz w:val="24"/>
          <w:szCs w:val="24"/>
          <w:lang w:val="en-US" w:eastAsia="en-US"/>
        </w:rPr>
      </w:pPr>
      <w:r>
        <w:rPr>
          <w:rFonts w:ascii="Times New Roman" w:hAnsi="Times New Roman" w:cs="Times New Roman"/>
          <w:b/>
          <w:bCs/>
          <w:sz w:val="24"/>
          <w:szCs w:val="24"/>
          <w:lang w:eastAsia="en-US"/>
        </w:rPr>
        <w:t>Table S1:</w:t>
      </w:r>
      <w:r>
        <w:rPr>
          <w:rFonts w:hint="default" w:ascii="Times New Roman" w:hAnsi="Times New Roman" w:cs="Times New Roman"/>
          <w:b/>
          <w:bCs/>
          <w:sz w:val="24"/>
          <w:szCs w:val="24"/>
          <w:lang w:val="en-US" w:eastAsia="en-US"/>
        </w:rPr>
        <w:t xml:space="preserve"> Primer sequences used for the study:</w:t>
      </w:r>
    </w:p>
    <w:tbl>
      <w:tblPr>
        <w:tblStyle w:val="3"/>
        <w:tblpPr w:leftFromText="180" w:rightFromText="180" w:vertAnchor="text" w:horzAnchor="page" w:tblpX="1076" w:tblpY="423"/>
        <w:tblOverlap w:val="never"/>
        <w:tblW w:w="96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2"/>
        <w:gridCol w:w="4199"/>
        <w:gridCol w:w="4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372" w:type="dxa"/>
            <w:tcBorders>
              <w:top w:val="single" w:color="000000" w:sz="24" w:space="0"/>
              <w:left w:val="nil"/>
              <w:bottom w:val="single" w:color="000000" w:sz="24" w:space="0"/>
              <w:right w:val="nil"/>
            </w:tcBorders>
            <w:noWrap w:val="0"/>
            <w:vAlign w:val="top"/>
          </w:tcPr>
          <w:p>
            <w:pPr>
              <w:widowControl w:val="0"/>
              <w:pBdr>
                <w:top w:val="none" w:color="auto" w:sz="0" w:space="1"/>
                <w:left w:val="none" w:color="auto" w:sz="0" w:space="4"/>
                <w:bottom w:val="none" w:color="auto" w:sz="0" w:space="1"/>
                <w:right w:val="none" w:color="auto" w:sz="0" w:space="4"/>
              </w:pBdr>
              <w:autoSpaceDE w:val="0"/>
              <w:autoSpaceDN w:val="0"/>
              <w:adjustRightInd w:val="0"/>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Genes</w:t>
            </w:r>
          </w:p>
        </w:tc>
        <w:tc>
          <w:tcPr>
            <w:tcW w:w="4199" w:type="dxa"/>
            <w:tcBorders>
              <w:top w:val="single" w:color="000000" w:sz="24" w:space="0"/>
              <w:left w:val="nil"/>
              <w:bottom w:val="single" w:color="000000" w:sz="24" w:space="0"/>
              <w:right w:val="nil"/>
            </w:tcBorders>
            <w:noWrap w:val="0"/>
            <w:vAlign w:val="top"/>
          </w:tcPr>
          <w:p>
            <w:pPr>
              <w:widowControl w:val="0"/>
              <w:pBdr>
                <w:top w:val="none" w:color="auto" w:sz="0" w:space="1"/>
                <w:left w:val="none" w:color="auto" w:sz="0" w:space="4"/>
                <w:bottom w:val="none" w:color="auto" w:sz="0" w:space="1"/>
                <w:right w:val="none" w:color="auto" w:sz="0" w:space="4"/>
              </w:pBdr>
              <w:autoSpaceDE w:val="0"/>
              <w:autoSpaceDN w:val="0"/>
              <w:adjustRightInd w:val="0"/>
              <w:spacing w:line="360" w:lineRule="auto"/>
              <w:ind w:firstLine="120" w:firstLineChars="50"/>
              <w:jc w:val="both"/>
              <w:rPr>
                <w:rFonts w:ascii="Times New Roman" w:hAnsi="Times New Roman" w:cs="Times New Roman"/>
                <w:b/>
                <w:bCs/>
                <w:sz w:val="24"/>
                <w:szCs w:val="24"/>
              </w:rPr>
            </w:pPr>
            <w:r>
              <w:rPr>
                <w:rFonts w:ascii="Times New Roman" w:hAnsi="Times New Roman" w:cs="Times New Roman"/>
                <w:b/>
                <w:bCs/>
                <w:sz w:val="24"/>
                <w:szCs w:val="24"/>
              </w:rPr>
              <w:t>Forward sequence</w:t>
            </w:r>
          </w:p>
        </w:tc>
        <w:tc>
          <w:tcPr>
            <w:tcW w:w="4108" w:type="dxa"/>
            <w:tcBorders>
              <w:top w:val="single" w:color="000000" w:sz="24" w:space="0"/>
              <w:left w:val="nil"/>
              <w:bottom w:val="single" w:color="000000" w:sz="24" w:space="0"/>
              <w:right w:val="nil"/>
            </w:tcBorders>
            <w:noWrap w:val="0"/>
            <w:vAlign w:val="top"/>
          </w:tcPr>
          <w:p>
            <w:pPr>
              <w:widowControl w:val="0"/>
              <w:pBdr>
                <w:top w:val="none" w:color="auto" w:sz="0" w:space="1"/>
                <w:left w:val="none" w:color="auto" w:sz="0" w:space="4"/>
                <w:bottom w:val="none" w:color="auto" w:sz="0" w:space="1"/>
                <w:right w:val="none" w:color="auto" w:sz="0" w:space="4"/>
              </w:pBdr>
              <w:autoSpaceDE w:val="0"/>
              <w:autoSpaceDN w:val="0"/>
              <w:adjustRightInd w:val="0"/>
              <w:spacing w:line="360" w:lineRule="auto"/>
              <w:ind w:firstLine="120" w:firstLineChars="50"/>
              <w:jc w:val="both"/>
              <w:rPr>
                <w:rFonts w:ascii="Times New Roman" w:hAnsi="Times New Roman" w:cs="Times New Roman"/>
                <w:b/>
                <w:bCs/>
                <w:sz w:val="24"/>
                <w:szCs w:val="24"/>
              </w:rPr>
            </w:pPr>
            <w:r>
              <w:rPr>
                <w:rFonts w:ascii="Times New Roman" w:hAnsi="Times New Roman" w:cs="Times New Roman"/>
                <w:b/>
                <w:bCs/>
                <w:sz w:val="24"/>
                <w:szCs w:val="24"/>
              </w:rPr>
              <w:t>Reverse sequence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372" w:type="dxa"/>
            <w:tcBorders>
              <w:top w:val="single" w:color="000000" w:sz="24" w:space="0"/>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18s</w:t>
            </w:r>
          </w:p>
        </w:tc>
        <w:tc>
          <w:tcPr>
            <w:tcW w:w="4199" w:type="dxa"/>
            <w:tcBorders>
              <w:top w:val="single" w:color="000000" w:sz="24" w:space="0"/>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cs="Times New Roman"/>
                <w:b/>
                <w:bCs/>
                <w:sz w:val="24"/>
                <w:szCs w:val="24"/>
                <w:lang w:val="en-IN"/>
              </w:rPr>
            </w:pPr>
            <w:r>
              <w:rPr>
                <w:rFonts w:ascii="Times New Roman" w:hAnsi="Times New Roman" w:cs="Times New Roman"/>
                <w:b/>
                <w:bCs/>
                <w:color w:val="000000"/>
                <w:sz w:val="24"/>
                <w:szCs w:val="24"/>
                <w:shd w:val="clear" w:color="auto" w:fill="FFFFFF"/>
              </w:rPr>
              <w:t>GTAACCCGTTGAACCCCATT</w:t>
            </w:r>
          </w:p>
        </w:tc>
        <w:tc>
          <w:tcPr>
            <w:tcW w:w="4108" w:type="dxa"/>
            <w:tcBorders>
              <w:top w:val="single" w:color="000000" w:sz="24" w:space="0"/>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cs="Times New Roman"/>
                <w:b/>
                <w:bCs/>
                <w:sz w:val="24"/>
                <w:szCs w:val="24"/>
                <w:lang w:val="en-IN"/>
              </w:rPr>
            </w:pPr>
            <w:r>
              <w:rPr>
                <w:rFonts w:ascii="Times New Roman" w:hAnsi="Times New Roman" w:cs="Times New Roman"/>
                <w:b/>
                <w:bCs/>
                <w:color w:val="000000"/>
                <w:sz w:val="24"/>
                <w:szCs w:val="24"/>
                <w:shd w:val="clear" w:color="auto" w:fill="FFFFFF"/>
              </w:rPr>
              <w:t>CCATCCAATCGGTAGTAGCG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372"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cs="Times New Roman"/>
                <w:b/>
                <w:bCs/>
                <w:sz w:val="24"/>
                <w:szCs w:val="24"/>
              </w:rPr>
            </w:pPr>
            <w:r>
              <w:rPr>
                <w:rFonts w:ascii="Times New Roman" w:hAnsi="Times New Roman"/>
                <w:b/>
                <w:bCs/>
                <w:sz w:val="24"/>
                <w:szCs w:val="24"/>
                <w:lang w:val="en-IN"/>
              </w:rPr>
              <w:t>Thy-1</w:t>
            </w:r>
          </w:p>
        </w:tc>
        <w:tc>
          <w:tcPr>
            <w:tcW w:w="4199"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GCTGCTTCTGTCTGGTTTAT</w:t>
            </w:r>
          </w:p>
        </w:tc>
        <w:tc>
          <w:tcPr>
            <w:tcW w:w="4108"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cs="Times New Roman"/>
                <w:b/>
                <w:bCs/>
                <w:color w:val="000000"/>
                <w:sz w:val="24"/>
                <w:szCs w:val="24"/>
                <w:shd w:val="clear" w:color="auto" w:fill="FFFFFF"/>
              </w:rPr>
            </w:pPr>
            <w:r>
              <w:rPr>
                <w:rStyle w:val="5"/>
                <w:rFonts w:ascii="Times New Roman" w:hAnsi="Times New Roman" w:cs="Times New Roman"/>
                <w:b/>
                <w:bCs/>
                <w:sz w:val="24"/>
                <w:szCs w:val="24"/>
                <w:shd w:val="clear" w:color="auto" w:fill="FFFFFF"/>
              </w:rPr>
              <w:t>ACTCCTCATCCAAGTCTCTC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372"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sz w:val="24"/>
                <w:szCs w:val="24"/>
                <w:lang w:val="en-IN"/>
              </w:rPr>
            </w:pPr>
            <w:r>
              <w:rPr>
                <w:rFonts w:ascii="Times New Roman" w:hAnsi="Times New Roman"/>
                <w:b/>
                <w:bCs/>
                <w:sz w:val="24"/>
                <w:szCs w:val="24"/>
                <w:lang w:val="en-IN"/>
              </w:rPr>
              <w:t>V</w:t>
            </w:r>
            <w:r>
              <w:rPr>
                <w:rFonts w:ascii="Times New Roman" w:hAnsi="Times New Roman"/>
                <w:b/>
                <w:bCs/>
                <w:sz w:val="24"/>
                <w:szCs w:val="24"/>
              </w:rPr>
              <w:t>IM</w:t>
            </w:r>
          </w:p>
        </w:tc>
        <w:tc>
          <w:tcPr>
            <w:tcW w:w="4199"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cs="Times New Roman"/>
                <w:b/>
                <w:bCs/>
                <w:color w:val="000000"/>
                <w:sz w:val="24"/>
                <w:szCs w:val="24"/>
                <w:shd w:val="clear" w:color="auto" w:fill="FFFFFF"/>
              </w:rPr>
            </w:pPr>
            <w:r>
              <w:rPr>
                <w:rFonts w:ascii="Times New Roman" w:hAnsi="Times New Roman"/>
                <w:b/>
                <w:bCs/>
                <w:color w:val="000000"/>
                <w:sz w:val="24"/>
                <w:szCs w:val="24"/>
              </w:rPr>
              <w:t>CAGATGCGTGAAATGGAAGA</w:t>
            </w:r>
          </w:p>
        </w:tc>
        <w:tc>
          <w:tcPr>
            <w:tcW w:w="4108" w:type="dxa"/>
            <w:tcBorders>
              <w:top w:val="nil"/>
              <w:left w:val="nil"/>
              <w:bottom w:val="nil"/>
              <w:right w:val="nil"/>
            </w:tcBorders>
            <w:noWrap w:val="0"/>
            <w:vAlign w:val="top"/>
          </w:tcPr>
          <w:p>
            <w:pPr>
              <w:widowControl w:val="0"/>
              <w:autoSpaceDE w:val="0"/>
              <w:autoSpaceDN w:val="0"/>
              <w:adjustRightInd w:val="0"/>
              <w:spacing w:line="360" w:lineRule="auto"/>
              <w:jc w:val="both"/>
              <w:rPr>
                <w:rStyle w:val="5"/>
                <w:rFonts w:ascii="Times New Roman" w:hAnsi="Times New Roman" w:cs="Times New Roman"/>
                <w:b/>
                <w:bCs/>
                <w:sz w:val="24"/>
                <w:szCs w:val="24"/>
                <w:shd w:val="clear" w:color="auto" w:fill="FFFFFF"/>
              </w:rPr>
            </w:pPr>
            <w:r>
              <w:rPr>
                <w:rFonts w:ascii="Times New Roman" w:hAnsi="Times New Roman"/>
                <w:b/>
                <w:bCs/>
                <w:color w:val="000000"/>
                <w:sz w:val="24"/>
                <w:szCs w:val="24"/>
              </w:rPr>
              <w:t>TGGAAGAGGCAGAGAAATCC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372"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sz w:val="24"/>
                <w:szCs w:val="24"/>
                <w:lang w:val="en-IN"/>
              </w:rPr>
            </w:pPr>
            <w:r>
              <w:rPr>
                <w:rFonts w:ascii="Times New Roman" w:hAnsi="Times New Roman"/>
                <w:b/>
                <w:bCs/>
                <w:sz w:val="24"/>
                <w:szCs w:val="24"/>
              </w:rPr>
              <w:t>CDH1</w:t>
            </w:r>
          </w:p>
        </w:tc>
        <w:tc>
          <w:tcPr>
            <w:tcW w:w="4199"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color w:val="000000"/>
                <w:sz w:val="24"/>
                <w:szCs w:val="24"/>
              </w:rPr>
            </w:pPr>
            <w:r>
              <w:rPr>
                <w:rFonts w:ascii="Times New Roman" w:hAnsi="Times New Roman"/>
                <w:b/>
                <w:bCs/>
                <w:color w:val="000000"/>
                <w:sz w:val="24"/>
                <w:szCs w:val="24"/>
              </w:rPr>
              <w:t>CCCCCTGTTGGTGTCTTTATT</w:t>
            </w:r>
          </w:p>
        </w:tc>
        <w:tc>
          <w:tcPr>
            <w:tcW w:w="4108"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color w:val="000000"/>
                <w:sz w:val="24"/>
                <w:szCs w:val="24"/>
              </w:rPr>
            </w:pPr>
            <w:r>
              <w:rPr>
                <w:rFonts w:ascii="Times New Roman" w:hAnsi="Times New Roman"/>
                <w:b/>
                <w:bCs/>
                <w:color w:val="000000"/>
                <w:sz w:val="24"/>
                <w:szCs w:val="24"/>
              </w:rPr>
              <w:t>ATTCGGGCTTGTTGTCATTC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372"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sz w:val="24"/>
                <w:szCs w:val="24"/>
              </w:rPr>
            </w:pPr>
            <w:r>
              <w:rPr>
                <w:rFonts w:ascii="Times New Roman" w:hAnsi="Times New Roman"/>
                <w:b/>
                <w:bCs/>
                <w:sz w:val="24"/>
                <w:szCs w:val="24"/>
              </w:rPr>
              <w:t>CDH2</w:t>
            </w:r>
          </w:p>
        </w:tc>
        <w:tc>
          <w:tcPr>
            <w:tcW w:w="4199"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color w:val="000000"/>
                <w:sz w:val="24"/>
                <w:szCs w:val="24"/>
              </w:rPr>
            </w:pPr>
            <w:r>
              <w:rPr>
                <w:rStyle w:val="6"/>
                <w:rFonts w:ascii="Times New Roman" w:hAnsi="Times New Roman" w:cs="Times New Roman"/>
                <w:b/>
                <w:bCs/>
                <w:sz w:val="24"/>
                <w:szCs w:val="24"/>
              </w:rPr>
              <w:t>GCTCCCTTAATTCCTCAAGTAG</w:t>
            </w:r>
          </w:p>
        </w:tc>
        <w:tc>
          <w:tcPr>
            <w:tcW w:w="4108"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color w:val="000000"/>
                <w:sz w:val="24"/>
                <w:szCs w:val="24"/>
              </w:rPr>
            </w:pPr>
            <w:r>
              <w:rPr>
                <w:rStyle w:val="5"/>
                <w:rFonts w:ascii="Times New Roman" w:hAnsi="Times New Roman" w:cs="Times New Roman"/>
                <w:b/>
                <w:bCs/>
                <w:sz w:val="24"/>
                <w:szCs w:val="24"/>
              </w:rPr>
              <w:t>TCATCACCTCCACCATACA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3" w:hRule="atLeast"/>
        </w:trPr>
        <w:tc>
          <w:tcPr>
            <w:tcW w:w="1372"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sz w:val="24"/>
                <w:szCs w:val="24"/>
              </w:rPr>
            </w:pPr>
            <w:r>
              <w:rPr>
                <w:rFonts w:ascii="Times New Roman" w:hAnsi="Times New Roman"/>
                <w:b/>
                <w:bCs/>
                <w:sz w:val="24"/>
                <w:szCs w:val="24"/>
              </w:rPr>
              <w:t>CD133</w:t>
            </w:r>
          </w:p>
        </w:tc>
        <w:tc>
          <w:tcPr>
            <w:tcW w:w="4199"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color w:val="000000"/>
                <w:sz w:val="24"/>
                <w:szCs w:val="24"/>
              </w:rPr>
            </w:pPr>
            <w:r>
              <w:rPr>
                <w:rStyle w:val="6"/>
                <w:rFonts w:ascii="Times New Roman" w:hAnsi="Times New Roman" w:cs="Times New Roman"/>
                <w:b/>
                <w:bCs/>
                <w:sz w:val="24"/>
                <w:szCs w:val="24"/>
              </w:rPr>
              <w:t>CCACATGCTACATCCAGATAC</w:t>
            </w:r>
          </w:p>
        </w:tc>
        <w:tc>
          <w:tcPr>
            <w:tcW w:w="4108"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color w:val="000000"/>
                <w:sz w:val="24"/>
                <w:szCs w:val="24"/>
              </w:rPr>
            </w:pPr>
            <w:r>
              <w:rPr>
                <w:rStyle w:val="5"/>
                <w:rFonts w:ascii="Times New Roman" w:hAnsi="Times New Roman" w:cs="Times New Roman"/>
                <w:b/>
                <w:bCs/>
                <w:sz w:val="24"/>
                <w:szCs w:val="24"/>
              </w:rPr>
              <w:t>CCAGGACACAGCATAGAATAAT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372"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sz w:val="24"/>
                <w:szCs w:val="24"/>
              </w:rPr>
            </w:pPr>
            <w:r>
              <w:rPr>
                <w:rFonts w:ascii="Times New Roman" w:hAnsi="Times New Roman"/>
                <w:b/>
                <w:bCs/>
                <w:sz w:val="24"/>
                <w:szCs w:val="24"/>
              </w:rPr>
              <w:t>CD44</w:t>
            </w:r>
          </w:p>
        </w:tc>
        <w:tc>
          <w:tcPr>
            <w:tcW w:w="4199"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color w:val="000000"/>
                <w:sz w:val="24"/>
                <w:szCs w:val="24"/>
              </w:rPr>
            </w:pPr>
            <w:r>
              <w:rPr>
                <w:rFonts w:ascii="Times New Roman" w:hAnsi="Times New Roman" w:cs="Times New Roman"/>
                <w:b/>
                <w:bCs/>
                <w:color w:val="000000"/>
                <w:sz w:val="24"/>
                <w:szCs w:val="24"/>
              </w:rPr>
              <w:t>GGTGAACAAGGAGTCGTC</w:t>
            </w:r>
          </w:p>
        </w:tc>
        <w:tc>
          <w:tcPr>
            <w:tcW w:w="4108"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color w:val="000000"/>
                <w:sz w:val="24"/>
                <w:szCs w:val="24"/>
              </w:rPr>
            </w:pPr>
            <w:r>
              <w:rPr>
                <w:rFonts w:ascii="Times New Roman" w:hAnsi="Times New Roman" w:cs="Times New Roman"/>
                <w:b/>
                <w:bCs/>
                <w:color w:val="000000"/>
                <w:sz w:val="24"/>
                <w:szCs w:val="24"/>
              </w:rPr>
              <w:t>TTCCAAGATAATGGTGTAGGTG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1372"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sz w:val="24"/>
                <w:szCs w:val="24"/>
              </w:rPr>
            </w:pPr>
            <w:r>
              <w:rPr>
                <w:rFonts w:ascii="Times New Roman" w:hAnsi="Times New Roman"/>
                <w:b/>
                <w:bCs/>
                <w:sz w:val="24"/>
                <w:szCs w:val="24"/>
              </w:rPr>
              <w:t>CD24</w:t>
            </w:r>
          </w:p>
        </w:tc>
        <w:tc>
          <w:tcPr>
            <w:tcW w:w="4199"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color w:val="000000"/>
                <w:sz w:val="24"/>
                <w:szCs w:val="24"/>
              </w:rPr>
            </w:pPr>
            <w:r>
              <w:rPr>
                <w:rFonts w:ascii="Times New Roman" w:hAnsi="Times New Roman"/>
                <w:b/>
                <w:bCs/>
                <w:color w:val="000000"/>
                <w:sz w:val="24"/>
                <w:szCs w:val="24"/>
              </w:rPr>
              <w:t>TGAAGAACATGTGAGAGGTTTGAC</w:t>
            </w:r>
          </w:p>
        </w:tc>
        <w:tc>
          <w:tcPr>
            <w:tcW w:w="4108"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color w:val="000000"/>
                <w:sz w:val="24"/>
                <w:szCs w:val="24"/>
              </w:rPr>
            </w:pPr>
            <w:r>
              <w:rPr>
                <w:rFonts w:ascii="Times New Roman" w:hAnsi="Times New Roman"/>
                <w:b/>
                <w:bCs/>
                <w:color w:val="000000"/>
                <w:sz w:val="24"/>
                <w:szCs w:val="24"/>
              </w:rPr>
              <w:t>GAAAACTGAATCTCCATTCCACAA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372" w:type="dxa"/>
            <w:tcBorders>
              <w:top w:val="nil"/>
              <w:left w:val="nil"/>
              <w:bottom w:val="nil"/>
              <w:right w:val="nil"/>
            </w:tcBorders>
            <w:noWrap w:val="0"/>
            <w:vAlign w:val="top"/>
          </w:tcPr>
          <w:p>
            <w:pPr>
              <w:widowControl w:val="0"/>
              <w:spacing w:line="360" w:lineRule="auto"/>
              <w:jc w:val="both"/>
              <w:rPr>
                <w:rFonts w:ascii="Times New Roman" w:hAnsi="Times New Roman" w:cs="Times New Roman"/>
                <w:b/>
                <w:bCs/>
                <w:sz w:val="24"/>
                <w:szCs w:val="24"/>
              </w:rPr>
            </w:pPr>
            <w:r>
              <w:rPr>
                <w:rFonts w:ascii="Times New Roman" w:hAnsi="Times New Roman" w:cs="Times New Roman"/>
                <w:b/>
                <w:bCs/>
                <w:color w:val="000000"/>
                <w:sz w:val="24"/>
                <w:szCs w:val="24"/>
                <w:lang w:val="en-IN"/>
              </w:rPr>
              <w:t>β</w:t>
            </w:r>
            <w:r>
              <w:rPr>
                <w:rFonts w:ascii="Times New Roman" w:hAnsi="Times New Roman"/>
                <w:b/>
                <w:bCs/>
                <w:sz w:val="24"/>
                <w:szCs w:val="24"/>
              </w:rPr>
              <w:t>- catenin</w:t>
            </w:r>
          </w:p>
        </w:tc>
        <w:tc>
          <w:tcPr>
            <w:tcW w:w="4199"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color w:val="000000"/>
                <w:sz w:val="24"/>
                <w:szCs w:val="24"/>
              </w:rPr>
            </w:pPr>
            <w:r>
              <w:rPr>
                <w:rFonts w:ascii="Times New Roman" w:hAnsi="Times New Roman"/>
                <w:b/>
                <w:bCs/>
                <w:color w:val="000000"/>
                <w:sz w:val="24"/>
                <w:szCs w:val="24"/>
              </w:rPr>
              <w:t>TGGTGACAGGGAAGACATCA</w:t>
            </w:r>
          </w:p>
        </w:tc>
        <w:tc>
          <w:tcPr>
            <w:tcW w:w="4108"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color w:val="000000"/>
                <w:sz w:val="24"/>
                <w:szCs w:val="24"/>
              </w:rPr>
            </w:pPr>
            <w:r>
              <w:rPr>
                <w:rFonts w:ascii="Times New Roman" w:hAnsi="Times New Roman"/>
                <w:b/>
                <w:bCs/>
                <w:color w:val="000000"/>
                <w:sz w:val="24"/>
                <w:szCs w:val="24"/>
              </w:rPr>
              <w:t>CGAATCAATCCAACAGTAGCC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372" w:type="dxa"/>
            <w:tcBorders>
              <w:top w:val="nil"/>
              <w:left w:val="nil"/>
              <w:bottom w:val="nil"/>
              <w:right w:val="nil"/>
            </w:tcBorders>
            <w:noWrap w:val="0"/>
            <w:vAlign w:val="top"/>
          </w:tcPr>
          <w:p>
            <w:pPr>
              <w:widowControl w:val="0"/>
              <w:spacing w:line="360" w:lineRule="auto"/>
              <w:jc w:val="both"/>
              <w:rPr>
                <w:rFonts w:ascii="Times New Roman" w:hAnsi="Times New Roman" w:cs="Times New Roman"/>
                <w:b/>
                <w:bCs/>
                <w:color w:val="000000"/>
                <w:sz w:val="24"/>
                <w:szCs w:val="24"/>
                <w:lang w:val="en-IN"/>
              </w:rPr>
            </w:pPr>
            <w:r>
              <w:rPr>
                <w:rFonts w:ascii="Times New Roman" w:hAnsi="Times New Roman"/>
                <w:b/>
                <w:bCs/>
                <w:sz w:val="24"/>
                <w:szCs w:val="24"/>
                <w:lang w:val="en-IN"/>
              </w:rPr>
              <w:t>TGF</w:t>
            </w:r>
            <w:r>
              <w:rPr>
                <w:rFonts w:ascii="Times New Roman" w:hAnsi="Times New Roman" w:cs="Times New Roman"/>
                <w:b/>
                <w:bCs/>
                <w:sz w:val="24"/>
                <w:szCs w:val="24"/>
                <w:lang w:val="en-IN"/>
              </w:rPr>
              <w:t>-</w:t>
            </w:r>
            <w:r>
              <w:rPr>
                <w:rFonts w:ascii="Times New Roman" w:hAnsi="Times New Roman" w:cs="Times New Roman"/>
                <w:b/>
                <w:bCs/>
                <w:color w:val="000000"/>
                <w:sz w:val="24"/>
                <w:szCs w:val="24"/>
                <w:lang w:val="en-IN"/>
              </w:rPr>
              <w:t>β</w:t>
            </w:r>
          </w:p>
        </w:tc>
        <w:tc>
          <w:tcPr>
            <w:tcW w:w="4199"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color w:val="000000"/>
                <w:sz w:val="24"/>
                <w:szCs w:val="24"/>
              </w:rPr>
            </w:pPr>
            <w:r>
              <w:rPr>
                <w:rFonts w:ascii="Times New Roman" w:hAnsi="Times New Roman"/>
                <w:b/>
                <w:bCs/>
                <w:color w:val="000000"/>
                <w:sz w:val="24"/>
                <w:szCs w:val="24"/>
              </w:rPr>
              <w:t>GAGGTGACCTGGCCACCATTCAT</w:t>
            </w:r>
          </w:p>
        </w:tc>
        <w:tc>
          <w:tcPr>
            <w:tcW w:w="4108"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color w:val="000000"/>
                <w:sz w:val="24"/>
                <w:szCs w:val="24"/>
              </w:rPr>
            </w:pPr>
            <w:r>
              <w:rPr>
                <w:rFonts w:ascii="Times New Roman" w:hAnsi="Times New Roman"/>
                <w:b/>
                <w:bCs/>
                <w:color w:val="000000"/>
                <w:sz w:val="24"/>
                <w:szCs w:val="24"/>
              </w:rPr>
              <w:t>TCCGCAAGGACCTCGGCTGG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1372" w:type="dxa"/>
            <w:tcBorders>
              <w:top w:val="nil"/>
              <w:left w:val="nil"/>
              <w:bottom w:val="nil"/>
              <w:right w:val="nil"/>
            </w:tcBorders>
            <w:noWrap w:val="0"/>
            <w:vAlign w:val="top"/>
          </w:tcPr>
          <w:p>
            <w:pPr>
              <w:widowControl w:val="0"/>
              <w:spacing w:line="360" w:lineRule="auto"/>
              <w:jc w:val="both"/>
              <w:rPr>
                <w:rFonts w:ascii="Times New Roman" w:hAnsi="Times New Roman"/>
                <w:b/>
                <w:bCs/>
                <w:sz w:val="24"/>
                <w:szCs w:val="24"/>
                <w:lang w:val="en-IN"/>
              </w:rPr>
            </w:pPr>
            <w:r>
              <w:rPr>
                <w:rFonts w:ascii="Times New Roman" w:hAnsi="Times New Roman"/>
                <w:b/>
                <w:bCs/>
                <w:sz w:val="24"/>
                <w:szCs w:val="24"/>
                <w:lang w:val="en-IN"/>
              </w:rPr>
              <w:t>Fibronectin</w:t>
            </w:r>
          </w:p>
        </w:tc>
        <w:tc>
          <w:tcPr>
            <w:tcW w:w="4199"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color w:val="000000"/>
                <w:sz w:val="24"/>
                <w:szCs w:val="24"/>
              </w:rPr>
            </w:pPr>
            <w:r>
              <w:rPr>
                <w:rFonts w:ascii="Times New Roman" w:hAnsi="Times New Roman"/>
                <w:b/>
                <w:bCs/>
                <w:color w:val="000000"/>
                <w:sz w:val="24"/>
                <w:szCs w:val="24"/>
              </w:rPr>
              <w:t>TGCGATGACGTGATCTGTGA</w:t>
            </w:r>
          </w:p>
        </w:tc>
        <w:tc>
          <w:tcPr>
            <w:tcW w:w="4108"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color w:val="000000"/>
                <w:sz w:val="24"/>
                <w:szCs w:val="24"/>
              </w:rPr>
            </w:pPr>
            <w:r>
              <w:rPr>
                <w:rFonts w:ascii="Times New Roman" w:hAnsi="Times New Roman"/>
                <w:b/>
                <w:bCs/>
                <w:color w:val="000000"/>
                <w:sz w:val="24"/>
                <w:szCs w:val="24"/>
              </w:rPr>
              <w:t>GCTGAGACCCAGGAGACCAC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1372" w:type="dxa"/>
            <w:tcBorders>
              <w:top w:val="nil"/>
              <w:left w:val="nil"/>
              <w:bottom w:val="nil"/>
              <w:right w:val="nil"/>
            </w:tcBorders>
            <w:noWrap w:val="0"/>
            <w:vAlign w:val="top"/>
          </w:tcPr>
          <w:p>
            <w:pPr>
              <w:widowControl w:val="0"/>
              <w:spacing w:line="360" w:lineRule="auto"/>
              <w:jc w:val="both"/>
              <w:rPr>
                <w:rFonts w:ascii="Times New Roman" w:hAnsi="Times New Roman"/>
                <w:b/>
                <w:bCs/>
                <w:sz w:val="24"/>
                <w:szCs w:val="24"/>
              </w:rPr>
            </w:pPr>
            <w:r>
              <w:rPr>
                <w:rFonts w:ascii="Times New Roman" w:hAnsi="Times New Roman"/>
                <w:b/>
                <w:bCs/>
                <w:sz w:val="24"/>
                <w:szCs w:val="24"/>
              </w:rPr>
              <w:t>Alpha SMA</w:t>
            </w:r>
          </w:p>
        </w:tc>
        <w:tc>
          <w:tcPr>
            <w:tcW w:w="4199"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color w:val="000000"/>
                <w:sz w:val="24"/>
                <w:szCs w:val="24"/>
              </w:rPr>
            </w:pPr>
            <w:r>
              <w:rPr>
                <w:rFonts w:ascii="Times New Roman" w:hAnsi="Times New Roman"/>
                <w:b/>
                <w:bCs/>
                <w:color w:val="000000"/>
                <w:sz w:val="24"/>
                <w:szCs w:val="24"/>
              </w:rPr>
              <w:t>GGCTATTCCTTCGTTACTACTG</w:t>
            </w:r>
          </w:p>
        </w:tc>
        <w:tc>
          <w:tcPr>
            <w:tcW w:w="4108"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color w:val="000000"/>
                <w:sz w:val="24"/>
                <w:szCs w:val="24"/>
              </w:rPr>
            </w:pPr>
            <w:r>
              <w:rPr>
                <w:rFonts w:ascii="Times New Roman" w:hAnsi="Times New Roman"/>
                <w:b/>
                <w:bCs/>
                <w:color w:val="000000"/>
                <w:sz w:val="24"/>
                <w:szCs w:val="24"/>
              </w:rPr>
              <w:t>GGCAACTCGTAACTCTTCTC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3" w:hRule="atLeast"/>
        </w:trPr>
        <w:tc>
          <w:tcPr>
            <w:tcW w:w="1372" w:type="dxa"/>
            <w:tcBorders>
              <w:top w:val="nil"/>
              <w:left w:val="nil"/>
              <w:bottom w:val="nil"/>
              <w:right w:val="nil"/>
            </w:tcBorders>
            <w:noWrap w:val="0"/>
            <w:vAlign w:val="top"/>
          </w:tcPr>
          <w:p>
            <w:pPr>
              <w:widowControl w:val="0"/>
              <w:spacing w:line="360" w:lineRule="auto"/>
              <w:jc w:val="both"/>
              <w:rPr>
                <w:rFonts w:ascii="Times New Roman" w:hAnsi="Times New Roman"/>
                <w:b/>
                <w:bCs/>
                <w:sz w:val="24"/>
                <w:szCs w:val="24"/>
                <w:lang w:val="en-IN"/>
              </w:rPr>
            </w:pPr>
            <w:r>
              <w:rPr>
                <w:rFonts w:ascii="Times New Roman" w:hAnsi="Times New Roman" w:cs="Times New Roman"/>
                <w:b/>
                <w:bCs/>
                <w:sz w:val="24"/>
                <w:szCs w:val="24"/>
              </w:rPr>
              <w:t>MMP2</w:t>
            </w:r>
          </w:p>
        </w:tc>
        <w:tc>
          <w:tcPr>
            <w:tcW w:w="4199"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color w:val="000000"/>
                <w:sz w:val="24"/>
                <w:szCs w:val="24"/>
              </w:rPr>
            </w:pPr>
            <w:r>
              <w:rPr>
                <w:rFonts w:ascii="Times New Roman" w:hAnsi="Times New Roman" w:cs="Times New Roman"/>
                <w:b/>
                <w:bCs/>
                <w:color w:val="000000"/>
                <w:sz w:val="24"/>
                <w:szCs w:val="24"/>
              </w:rPr>
              <w:t>GTTCATTTGGCGGACTGT</w:t>
            </w:r>
          </w:p>
        </w:tc>
        <w:tc>
          <w:tcPr>
            <w:tcW w:w="4108"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color w:val="000000"/>
                <w:sz w:val="24"/>
                <w:szCs w:val="24"/>
              </w:rPr>
            </w:pPr>
            <w:r>
              <w:rPr>
                <w:rFonts w:ascii="Times New Roman" w:hAnsi="Times New Roman" w:cs="Times New Roman"/>
                <w:b/>
                <w:bCs/>
                <w:color w:val="000000"/>
                <w:sz w:val="24"/>
                <w:szCs w:val="24"/>
              </w:rPr>
              <w:t>AGGGTGCTGGCTGAGTAG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372" w:type="dxa"/>
            <w:tcBorders>
              <w:top w:val="nil"/>
              <w:left w:val="nil"/>
              <w:bottom w:val="nil"/>
              <w:right w:val="nil"/>
            </w:tcBorders>
            <w:noWrap w:val="0"/>
            <w:vAlign w:val="top"/>
          </w:tcPr>
          <w:p>
            <w:pPr>
              <w:widowControl w:val="0"/>
              <w:spacing w:line="360" w:lineRule="auto"/>
              <w:jc w:val="both"/>
              <w:rPr>
                <w:rFonts w:ascii="Times New Roman" w:hAnsi="Times New Roman" w:cs="Times New Roman"/>
                <w:b/>
                <w:bCs/>
                <w:sz w:val="24"/>
                <w:szCs w:val="24"/>
                <w:lang w:val="en-IN"/>
              </w:rPr>
            </w:pPr>
            <w:r>
              <w:rPr>
                <w:rFonts w:ascii="Times New Roman" w:hAnsi="Times New Roman"/>
                <w:b/>
                <w:bCs/>
                <w:sz w:val="24"/>
                <w:szCs w:val="24"/>
                <w:lang w:val="en-IN"/>
              </w:rPr>
              <w:t>MMP9</w:t>
            </w:r>
          </w:p>
        </w:tc>
        <w:tc>
          <w:tcPr>
            <w:tcW w:w="4199"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color w:val="000000"/>
                <w:sz w:val="24"/>
                <w:szCs w:val="24"/>
              </w:rPr>
            </w:pPr>
            <w:r>
              <w:rPr>
                <w:rFonts w:ascii="Times New Roman" w:hAnsi="Times New Roman" w:eastAsia="Lato" w:cs="Times New Roman"/>
                <w:b/>
                <w:bCs/>
                <w:sz w:val="24"/>
                <w:szCs w:val="24"/>
              </w:rPr>
              <w:t>GTCCCTTCATCCACAGGAATAC</w:t>
            </w:r>
          </w:p>
        </w:tc>
        <w:tc>
          <w:tcPr>
            <w:tcW w:w="4108"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color w:val="000000"/>
                <w:sz w:val="24"/>
                <w:szCs w:val="24"/>
              </w:rPr>
            </w:pPr>
            <w:r>
              <w:rPr>
                <w:rFonts w:ascii="Times New Roman" w:hAnsi="Times New Roman" w:eastAsia="Lato" w:cs="Times New Roman"/>
                <w:b/>
                <w:bCs/>
                <w:sz w:val="24"/>
                <w:szCs w:val="24"/>
              </w:rPr>
              <w:t>GGAAGGAGGTCAGAAGTGAAAG</w:t>
            </w:r>
            <w:r>
              <w:rPr>
                <w:rFonts w:ascii="Times New Roman" w:hAnsi="Times New Roman" w:eastAsia="Lato" w:cs="Times New Roman"/>
                <w:b/>
                <w:bCs/>
                <w:sz w:val="24"/>
                <w:szCs w:val="24"/>
                <w:lang w:val="en-I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372" w:type="dxa"/>
            <w:tcBorders>
              <w:top w:val="nil"/>
              <w:left w:val="nil"/>
              <w:bottom w:val="nil"/>
              <w:right w:val="nil"/>
            </w:tcBorders>
            <w:noWrap w:val="0"/>
            <w:vAlign w:val="top"/>
          </w:tcPr>
          <w:p>
            <w:pPr>
              <w:widowControl w:val="0"/>
              <w:spacing w:line="360" w:lineRule="auto"/>
              <w:jc w:val="both"/>
              <w:rPr>
                <w:rFonts w:ascii="Times New Roman" w:hAnsi="Times New Roman"/>
                <w:b/>
                <w:bCs/>
                <w:sz w:val="24"/>
                <w:szCs w:val="24"/>
                <w:lang w:val="en-IN"/>
              </w:rPr>
            </w:pPr>
            <w:r>
              <w:rPr>
                <w:rFonts w:ascii="Times New Roman" w:hAnsi="Times New Roman"/>
                <w:b/>
                <w:bCs/>
                <w:sz w:val="24"/>
                <w:szCs w:val="24"/>
              </w:rPr>
              <w:t>MMP14</w:t>
            </w:r>
          </w:p>
        </w:tc>
        <w:tc>
          <w:tcPr>
            <w:tcW w:w="4199"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color w:val="000000"/>
                <w:sz w:val="24"/>
                <w:szCs w:val="24"/>
              </w:rPr>
            </w:pPr>
            <w:r>
              <w:rPr>
                <w:rFonts w:ascii="Times New Roman" w:hAnsi="Times New Roman"/>
                <w:b/>
                <w:bCs/>
                <w:color w:val="000000"/>
                <w:sz w:val="24"/>
                <w:szCs w:val="24"/>
              </w:rPr>
              <w:t>ATCATGGCACCCTTTTACCA</w:t>
            </w:r>
          </w:p>
        </w:tc>
        <w:tc>
          <w:tcPr>
            <w:tcW w:w="4108" w:type="dxa"/>
            <w:tcBorders>
              <w:top w:val="nil"/>
              <w:left w:val="nil"/>
              <w:bottom w:val="nil"/>
              <w:right w:val="nil"/>
            </w:tcBorders>
            <w:noWrap w:val="0"/>
            <w:vAlign w:val="top"/>
          </w:tcPr>
          <w:p>
            <w:pPr>
              <w:widowControl w:val="0"/>
              <w:autoSpaceDE w:val="0"/>
              <w:autoSpaceDN w:val="0"/>
              <w:adjustRightInd w:val="0"/>
              <w:spacing w:line="360" w:lineRule="auto"/>
              <w:jc w:val="both"/>
              <w:rPr>
                <w:rFonts w:ascii="Times New Roman" w:hAnsi="Times New Roman"/>
                <w:b/>
                <w:bCs/>
                <w:color w:val="000000"/>
                <w:sz w:val="24"/>
                <w:szCs w:val="24"/>
              </w:rPr>
            </w:pPr>
            <w:r>
              <w:rPr>
                <w:rFonts w:ascii="Times New Roman" w:hAnsi="Times New Roman"/>
                <w:b/>
                <w:bCs/>
                <w:color w:val="000000"/>
                <w:sz w:val="24"/>
                <w:szCs w:val="24"/>
              </w:rPr>
              <w:t>TGGGGTTTTTGGGTTTATC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372" w:type="dxa"/>
            <w:tcBorders>
              <w:top w:val="nil"/>
              <w:left w:val="nil"/>
              <w:right w:val="nil"/>
            </w:tcBorders>
            <w:noWrap w:val="0"/>
            <w:vAlign w:val="top"/>
          </w:tcPr>
          <w:p>
            <w:pPr>
              <w:widowControl w:val="0"/>
              <w:autoSpaceDE w:val="0"/>
              <w:autoSpaceDN w:val="0"/>
              <w:adjustRightInd w:val="0"/>
              <w:spacing w:line="360" w:lineRule="auto"/>
              <w:jc w:val="both"/>
              <w:rPr>
                <w:rFonts w:ascii="Times New Roman" w:hAnsi="Times New Roman" w:cs="Times New Roman"/>
                <w:b/>
                <w:bCs/>
                <w:sz w:val="24"/>
                <w:szCs w:val="24"/>
              </w:rPr>
            </w:pPr>
            <w:r>
              <w:rPr>
                <w:rFonts w:ascii="Times New Roman" w:hAnsi="Times New Roman"/>
                <w:b/>
                <w:bCs/>
                <w:sz w:val="24"/>
                <w:szCs w:val="24"/>
              </w:rPr>
              <w:t>HBx</w:t>
            </w:r>
          </w:p>
        </w:tc>
        <w:tc>
          <w:tcPr>
            <w:tcW w:w="4199" w:type="dxa"/>
            <w:tcBorders>
              <w:top w:val="nil"/>
              <w:left w:val="nil"/>
              <w:right w:val="nil"/>
            </w:tcBorders>
            <w:noWrap w:val="0"/>
            <w:vAlign w:val="top"/>
          </w:tcPr>
          <w:p>
            <w:pPr>
              <w:widowControl w:val="0"/>
              <w:autoSpaceDE w:val="0"/>
              <w:autoSpaceDN w:val="0"/>
              <w:adjustRightInd w:val="0"/>
              <w:spacing w:line="360" w:lineRule="auto"/>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lang w:eastAsia="en-US"/>
              </w:rPr>
              <w:t>AATCTTGCCCAAGGTCTTAC</w:t>
            </w:r>
          </w:p>
        </w:tc>
        <w:tc>
          <w:tcPr>
            <w:tcW w:w="4108" w:type="dxa"/>
            <w:tcBorders>
              <w:top w:val="nil"/>
              <w:left w:val="nil"/>
              <w:right w:val="nil"/>
            </w:tcBorders>
            <w:noWrap w:val="0"/>
            <w:vAlign w:val="top"/>
          </w:tcPr>
          <w:p>
            <w:pPr>
              <w:widowControl w:val="0"/>
              <w:autoSpaceDE w:val="0"/>
              <w:autoSpaceDN w:val="0"/>
              <w:adjustRightInd w:val="0"/>
              <w:spacing w:line="360" w:lineRule="auto"/>
              <w:jc w:val="both"/>
              <w:rPr>
                <w:rFonts w:ascii="Times New Roman" w:hAnsi="Times New Roman" w:cs="Times New Roman"/>
                <w:b/>
                <w:bCs/>
                <w:color w:val="000000"/>
                <w:sz w:val="24"/>
                <w:szCs w:val="24"/>
                <w:shd w:val="clear" w:color="auto" w:fill="FFFFFF"/>
              </w:rPr>
            </w:pPr>
            <w:r>
              <w:rPr>
                <w:rFonts w:hint="eastAsia" w:ascii="Times New Roman" w:hAnsi="Times New Roman" w:cs="Times New Roman"/>
                <w:b/>
                <w:bCs/>
                <w:color w:val="000000"/>
                <w:sz w:val="24"/>
                <w:szCs w:val="24"/>
                <w:shd w:val="clear" w:color="auto" w:fill="FFFFFF"/>
                <w:lang w:eastAsia="en-US"/>
              </w:rPr>
              <w:t>AACCTCCACTCACTCTTCTA</w:t>
            </w:r>
          </w:p>
        </w:tc>
      </w:tr>
    </w:tbl>
    <w:p/>
    <w:p/>
    <w:p/>
    <w:p/>
    <w:p/>
    <w:p/>
    <w:p/>
    <w:p/>
    <w:p/>
    <w:p/>
    <w:p/>
    <w:p/>
    <w:p/>
    <w:p/>
    <w:p/>
    <w:p>
      <w:pPr>
        <w:widowControl w:val="0"/>
        <w:jc w:val="both"/>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rPr>
        <w:t>Table S2: Top 20 d</w:t>
      </w:r>
      <w:r>
        <w:rPr>
          <w:rFonts w:hint="default" w:ascii="Times New Roman" w:hAnsi="Times New Roman" w:cs="Times New Roman"/>
          <w:b/>
          <w:bCs/>
          <w:sz w:val="24"/>
          <w:szCs w:val="24"/>
          <w:vertAlign w:val="baseline"/>
          <w:lang w:val="en-US" w:eastAsia="zh-CN"/>
        </w:rPr>
        <w:t>ifferentially expressed genes in Control vs CRISPR and their functions</w:t>
      </w:r>
    </w:p>
    <w:p>
      <w:pPr>
        <w:widowControl w:val="0"/>
        <w:jc w:val="both"/>
        <w:rPr>
          <w:rFonts w:hint="default" w:ascii="Times New Roman" w:hAnsi="Times New Roman" w:cs="Times New Roman"/>
          <w:b/>
          <w:bCs/>
          <w:sz w:val="24"/>
          <w:szCs w:val="24"/>
          <w:vertAlign w:val="baseline"/>
          <w:lang w:val="en-US" w:eastAsia="zh-CN"/>
        </w:rPr>
      </w:pPr>
    </w:p>
    <w:tbl>
      <w:tblPr>
        <w:tblStyle w:val="4"/>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9"/>
        <w:gridCol w:w="1944"/>
        <w:gridCol w:w="1442"/>
        <w:gridCol w:w="1254"/>
        <w:gridCol w:w="749"/>
        <w:gridCol w:w="215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574" w:type="pct"/>
            <w:tcBorders>
              <w:tl2br w:val="nil"/>
              <w:tr2bl w:val="nil"/>
            </w:tcBorders>
          </w:tcPr>
          <w:p>
            <w:pPr>
              <w:widowControl w:val="0"/>
              <w:numPr>
                <w:ilvl w:val="0"/>
                <w:numId w:val="2"/>
              </w:numPr>
              <w:jc w:val="center"/>
              <w:rPr>
                <w:rFonts w:hint="default" w:ascii="Times New Roman" w:hAnsi="Times New Roman" w:cs="Times New Roman"/>
                <w:b/>
                <w:bCs/>
                <w:sz w:val="24"/>
                <w:szCs w:val="24"/>
                <w:vertAlign w:val="baseline"/>
                <w:lang w:val="en-US"/>
              </w:rPr>
            </w:pPr>
            <w:r>
              <w:rPr>
                <w:rFonts w:hint="default" w:ascii="Times New Roman" w:hAnsi="Times New Roman" w:cs="Times New Roman"/>
                <w:b/>
                <w:bCs/>
                <w:sz w:val="24"/>
                <w:szCs w:val="24"/>
                <w:vertAlign w:val="baseline"/>
                <w:lang w:val="en-US"/>
              </w:rPr>
              <w:t>No.</w:t>
            </w:r>
          </w:p>
        </w:tc>
        <w:tc>
          <w:tcPr>
            <w:tcW w:w="1140" w:type="pct"/>
            <w:tcBorders>
              <w:tl2br w:val="nil"/>
              <w:tr2bl w:val="nil"/>
            </w:tcBorders>
          </w:tcPr>
          <w:p>
            <w:pPr>
              <w:widowControl w:val="0"/>
              <w:jc w:val="center"/>
              <w:rPr>
                <w:rFonts w:hint="default" w:ascii="Times New Roman" w:hAnsi="Times New Roman" w:cs="Times New Roman"/>
                <w:b/>
                <w:bCs/>
                <w:sz w:val="24"/>
                <w:szCs w:val="24"/>
                <w:vertAlign w:val="baseline"/>
                <w:lang w:val="en-US"/>
              </w:rPr>
            </w:pPr>
            <w:r>
              <w:rPr>
                <w:rFonts w:hint="default" w:ascii="Times New Roman" w:hAnsi="Times New Roman" w:cs="Times New Roman"/>
                <w:b/>
                <w:bCs/>
                <w:sz w:val="24"/>
                <w:szCs w:val="24"/>
                <w:vertAlign w:val="baseline"/>
                <w:lang w:val="en-US"/>
              </w:rPr>
              <w:t>Gene</w:t>
            </w:r>
          </w:p>
        </w:tc>
        <w:tc>
          <w:tcPr>
            <w:tcW w:w="846" w:type="pct"/>
            <w:tcBorders>
              <w:tl2br w:val="nil"/>
              <w:tr2bl w:val="nil"/>
            </w:tcBorders>
          </w:tcPr>
          <w:p>
            <w:pPr>
              <w:widowControl w:val="0"/>
              <w:jc w:val="center"/>
              <w:rPr>
                <w:rFonts w:hint="default" w:ascii="Times New Roman" w:hAnsi="Times New Roman" w:cs="Times New Roman"/>
                <w:b/>
                <w:bCs/>
                <w:sz w:val="24"/>
                <w:szCs w:val="24"/>
                <w:vertAlign w:val="baseline"/>
                <w:lang w:val="en-US"/>
              </w:rPr>
            </w:pPr>
            <w:r>
              <w:rPr>
                <w:rFonts w:hint="default" w:ascii="Times New Roman" w:hAnsi="Times New Roman" w:cs="Times New Roman"/>
                <w:b/>
                <w:bCs/>
                <w:sz w:val="24"/>
                <w:szCs w:val="24"/>
                <w:vertAlign w:val="baseline"/>
                <w:lang w:val="en-US"/>
              </w:rPr>
              <w:t>Gene Symbol</w:t>
            </w:r>
          </w:p>
        </w:tc>
        <w:tc>
          <w:tcPr>
            <w:tcW w:w="735" w:type="pct"/>
            <w:tcBorders>
              <w:tl2br w:val="nil"/>
              <w:tr2bl w:val="nil"/>
            </w:tcBorders>
          </w:tcPr>
          <w:p>
            <w:pPr>
              <w:widowControl w:val="0"/>
              <w:jc w:val="center"/>
              <w:rPr>
                <w:rFonts w:hint="default" w:ascii="Times New Roman" w:hAnsi="Times New Roman" w:cs="Times New Roman"/>
                <w:b/>
                <w:bCs/>
                <w:sz w:val="24"/>
                <w:szCs w:val="24"/>
                <w:vertAlign w:val="baseline"/>
                <w:lang w:val="en-US"/>
              </w:rPr>
            </w:pPr>
            <w:r>
              <w:rPr>
                <w:rFonts w:hint="default" w:ascii="Times New Roman" w:hAnsi="Times New Roman" w:cs="Times New Roman"/>
                <w:b/>
                <w:bCs/>
                <w:sz w:val="24"/>
                <w:szCs w:val="24"/>
                <w:vertAlign w:val="baseline"/>
                <w:lang w:val="en-US"/>
              </w:rPr>
              <w:t>Fold change</w:t>
            </w:r>
          </w:p>
        </w:tc>
        <w:tc>
          <w:tcPr>
            <w:tcW w:w="439" w:type="pct"/>
            <w:tcBorders>
              <w:tl2br w:val="nil"/>
              <w:tr2bl w:val="nil"/>
            </w:tcBorders>
          </w:tcPr>
          <w:p>
            <w:pPr>
              <w:widowControl w:val="0"/>
              <w:jc w:val="center"/>
              <w:rPr>
                <w:rFonts w:hint="default" w:ascii="Times New Roman" w:hAnsi="Times New Roman" w:cs="Times New Roman"/>
                <w:b/>
                <w:bCs/>
                <w:sz w:val="24"/>
                <w:szCs w:val="24"/>
                <w:vertAlign w:val="baseline"/>
                <w:lang w:val="en-US"/>
              </w:rPr>
            </w:pPr>
            <w:r>
              <w:rPr>
                <w:rFonts w:hint="default" w:ascii="Times New Roman" w:hAnsi="Times New Roman" w:cs="Times New Roman"/>
                <w:b/>
                <w:bCs/>
                <w:sz w:val="24"/>
                <w:szCs w:val="24"/>
                <w:vertAlign w:val="baseline"/>
                <w:lang w:val="en-US"/>
              </w:rPr>
              <w:t>P-Value</w:t>
            </w:r>
          </w:p>
        </w:tc>
        <w:tc>
          <w:tcPr>
            <w:tcW w:w="1263" w:type="pct"/>
            <w:tcBorders>
              <w:tl2br w:val="nil"/>
              <w:tr2bl w:val="nil"/>
            </w:tcBorders>
          </w:tcPr>
          <w:p>
            <w:pPr>
              <w:widowControl w:val="0"/>
              <w:jc w:val="center"/>
              <w:rPr>
                <w:rFonts w:hint="default" w:ascii="Times New Roman" w:hAnsi="Times New Roman" w:cs="Times New Roman"/>
                <w:b/>
                <w:bCs/>
                <w:sz w:val="24"/>
                <w:szCs w:val="24"/>
                <w:vertAlign w:val="baseline"/>
                <w:lang w:val="en-US"/>
              </w:rPr>
            </w:pPr>
            <w:r>
              <w:rPr>
                <w:rFonts w:hint="default" w:ascii="Times New Roman" w:hAnsi="Times New Roman" w:cs="Times New Roman"/>
                <w:b/>
                <w:bCs/>
                <w:sz w:val="24"/>
                <w:szCs w:val="24"/>
                <w:vertAlign w:val="baseline"/>
                <w:lang w:val="en-US"/>
              </w:rPr>
              <w:t>Function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74" w:type="pct"/>
            <w:tcBorders>
              <w:tl2br w:val="nil"/>
              <w:tr2bl w:val="nil"/>
            </w:tcBorders>
          </w:tcPr>
          <w:p>
            <w:pPr>
              <w:widowControl w:val="0"/>
              <w:numPr>
                <w:ilvl w:val="0"/>
                <w:numId w:val="3"/>
              </w:numPr>
              <w:ind w:left="200" w:leftChars="0" w:firstLineChars="0"/>
              <w:jc w:val="both"/>
              <w:rPr>
                <w:rFonts w:hint="default"/>
                <w:vertAlign w:val="baseline"/>
                <w:lang w:val="en-US"/>
              </w:rPr>
            </w:pPr>
          </w:p>
        </w:tc>
        <w:tc>
          <w:tcPr>
            <w:tcW w:w="1140" w:type="pct"/>
            <w:tcBorders>
              <w:tl2br w:val="nil"/>
              <w:tr2bl w:val="nil"/>
            </w:tcBorders>
          </w:tcPr>
          <w:p>
            <w:pPr>
              <w:widowControl w:val="0"/>
              <w:jc w:val="center"/>
              <w:rPr>
                <w:rFonts w:hint="default" w:ascii="Times New Roman" w:hAnsi="Times New Roman" w:cs="Times New Roman"/>
                <w:sz w:val="24"/>
                <w:szCs w:val="24"/>
                <w:vertAlign w:val="baseline"/>
                <w:lang w:val="en-US"/>
              </w:rPr>
            </w:pPr>
            <w:r>
              <w:rPr>
                <w:rFonts w:hint="default" w:ascii="Times New Roman" w:hAnsi="Times New Roman"/>
                <w:sz w:val="24"/>
                <w:szCs w:val="24"/>
                <w:vertAlign w:val="baseline"/>
              </w:rPr>
              <w:t>Lactate dehydrogenase B chain</w:t>
            </w:r>
            <w:r>
              <w:rPr>
                <w:rFonts w:hint="default" w:ascii="Times New Roman" w:hAnsi="Times New Roman"/>
                <w:sz w:val="24"/>
                <w:szCs w:val="24"/>
                <w:vertAlign w:val="baseline"/>
                <w:lang w:val="en-US"/>
              </w:rPr>
              <w:t xml:space="preserve"> </w:t>
            </w:r>
          </w:p>
        </w:tc>
        <w:tc>
          <w:tcPr>
            <w:tcW w:w="846" w:type="pct"/>
            <w:tcBorders>
              <w:tl2br w:val="nil"/>
              <w:tr2bl w:val="nil"/>
            </w:tcBorders>
          </w:tcPr>
          <w:p>
            <w:pPr>
              <w:widowControl w:val="0"/>
              <w:jc w:val="center"/>
              <w:rPr>
                <w:vertAlign w:val="baseline"/>
              </w:rPr>
            </w:pPr>
            <w:r>
              <w:rPr>
                <w:rFonts w:hint="default" w:ascii="Times New Roman" w:hAnsi="Times New Roman" w:cs="Times New Roman"/>
                <w:sz w:val="24"/>
                <w:szCs w:val="24"/>
                <w:vertAlign w:val="baseline"/>
              </w:rPr>
              <w:t>LDHB</w:t>
            </w:r>
          </w:p>
        </w:tc>
        <w:tc>
          <w:tcPr>
            <w:tcW w:w="735" w:type="pct"/>
            <w:tcBorders>
              <w:tl2br w:val="nil"/>
              <w:tr2bl w:val="nil"/>
            </w:tcBorders>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4"/>
                <w:szCs w:val="24"/>
                <w:u w:val="none"/>
              </w:rPr>
            </w:pPr>
            <w:r>
              <w:rPr>
                <w:rFonts w:hint="default" w:ascii="Times New Roman" w:hAnsi="Times New Roman" w:cs="Times New Roman"/>
                <w:i w:val="0"/>
                <w:iCs w:val="0"/>
                <w:color w:val="000000"/>
                <w:sz w:val="24"/>
                <w:szCs w:val="24"/>
                <w:u w:val="none"/>
                <w:lang w:val="en-US" w:eastAsia="zh-CN"/>
              </w:rPr>
              <w:t>-14.80459382</w:t>
            </w:r>
          </w:p>
        </w:tc>
        <w:tc>
          <w:tcPr>
            <w:tcW w:w="439" w:type="pct"/>
            <w:tcBorders>
              <w:tl2br w:val="nil"/>
              <w:tr2bl w:val="nil"/>
            </w:tcBorders>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4.72E-08</w:t>
            </w:r>
          </w:p>
        </w:tc>
        <w:tc>
          <w:tcPr>
            <w:tcW w:w="1263" w:type="pct"/>
            <w:tcBorders>
              <w:tl2br w:val="nil"/>
              <w:tr2bl w:val="nil"/>
            </w:tcBorders>
          </w:tcPr>
          <w:p>
            <w:pPr>
              <w:widowControl w:val="0"/>
              <w:jc w:val="center"/>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S</w:t>
            </w:r>
            <w:r>
              <w:rPr>
                <w:rFonts w:hint="default" w:ascii="Times New Roman" w:hAnsi="Times New Roman" w:cs="Times New Roman"/>
                <w:sz w:val="24"/>
                <w:szCs w:val="24"/>
                <w:vertAlign w:val="baseline"/>
              </w:rPr>
              <w:t>ynthesizes (S)-lactate from pyruvate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74" w:type="pct"/>
            <w:tcBorders>
              <w:tl2br w:val="nil"/>
              <w:tr2bl w:val="nil"/>
            </w:tcBorders>
          </w:tcPr>
          <w:p>
            <w:pPr>
              <w:widowControl w:val="0"/>
              <w:numPr>
                <w:ilvl w:val="0"/>
                <w:numId w:val="3"/>
              </w:numPr>
              <w:ind w:left="200" w:leftChars="0" w:firstLine="0" w:firstLineChars="0"/>
              <w:jc w:val="both"/>
              <w:rPr>
                <w:rFonts w:hint="default"/>
                <w:vertAlign w:val="baseline"/>
                <w:lang w:val="en-US"/>
              </w:rPr>
            </w:pPr>
          </w:p>
        </w:tc>
        <w:tc>
          <w:tcPr>
            <w:tcW w:w="1140" w:type="pct"/>
            <w:tcBorders>
              <w:tl2br w:val="nil"/>
              <w:tr2bl w:val="nil"/>
            </w:tcBorders>
          </w:tcPr>
          <w:p>
            <w:pPr>
              <w:widowControl w:val="0"/>
              <w:jc w:val="center"/>
              <w:rPr>
                <w:rFonts w:hint="default" w:ascii="Times New Roman" w:hAnsi="Times New Roman" w:cs="Times New Roman"/>
                <w:sz w:val="24"/>
                <w:szCs w:val="24"/>
                <w:vertAlign w:val="baseline"/>
                <w:lang w:val="en-US"/>
              </w:rPr>
            </w:pPr>
            <w:r>
              <w:rPr>
                <w:rFonts w:hint="default" w:ascii="Times New Roman" w:hAnsi="Times New Roman"/>
                <w:sz w:val="24"/>
                <w:szCs w:val="24"/>
                <w:vertAlign w:val="baseline"/>
              </w:rPr>
              <w:t>Insulin receptor substrate 4</w:t>
            </w:r>
            <w:r>
              <w:rPr>
                <w:rFonts w:hint="default" w:ascii="Times New Roman" w:hAnsi="Times New Roman"/>
                <w:sz w:val="24"/>
                <w:szCs w:val="24"/>
                <w:vertAlign w:val="baseline"/>
                <w:lang w:val="en-US"/>
              </w:rPr>
              <w:t xml:space="preserve"> </w:t>
            </w:r>
          </w:p>
        </w:tc>
        <w:tc>
          <w:tcPr>
            <w:tcW w:w="846" w:type="pct"/>
            <w:tcBorders>
              <w:tl2br w:val="nil"/>
              <w:tr2bl w:val="nil"/>
            </w:tcBorders>
          </w:tcPr>
          <w:p>
            <w:pPr>
              <w:widowControl w:val="0"/>
              <w:jc w:val="center"/>
              <w:rPr>
                <w:vertAlign w:val="baseline"/>
              </w:rPr>
            </w:pPr>
            <w:r>
              <w:rPr>
                <w:rFonts w:hint="default" w:ascii="Times New Roman" w:hAnsi="Times New Roman" w:cs="Times New Roman"/>
                <w:sz w:val="24"/>
                <w:szCs w:val="24"/>
                <w:vertAlign w:val="baseline"/>
              </w:rPr>
              <w:t>IRS4</w:t>
            </w:r>
          </w:p>
        </w:tc>
        <w:tc>
          <w:tcPr>
            <w:tcW w:w="735" w:type="pct"/>
            <w:tcBorders>
              <w:tl2br w:val="nil"/>
              <w:tr2bl w:val="nil"/>
            </w:tcBorders>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-13.63444375</w:t>
            </w:r>
          </w:p>
        </w:tc>
        <w:tc>
          <w:tcPr>
            <w:tcW w:w="439" w:type="pct"/>
            <w:tcBorders>
              <w:tl2br w:val="nil"/>
              <w:tr2bl w:val="nil"/>
            </w:tcBorders>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3.57E-07</w:t>
            </w:r>
          </w:p>
        </w:tc>
        <w:tc>
          <w:tcPr>
            <w:tcW w:w="1263" w:type="pct"/>
            <w:tcBorders>
              <w:tl2br w:val="nil"/>
              <w:tr2bl w:val="nil"/>
            </w:tcBorders>
          </w:tcPr>
          <w:p>
            <w:pPr>
              <w:widowControl w:val="0"/>
              <w:jc w:val="center"/>
              <w:rPr>
                <w:rFonts w:hint="default" w:ascii="Times New Roman" w:hAnsi="Times New Roman" w:cs="Times New Roman"/>
                <w:sz w:val="24"/>
                <w:szCs w:val="24"/>
                <w:vertAlign w:val="baseline"/>
              </w:rPr>
            </w:pPr>
            <w:r>
              <w:rPr>
                <w:rFonts w:hint="default" w:ascii="Times New Roman" w:hAnsi="Times New Roman" w:cs="Times New Roman"/>
                <w:sz w:val="24"/>
                <w:szCs w:val="24"/>
                <w:vertAlign w:val="baseline"/>
                <w:lang w:val="en-US"/>
              </w:rPr>
              <w:t>B</w:t>
            </w:r>
            <w:r>
              <w:rPr>
                <w:rFonts w:hint="default" w:ascii="Times New Roman" w:hAnsi="Times New Roman" w:cs="Times New Roman"/>
                <w:sz w:val="24"/>
                <w:szCs w:val="24"/>
                <w:vertAlign w:val="baseline"/>
              </w:rPr>
              <w:t>elongs to a family of cytoplasmic docking proteins mediating signals from cell surface receptors to downstream effectors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74" w:type="pct"/>
            <w:tcBorders>
              <w:tl2br w:val="nil"/>
              <w:tr2bl w:val="nil"/>
            </w:tcBorders>
          </w:tcPr>
          <w:p>
            <w:pPr>
              <w:widowControl w:val="0"/>
              <w:numPr>
                <w:ilvl w:val="0"/>
                <w:numId w:val="3"/>
              </w:numPr>
              <w:ind w:left="200" w:leftChars="0" w:firstLine="0" w:firstLineChars="0"/>
              <w:jc w:val="both"/>
              <w:rPr>
                <w:rFonts w:hint="default"/>
                <w:vertAlign w:val="baseline"/>
                <w:lang w:val="en-US"/>
              </w:rPr>
            </w:pPr>
          </w:p>
        </w:tc>
        <w:tc>
          <w:tcPr>
            <w:tcW w:w="1140" w:type="pct"/>
            <w:tcBorders>
              <w:tl2br w:val="nil"/>
              <w:tr2bl w:val="nil"/>
            </w:tcBorders>
          </w:tcPr>
          <w:p>
            <w:pPr>
              <w:widowControl w:val="0"/>
              <w:jc w:val="center"/>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 xml:space="preserve">Vimentin </w:t>
            </w:r>
          </w:p>
        </w:tc>
        <w:tc>
          <w:tcPr>
            <w:tcW w:w="846" w:type="pct"/>
            <w:tcBorders>
              <w:tl2br w:val="nil"/>
              <w:tr2bl w:val="nil"/>
            </w:tcBorders>
          </w:tcPr>
          <w:p>
            <w:pPr>
              <w:widowControl w:val="0"/>
              <w:jc w:val="center"/>
              <w:rPr>
                <w:vertAlign w:val="baseline"/>
              </w:rPr>
            </w:pPr>
            <w:r>
              <w:rPr>
                <w:rFonts w:hint="default" w:ascii="Times New Roman" w:hAnsi="Times New Roman" w:cs="Times New Roman"/>
                <w:sz w:val="24"/>
                <w:szCs w:val="24"/>
                <w:vertAlign w:val="baseline"/>
              </w:rPr>
              <w:t>VIM</w:t>
            </w:r>
          </w:p>
        </w:tc>
        <w:tc>
          <w:tcPr>
            <w:tcW w:w="735" w:type="pct"/>
            <w:tcBorders>
              <w:tl2br w:val="nil"/>
              <w:tr2bl w:val="nil"/>
            </w:tcBorders>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-13.49002029</w:t>
            </w:r>
          </w:p>
        </w:tc>
        <w:tc>
          <w:tcPr>
            <w:tcW w:w="439" w:type="pct"/>
            <w:tcBorders>
              <w:tl2br w:val="nil"/>
              <w:tr2bl w:val="nil"/>
            </w:tcBorders>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4.59E-07</w:t>
            </w:r>
          </w:p>
        </w:tc>
        <w:tc>
          <w:tcPr>
            <w:tcW w:w="1263" w:type="pct"/>
            <w:tcBorders>
              <w:tl2br w:val="nil"/>
              <w:tr2bl w:val="nil"/>
            </w:tcBorders>
          </w:tcPr>
          <w:p>
            <w:pPr>
              <w:widowControl w:val="0"/>
              <w:jc w:val="center"/>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lang w:val="en-US"/>
              </w:rPr>
              <w:t>C</w:t>
            </w:r>
            <w:r>
              <w:rPr>
                <w:rFonts w:hint="default" w:ascii="Times New Roman" w:hAnsi="Times New Roman" w:cs="Times New Roman"/>
                <w:sz w:val="24"/>
                <w:szCs w:val="24"/>
                <w:vertAlign w:val="baseline"/>
              </w:rPr>
              <w:t>lass-III intermediate filaments found in various non-epithelial cells, especially mesenchymal cells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74" w:type="pct"/>
            <w:tcBorders>
              <w:tl2br w:val="nil"/>
              <w:tr2bl w:val="nil"/>
            </w:tcBorders>
          </w:tcPr>
          <w:p>
            <w:pPr>
              <w:widowControl w:val="0"/>
              <w:numPr>
                <w:ilvl w:val="0"/>
                <w:numId w:val="3"/>
              </w:numPr>
              <w:ind w:left="200" w:leftChars="0" w:firstLine="0" w:firstLineChars="0"/>
              <w:jc w:val="both"/>
              <w:rPr>
                <w:rFonts w:hint="default"/>
                <w:vertAlign w:val="baseline"/>
                <w:lang w:val="en-US"/>
              </w:rPr>
            </w:pPr>
          </w:p>
        </w:tc>
        <w:tc>
          <w:tcPr>
            <w:tcW w:w="1140" w:type="pct"/>
            <w:tcBorders>
              <w:tl2br w:val="nil"/>
              <w:tr2bl w:val="nil"/>
            </w:tcBorders>
          </w:tcPr>
          <w:p>
            <w:pPr>
              <w:widowControl w:val="0"/>
              <w:jc w:val="center"/>
              <w:rPr>
                <w:rFonts w:hint="default" w:ascii="Times New Roman" w:hAnsi="Times New Roman" w:cs="Times New Roman"/>
                <w:sz w:val="24"/>
                <w:szCs w:val="24"/>
                <w:vertAlign w:val="baseline"/>
                <w:lang w:val="en-US"/>
              </w:rPr>
            </w:pPr>
            <w:r>
              <w:rPr>
                <w:rFonts w:hint="default" w:ascii="Times New Roman" w:hAnsi="Times New Roman"/>
                <w:sz w:val="24"/>
                <w:szCs w:val="24"/>
                <w:vertAlign w:val="baseline"/>
              </w:rPr>
              <w:t>Glutathione S-transferase P</w:t>
            </w:r>
            <w:r>
              <w:rPr>
                <w:rFonts w:hint="default" w:ascii="Times New Roman" w:hAnsi="Times New Roman"/>
                <w:sz w:val="24"/>
                <w:szCs w:val="24"/>
                <w:vertAlign w:val="baseline"/>
                <w:lang w:val="en-US"/>
              </w:rPr>
              <w:t xml:space="preserve"> </w:t>
            </w:r>
          </w:p>
        </w:tc>
        <w:tc>
          <w:tcPr>
            <w:tcW w:w="846" w:type="pct"/>
            <w:tcBorders>
              <w:tl2br w:val="nil"/>
              <w:tr2bl w:val="nil"/>
            </w:tcBorders>
          </w:tcPr>
          <w:p>
            <w:pPr>
              <w:widowControl w:val="0"/>
              <w:jc w:val="center"/>
              <w:rPr>
                <w:vertAlign w:val="baseline"/>
              </w:rPr>
            </w:pPr>
            <w:r>
              <w:rPr>
                <w:rFonts w:hint="default" w:ascii="Times New Roman" w:hAnsi="Times New Roman" w:cs="Times New Roman"/>
                <w:sz w:val="24"/>
                <w:szCs w:val="24"/>
                <w:vertAlign w:val="baseline"/>
              </w:rPr>
              <w:t>GSTP1</w:t>
            </w:r>
          </w:p>
        </w:tc>
        <w:tc>
          <w:tcPr>
            <w:tcW w:w="735" w:type="pct"/>
            <w:tcBorders>
              <w:tl2br w:val="nil"/>
              <w:tr2bl w:val="nil"/>
            </w:tcBorders>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-13.18001593</w:t>
            </w:r>
          </w:p>
        </w:tc>
        <w:tc>
          <w:tcPr>
            <w:tcW w:w="439" w:type="pct"/>
            <w:tcBorders>
              <w:tl2br w:val="nil"/>
              <w:tr2bl w:val="nil"/>
            </w:tcBorders>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7.84E-07</w:t>
            </w:r>
          </w:p>
        </w:tc>
        <w:tc>
          <w:tcPr>
            <w:tcW w:w="1263" w:type="pct"/>
            <w:tcBorders>
              <w:tl2br w:val="nil"/>
              <w:tr2bl w:val="nil"/>
            </w:tcBorders>
          </w:tcPr>
          <w:p>
            <w:pPr>
              <w:widowControl w:val="0"/>
              <w:jc w:val="center"/>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rPr>
              <w:t>Involved in the formation of glutathione conjugates of both prostaglandin A2 (PGA2) and prostaglandin J2 (PGJ2)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74" w:type="pct"/>
            <w:tcBorders>
              <w:tl2br w:val="nil"/>
              <w:tr2bl w:val="nil"/>
            </w:tcBorders>
          </w:tcPr>
          <w:p>
            <w:pPr>
              <w:widowControl w:val="0"/>
              <w:numPr>
                <w:ilvl w:val="0"/>
                <w:numId w:val="3"/>
              </w:numPr>
              <w:ind w:left="200" w:leftChars="0" w:firstLine="0" w:firstLineChars="0"/>
              <w:jc w:val="both"/>
              <w:rPr>
                <w:rFonts w:hint="default"/>
                <w:vertAlign w:val="baseline"/>
                <w:lang w:val="en-US"/>
              </w:rPr>
            </w:pPr>
          </w:p>
        </w:tc>
        <w:tc>
          <w:tcPr>
            <w:tcW w:w="1140" w:type="pct"/>
            <w:tcBorders>
              <w:tl2br w:val="nil"/>
              <w:tr2bl w:val="nil"/>
            </w:tcBorders>
          </w:tcPr>
          <w:p>
            <w:pPr>
              <w:widowControl w:val="0"/>
              <w:jc w:val="center"/>
              <w:rPr>
                <w:rFonts w:hint="default" w:ascii="Times New Roman" w:hAnsi="Times New Roman" w:cs="Times New Roman"/>
                <w:sz w:val="24"/>
                <w:szCs w:val="24"/>
                <w:vertAlign w:val="baseline"/>
                <w:lang w:val="en-US"/>
              </w:rPr>
            </w:pPr>
            <w:r>
              <w:rPr>
                <w:rFonts w:hint="default" w:ascii="Times New Roman" w:hAnsi="Times New Roman"/>
                <w:sz w:val="24"/>
                <w:szCs w:val="24"/>
                <w:vertAlign w:val="baseline"/>
              </w:rPr>
              <w:t>Dihydropyrimidinase</w:t>
            </w:r>
            <w:r>
              <w:rPr>
                <w:rFonts w:hint="default" w:ascii="Times New Roman" w:hAnsi="Times New Roman"/>
                <w:sz w:val="24"/>
                <w:szCs w:val="24"/>
                <w:vertAlign w:val="baseline"/>
                <w:lang w:val="en-US"/>
              </w:rPr>
              <w:t xml:space="preserve"> </w:t>
            </w:r>
          </w:p>
        </w:tc>
        <w:tc>
          <w:tcPr>
            <w:tcW w:w="846" w:type="pct"/>
            <w:tcBorders>
              <w:tl2br w:val="nil"/>
              <w:tr2bl w:val="nil"/>
            </w:tcBorders>
          </w:tcPr>
          <w:p>
            <w:pPr>
              <w:widowControl w:val="0"/>
              <w:jc w:val="center"/>
              <w:rPr>
                <w:vertAlign w:val="baseline"/>
              </w:rPr>
            </w:pPr>
            <w:r>
              <w:rPr>
                <w:rFonts w:hint="default" w:ascii="Times New Roman" w:hAnsi="Times New Roman" w:cs="Times New Roman"/>
                <w:sz w:val="24"/>
                <w:szCs w:val="24"/>
                <w:vertAlign w:val="baseline"/>
              </w:rPr>
              <w:t>DPYS</w:t>
            </w:r>
          </w:p>
        </w:tc>
        <w:tc>
          <w:tcPr>
            <w:tcW w:w="735" w:type="pct"/>
            <w:tcBorders>
              <w:tl2br w:val="nil"/>
              <w:tr2bl w:val="nil"/>
            </w:tcBorders>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-13.15492768</w:t>
            </w:r>
          </w:p>
        </w:tc>
        <w:tc>
          <w:tcPr>
            <w:tcW w:w="439" w:type="pct"/>
            <w:tcBorders>
              <w:tl2br w:val="nil"/>
              <w:tr2bl w:val="nil"/>
            </w:tcBorders>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8.19E-07</w:t>
            </w:r>
          </w:p>
        </w:tc>
        <w:tc>
          <w:tcPr>
            <w:tcW w:w="1263" w:type="pct"/>
            <w:tcBorders>
              <w:tl2br w:val="nil"/>
              <w:tr2bl w:val="nil"/>
            </w:tcBorders>
          </w:tcPr>
          <w:p>
            <w:pPr>
              <w:widowControl w:val="0"/>
              <w:jc w:val="center"/>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rPr>
              <w:t>Catalyzes the second step of the reductive pyrimidine degradation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74" w:type="pct"/>
            <w:tcBorders>
              <w:tl2br w:val="nil"/>
              <w:tr2bl w:val="nil"/>
            </w:tcBorders>
          </w:tcPr>
          <w:p>
            <w:pPr>
              <w:widowControl w:val="0"/>
              <w:numPr>
                <w:ilvl w:val="0"/>
                <w:numId w:val="3"/>
              </w:numPr>
              <w:ind w:left="200" w:leftChars="0" w:firstLine="0" w:firstLineChars="0"/>
              <w:jc w:val="both"/>
              <w:rPr>
                <w:rFonts w:hint="default"/>
                <w:vertAlign w:val="baseline"/>
                <w:lang w:val="en-US"/>
              </w:rPr>
            </w:pPr>
          </w:p>
        </w:tc>
        <w:tc>
          <w:tcPr>
            <w:tcW w:w="1140" w:type="pct"/>
            <w:tcBorders>
              <w:tl2br w:val="nil"/>
              <w:tr2bl w:val="nil"/>
            </w:tcBorders>
          </w:tcPr>
          <w:p>
            <w:pPr>
              <w:widowControl w:val="0"/>
              <w:jc w:val="center"/>
              <w:rPr>
                <w:rFonts w:hint="default" w:ascii="Times New Roman" w:hAnsi="Times New Roman" w:cs="Times New Roman"/>
                <w:sz w:val="24"/>
                <w:szCs w:val="24"/>
                <w:vertAlign w:val="baseline"/>
                <w:lang w:val="en-US"/>
              </w:rPr>
            </w:pPr>
            <w:r>
              <w:rPr>
                <w:rFonts w:hint="default" w:ascii="Times New Roman" w:hAnsi="Times New Roman"/>
                <w:sz w:val="24"/>
                <w:szCs w:val="24"/>
                <w:vertAlign w:val="baseline"/>
              </w:rPr>
              <w:t>X-inactive specific transcript</w:t>
            </w:r>
            <w:r>
              <w:rPr>
                <w:rFonts w:hint="default" w:ascii="Times New Roman" w:hAnsi="Times New Roman"/>
                <w:sz w:val="24"/>
                <w:szCs w:val="24"/>
                <w:vertAlign w:val="baseline"/>
                <w:lang w:val="en-US"/>
              </w:rPr>
              <w:t xml:space="preserve"> </w:t>
            </w:r>
          </w:p>
        </w:tc>
        <w:tc>
          <w:tcPr>
            <w:tcW w:w="846" w:type="pct"/>
            <w:tcBorders>
              <w:tl2br w:val="nil"/>
              <w:tr2bl w:val="nil"/>
            </w:tcBorders>
          </w:tcPr>
          <w:p>
            <w:pPr>
              <w:widowControl w:val="0"/>
              <w:jc w:val="center"/>
              <w:rPr>
                <w:vertAlign w:val="baseline"/>
              </w:rPr>
            </w:pPr>
            <w:r>
              <w:rPr>
                <w:rFonts w:hint="default" w:ascii="Times New Roman" w:hAnsi="Times New Roman" w:cs="Times New Roman"/>
                <w:sz w:val="24"/>
                <w:szCs w:val="24"/>
                <w:vertAlign w:val="baseline"/>
              </w:rPr>
              <w:t>XIST</w:t>
            </w:r>
          </w:p>
        </w:tc>
        <w:tc>
          <w:tcPr>
            <w:tcW w:w="735" w:type="pct"/>
            <w:tcBorders>
              <w:tl2br w:val="nil"/>
              <w:tr2bl w:val="nil"/>
            </w:tcBorders>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-12.95488333</w:t>
            </w:r>
          </w:p>
        </w:tc>
        <w:tc>
          <w:tcPr>
            <w:tcW w:w="439" w:type="pct"/>
            <w:tcBorders>
              <w:tl2br w:val="nil"/>
              <w:tr2bl w:val="nil"/>
            </w:tcBorders>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1.16E-06</w:t>
            </w:r>
          </w:p>
        </w:tc>
        <w:tc>
          <w:tcPr>
            <w:tcW w:w="1263" w:type="pct"/>
            <w:tcBorders>
              <w:tl2br w:val="nil"/>
              <w:tr2bl w:val="nil"/>
            </w:tcBorders>
          </w:tcPr>
          <w:p>
            <w:pPr>
              <w:widowControl w:val="0"/>
              <w:jc w:val="center"/>
              <w:rPr>
                <w:rFonts w:hint="default" w:ascii="Times New Roman" w:hAnsi="Times New Roman" w:cs="Times New Roman"/>
                <w:sz w:val="24"/>
                <w:szCs w:val="24"/>
                <w:vertAlign w:val="baseline"/>
              </w:rPr>
            </w:pPr>
            <w:r>
              <w:rPr>
                <w:rFonts w:hint="default" w:ascii="Times New Roman" w:hAnsi="Times New Roman" w:cs="Times New Roman"/>
                <w:sz w:val="24"/>
                <w:szCs w:val="24"/>
                <w:vertAlign w:val="baseline"/>
                <w:lang w:val="en-US"/>
              </w:rPr>
              <w:t>It is an</w:t>
            </w:r>
            <w:r>
              <w:rPr>
                <w:rFonts w:hint="default" w:ascii="Times New Roman" w:hAnsi="Times New Roman" w:cs="Times New Roman"/>
                <w:sz w:val="24"/>
                <w:szCs w:val="24"/>
                <w:vertAlign w:val="baseline"/>
              </w:rPr>
              <w:t xml:space="preserve"> RNA Gene</w:t>
            </w:r>
            <w:r>
              <w:rPr>
                <w:rFonts w:hint="default" w:ascii="Times New Roman" w:hAnsi="Times New Roman" w:cs="Times New Roman"/>
                <w:sz w:val="24"/>
                <w:szCs w:val="24"/>
                <w:vertAlign w:val="baseline"/>
                <w:lang w:val="en-US"/>
              </w:rPr>
              <w:t xml:space="preserve"> </w:t>
            </w:r>
            <w:r>
              <w:rPr>
                <w:rFonts w:hint="default" w:ascii="Times New Roman" w:hAnsi="Times New Roman" w:cs="Times New Roman"/>
                <w:sz w:val="24"/>
                <w:szCs w:val="24"/>
                <w:vertAlign w:val="baseline"/>
              </w:rPr>
              <w:t>affiliated with the lncRNA class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74" w:type="pct"/>
            <w:tcBorders>
              <w:tl2br w:val="nil"/>
              <w:tr2bl w:val="nil"/>
            </w:tcBorders>
          </w:tcPr>
          <w:p>
            <w:pPr>
              <w:widowControl w:val="0"/>
              <w:numPr>
                <w:ilvl w:val="0"/>
                <w:numId w:val="3"/>
              </w:numPr>
              <w:ind w:left="200" w:leftChars="0" w:firstLine="0" w:firstLineChars="0"/>
              <w:jc w:val="both"/>
              <w:rPr>
                <w:rFonts w:hint="default"/>
                <w:vertAlign w:val="baseline"/>
                <w:lang w:val="en-US"/>
              </w:rPr>
            </w:pPr>
          </w:p>
        </w:tc>
        <w:tc>
          <w:tcPr>
            <w:tcW w:w="1140" w:type="pct"/>
            <w:tcBorders>
              <w:tl2br w:val="nil"/>
              <w:tr2bl w:val="nil"/>
            </w:tcBorders>
          </w:tcPr>
          <w:p>
            <w:pPr>
              <w:widowControl w:val="0"/>
              <w:jc w:val="center"/>
              <w:rPr>
                <w:rFonts w:hint="default" w:ascii="Times New Roman" w:hAnsi="Times New Roman" w:cs="Times New Roman"/>
                <w:sz w:val="24"/>
                <w:szCs w:val="24"/>
                <w:vertAlign w:val="baseline"/>
                <w:lang w:val="en-US"/>
              </w:rPr>
            </w:pPr>
            <w:r>
              <w:rPr>
                <w:rFonts w:hint="default" w:ascii="Times New Roman" w:hAnsi="Times New Roman"/>
                <w:sz w:val="24"/>
                <w:szCs w:val="24"/>
                <w:vertAlign w:val="baseline"/>
              </w:rPr>
              <w:t>Pre-MRNA-Splicing Factor ISY1 Homolog</w:t>
            </w:r>
            <w:r>
              <w:rPr>
                <w:rFonts w:hint="default" w:ascii="Times New Roman" w:hAnsi="Times New Roman"/>
                <w:sz w:val="24"/>
                <w:szCs w:val="24"/>
                <w:vertAlign w:val="baseline"/>
                <w:lang w:val="en-US"/>
              </w:rPr>
              <w:t xml:space="preserve"> </w:t>
            </w:r>
          </w:p>
        </w:tc>
        <w:tc>
          <w:tcPr>
            <w:tcW w:w="846" w:type="pct"/>
            <w:tcBorders>
              <w:tl2br w:val="nil"/>
              <w:tr2bl w:val="nil"/>
            </w:tcBorders>
          </w:tcPr>
          <w:p>
            <w:pPr>
              <w:widowControl w:val="0"/>
              <w:jc w:val="center"/>
              <w:rPr>
                <w:vertAlign w:val="baseline"/>
              </w:rPr>
            </w:pPr>
            <w:r>
              <w:rPr>
                <w:rFonts w:hint="default" w:ascii="Times New Roman" w:hAnsi="Times New Roman" w:cs="Times New Roman"/>
                <w:sz w:val="24"/>
                <w:szCs w:val="24"/>
                <w:vertAlign w:val="baseline"/>
              </w:rPr>
              <w:t>ISY1-RAB43</w:t>
            </w:r>
          </w:p>
        </w:tc>
        <w:tc>
          <w:tcPr>
            <w:tcW w:w="735" w:type="pct"/>
            <w:tcBorders>
              <w:tl2br w:val="nil"/>
              <w:tr2bl w:val="nil"/>
            </w:tcBorders>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-12.83213502</w:t>
            </w:r>
          </w:p>
        </w:tc>
        <w:tc>
          <w:tcPr>
            <w:tcW w:w="439" w:type="pct"/>
            <w:tcBorders>
              <w:tl2br w:val="nil"/>
              <w:tr2bl w:val="nil"/>
            </w:tcBorders>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1.43E-06</w:t>
            </w:r>
          </w:p>
        </w:tc>
        <w:tc>
          <w:tcPr>
            <w:tcW w:w="1263" w:type="pct"/>
            <w:tcBorders>
              <w:tl2br w:val="nil"/>
              <w:tr2bl w:val="nil"/>
            </w:tcBorders>
          </w:tcPr>
          <w:p>
            <w:pPr>
              <w:widowControl w:val="0"/>
              <w:jc w:val="center"/>
              <w:rPr>
                <w:rFonts w:hint="default" w:ascii="Times New Roman" w:hAnsi="Times New Roman" w:cs="Times New Roman"/>
                <w:sz w:val="24"/>
                <w:szCs w:val="24"/>
                <w:vertAlign w:val="baseline"/>
              </w:rPr>
            </w:pPr>
            <w:r>
              <w:rPr>
                <w:rFonts w:hint="default" w:ascii="Times New Roman" w:hAnsi="Times New Roman" w:cs="Times New Roman"/>
                <w:sz w:val="24"/>
                <w:szCs w:val="24"/>
                <w:vertAlign w:val="baseline"/>
              </w:rPr>
              <w:t xml:space="preserve">Component of the spliceosome C complex required for the selective processing of microRNAs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74" w:type="pct"/>
            <w:tcBorders>
              <w:tl2br w:val="nil"/>
              <w:tr2bl w:val="nil"/>
            </w:tcBorders>
          </w:tcPr>
          <w:p>
            <w:pPr>
              <w:widowControl w:val="0"/>
              <w:numPr>
                <w:ilvl w:val="0"/>
                <w:numId w:val="3"/>
              </w:numPr>
              <w:ind w:left="200" w:leftChars="0" w:firstLine="0" w:firstLineChars="0"/>
              <w:jc w:val="both"/>
              <w:rPr>
                <w:rFonts w:hint="default"/>
                <w:vertAlign w:val="baseline"/>
                <w:lang w:val="en-US"/>
              </w:rPr>
            </w:pPr>
          </w:p>
        </w:tc>
        <w:tc>
          <w:tcPr>
            <w:tcW w:w="1140" w:type="pct"/>
            <w:tcBorders>
              <w:tl2br w:val="nil"/>
              <w:tr2bl w:val="nil"/>
            </w:tcBorders>
          </w:tcPr>
          <w:p>
            <w:pPr>
              <w:widowControl w:val="0"/>
              <w:jc w:val="center"/>
              <w:rPr>
                <w:rFonts w:hint="default" w:ascii="Times New Roman" w:hAnsi="Times New Roman" w:cs="Times New Roman"/>
                <w:sz w:val="24"/>
                <w:szCs w:val="24"/>
                <w:vertAlign w:val="baseline"/>
                <w:lang w:val="en-US"/>
              </w:rPr>
            </w:pPr>
            <w:r>
              <w:rPr>
                <w:rFonts w:hint="default" w:ascii="Times New Roman" w:hAnsi="Times New Roman"/>
                <w:sz w:val="24"/>
                <w:szCs w:val="24"/>
                <w:vertAlign w:val="baseline"/>
              </w:rPr>
              <w:t>A disintegrin and metalloproteinase with thrombospondin motifs</w:t>
            </w:r>
            <w:r>
              <w:rPr>
                <w:rFonts w:hint="default" w:ascii="Times New Roman" w:hAnsi="Times New Roman"/>
                <w:sz w:val="24"/>
                <w:szCs w:val="24"/>
                <w:vertAlign w:val="baseline"/>
                <w:lang w:val="en-US"/>
              </w:rPr>
              <w:t>1</w:t>
            </w:r>
            <w:r>
              <w:rPr>
                <w:rFonts w:hint="default" w:ascii="Times New Roman" w:hAnsi="Times New Roman"/>
                <w:sz w:val="24"/>
                <w:szCs w:val="24"/>
                <w:vertAlign w:val="baseline"/>
              </w:rPr>
              <w:t xml:space="preserve"> </w:t>
            </w:r>
            <w:r>
              <w:rPr>
                <w:rFonts w:hint="default" w:ascii="Times New Roman" w:hAnsi="Times New Roman"/>
                <w:sz w:val="24"/>
                <w:szCs w:val="24"/>
                <w:vertAlign w:val="baseline"/>
                <w:lang w:val="en-US"/>
              </w:rPr>
              <w:t xml:space="preserve"> </w:t>
            </w:r>
          </w:p>
        </w:tc>
        <w:tc>
          <w:tcPr>
            <w:tcW w:w="846" w:type="pct"/>
            <w:tcBorders>
              <w:tl2br w:val="nil"/>
              <w:tr2bl w:val="nil"/>
            </w:tcBorders>
          </w:tcPr>
          <w:p>
            <w:pPr>
              <w:widowControl w:val="0"/>
              <w:jc w:val="center"/>
              <w:rPr>
                <w:vertAlign w:val="baseline"/>
              </w:rPr>
            </w:pPr>
            <w:r>
              <w:rPr>
                <w:rFonts w:hint="default" w:ascii="Times New Roman" w:hAnsi="Times New Roman" w:cs="Times New Roman"/>
                <w:sz w:val="24"/>
                <w:szCs w:val="24"/>
                <w:vertAlign w:val="baseline"/>
              </w:rPr>
              <w:t>ADAMTS1</w:t>
            </w:r>
          </w:p>
        </w:tc>
        <w:tc>
          <w:tcPr>
            <w:tcW w:w="735" w:type="pct"/>
            <w:tcBorders>
              <w:tl2br w:val="nil"/>
              <w:tr2bl w:val="nil"/>
            </w:tcBorders>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-12.78774709</w:t>
            </w:r>
          </w:p>
        </w:tc>
        <w:tc>
          <w:tcPr>
            <w:tcW w:w="439" w:type="pct"/>
            <w:tcBorders>
              <w:tl2br w:val="nil"/>
              <w:tr2bl w:val="nil"/>
            </w:tcBorders>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1.54E-06</w:t>
            </w:r>
          </w:p>
        </w:tc>
        <w:tc>
          <w:tcPr>
            <w:tcW w:w="1263" w:type="pct"/>
            <w:tcBorders>
              <w:tl2br w:val="nil"/>
              <w:tr2bl w:val="nil"/>
            </w:tcBorders>
          </w:tcPr>
          <w:p>
            <w:pPr>
              <w:widowControl w:val="0"/>
              <w:jc w:val="center"/>
              <w:rPr>
                <w:rFonts w:hint="default" w:ascii="Times New Roman" w:hAnsi="Times New Roman" w:cs="Times New Roman"/>
                <w:sz w:val="24"/>
                <w:szCs w:val="24"/>
                <w:vertAlign w:val="baseline"/>
              </w:rPr>
            </w:pPr>
            <w:r>
              <w:rPr>
                <w:rFonts w:hint="default" w:ascii="Times New Roman" w:hAnsi="Times New Roman" w:cs="Times New Roman"/>
                <w:sz w:val="24"/>
                <w:szCs w:val="24"/>
                <w:vertAlign w:val="baseline"/>
              </w:rPr>
              <w:t>Active metalloprotease,</w:t>
            </w:r>
            <w:r>
              <w:rPr>
                <w:rFonts w:hint="default" w:ascii="Times New Roman" w:hAnsi="Times New Roman" w:cs="Times New Roman"/>
                <w:sz w:val="24"/>
                <w:szCs w:val="24"/>
                <w:vertAlign w:val="baseline"/>
                <w:lang w:val="en-US"/>
              </w:rPr>
              <w:t xml:space="preserve"> </w:t>
            </w:r>
            <w:r>
              <w:rPr>
                <w:rFonts w:hint="default" w:ascii="Times New Roman" w:hAnsi="Times New Roman" w:cs="Times New Roman"/>
                <w:sz w:val="24"/>
                <w:szCs w:val="24"/>
                <w:vertAlign w:val="baseline"/>
              </w:rPr>
              <w:t>associated with various inflammatory processes as well as development of cancer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74" w:type="pct"/>
            <w:tcBorders>
              <w:tl2br w:val="nil"/>
              <w:tr2bl w:val="nil"/>
            </w:tcBorders>
          </w:tcPr>
          <w:p>
            <w:pPr>
              <w:widowControl w:val="0"/>
              <w:numPr>
                <w:ilvl w:val="0"/>
                <w:numId w:val="3"/>
              </w:numPr>
              <w:ind w:left="200" w:leftChars="0" w:firstLine="0" w:firstLineChars="0"/>
              <w:jc w:val="both"/>
              <w:rPr>
                <w:rFonts w:hint="default"/>
                <w:vertAlign w:val="baseline"/>
                <w:lang w:val="en-US"/>
              </w:rPr>
            </w:pPr>
          </w:p>
        </w:tc>
        <w:tc>
          <w:tcPr>
            <w:tcW w:w="1140" w:type="pct"/>
            <w:tcBorders>
              <w:tl2br w:val="nil"/>
              <w:tr2bl w:val="nil"/>
            </w:tcBorders>
          </w:tcPr>
          <w:p>
            <w:pPr>
              <w:widowControl w:val="0"/>
              <w:jc w:val="center"/>
              <w:rPr>
                <w:rFonts w:hint="default" w:ascii="Times New Roman" w:hAnsi="Times New Roman" w:cs="Times New Roman"/>
                <w:sz w:val="24"/>
                <w:szCs w:val="24"/>
                <w:vertAlign w:val="baseline"/>
                <w:lang w:val="en-US"/>
              </w:rPr>
            </w:pPr>
            <w:r>
              <w:rPr>
                <w:rFonts w:hint="default" w:ascii="Times New Roman" w:hAnsi="Times New Roman"/>
                <w:sz w:val="24"/>
                <w:szCs w:val="24"/>
                <w:vertAlign w:val="baseline"/>
              </w:rPr>
              <w:t>UDP Glucuronosyltransferase Family 1 Member A9</w:t>
            </w:r>
            <w:r>
              <w:rPr>
                <w:rFonts w:hint="default" w:ascii="Times New Roman" w:hAnsi="Times New Roman"/>
                <w:sz w:val="24"/>
                <w:szCs w:val="24"/>
                <w:vertAlign w:val="baseline"/>
                <w:lang w:val="en-US"/>
              </w:rPr>
              <w:t xml:space="preserve"> </w:t>
            </w:r>
          </w:p>
        </w:tc>
        <w:tc>
          <w:tcPr>
            <w:tcW w:w="846" w:type="pct"/>
            <w:tcBorders>
              <w:tl2br w:val="nil"/>
              <w:tr2bl w:val="nil"/>
            </w:tcBorders>
          </w:tcPr>
          <w:p>
            <w:pPr>
              <w:widowControl w:val="0"/>
              <w:jc w:val="center"/>
              <w:rPr>
                <w:vertAlign w:val="baseline"/>
              </w:rPr>
            </w:pPr>
            <w:r>
              <w:rPr>
                <w:rFonts w:hint="default" w:ascii="Times New Roman" w:hAnsi="Times New Roman" w:cs="Times New Roman"/>
                <w:sz w:val="24"/>
                <w:szCs w:val="24"/>
                <w:vertAlign w:val="baseline"/>
              </w:rPr>
              <w:t>UGT1A9</w:t>
            </w:r>
          </w:p>
        </w:tc>
        <w:tc>
          <w:tcPr>
            <w:tcW w:w="735" w:type="pct"/>
            <w:tcBorders>
              <w:tl2br w:val="nil"/>
              <w:tr2bl w:val="nil"/>
            </w:tcBorders>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-12.77211866</w:t>
            </w:r>
          </w:p>
        </w:tc>
        <w:tc>
          <w:tcPr>
            <w:tcW w:w="439" w:type="pct"/>
            <w:tcBorders>
              <w:tl2br w:val="nil"/>
              <w:tr2bl w:val="nil"/>
            </w:tcBorders>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1.59E-06</w:t>
            </w:r>
          </w:p>
        </w:tc>
        <w:tc>
          <w:tcPr>
            <w:tcW w:w="1263" w:type="pct"/>
            <w:tcBorders>
              <w:tl2br w:val="nil"/>
              <w:tr2bl w:val="nil"/>
            </w:tcBorders>
          </w:tcPr>
          <w:p>
            <w:pPr>
              <w:widowControl w:val="0"/>
              <w:jc w:val="center"/>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rPr>
              <w:t>This gene encodes a UDP-glucuronosyltransferase, an enzyme of the glucuronidation pathway</w:t>
            </w:r>
            <w:r>
              <w:rPr>
                <w:rFonts w:hint="default" w:ascii="Times New Roman" w:hAnsi="Times New Roman" w:cs="Times New Roman"/>
                <w:sz w:val="24"/>
                <w:szCs w:val="24"/>
                <w:vertAlign w:val="baseline"/>
                <w:lang w:val="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74" w:type="pct"/>
            <w:tcBorders>
              <w:tl2br w:val="nil"/>
              <w:tr2bl w:val="nil"/>
            </w:tcBorders>
          </w:tcPr>
          <w:p>
            <w:pPr>
              <w:widowControl w:val="0"/>
              <w:numPr>
                <w:ilvl w:val="0"/>
                <w:numId w:val="3"/>
              </w:numPr>
              <w:ind w:left="200" w:leftChars="0" w:firstLine="0" w:firstLineChars="0"/>
              <w:jc w:val="both"/>
              <w:rPr>
                <w:rFonts w:hint="default"/>
                <w:vertAlign w:val="baseline"/>
                <w:lang w:val="en-US"/>
              </w:rPr>
            </w:pPr>
          </w:p>
        </w:tc>
        <w:tc>
          <w:tcPr>
            <w:tcW w:w="1140" w:type="pct"/>
            <w:tcBorders>
              <w:tl2br w:val="nil"/>
              <w:tr2bl w:val="nil"/>
            </w:tcBorders>
          </w:tcPr>
          <w:p>
            <w:pPr>
              <w:widowControl w:val="0"/>
              <w:jc w:val="center"/>
              <w:rPr>
                <w:rFonts w:hint="default" w:ascii="Times New Roman" w:hAnsi="Times New Roman" w:cs="Times New Roman"/>
                <w:sz w:val="24"/>
                <w:szCs w:val="24"/>
                <w:vertAlign w:val="baseline"/>
                <w:lang w:val="en-US"/>
              </w:rPr>
            </w:pPr>
            <w:r>
              <w:rPr>
                <w:rFonts w:hint="default" w:ascii="Times New Roman" w:hAnsi="Times New Roman"/>
                <w:sz w:val="24"/>
                <w:szCs w:val="24"/>
                <w:vertAlign w:val="baseline"/>
              </w:rPr>
              <w:t>Chitinase 3 Like 1</w:t>
            </w:r>
            <w:r>
              <w:rPr>
                <w:rFonts w:hint="default" w:ascii="Times New Roman" w:hAnsi="Times New Roman"/>
                <w:sz w:val="24"/>
                <w:szCs w:val="24"/>
                <w:vertAlign w:val="baseline"/>
                <w:lang w:val="en-US"/>
              </w:rPr>
              <w:t xml:space="preserve"> </w:t>
            </w:r>
          </w:p>
        </w:tc>
        <w:tc>
          <w:tcPr>
            <w:tcW w:w="846" w:type="pct"/>
            <w:tcBorders>
              <w:tl2br w:val="nil"/>
              <w:tr2bl w:val="nil"/>
            </w:tcBorders>
          </w:tcPr>
          <w:p>
            <w:pPr>
              <w:widowControl w:val="0"/>
              <w:jc w:val="center"/>
              <w:rPr>
                <w:vertAlign w:val="baseline"/>
              </w:rPr>
            </w:pPr>
            <w:r>
              <w:rPr>
                <w:rFonts w:hint="default" w:ascii="Times New Roman" w:hAnsi="Times New Roman" w:cs="Times New Roman"/>
                <w:sz w:val="24"/>
                <w:szCs w:val="24"/>
                <w:vertAlign w:val="baseline"/>
              </w:rPr>
              <w:t>CHI3L1</w:t>
            </w:r>
          </w:p>
        </w:tc>
        <w:tc>
          <w:tcPr>
            <w:tcW w:w="735" w:type="pct"/>
            <w:tcBorders>
              <w:tl2br w:val="nil"/>
              <w:tr2bl w:val="nil"/>
            </w:tcBorders>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-12.76424049</w:t>
            </w:r>
          </w:p>
        </w:tc>
        <w:tc>
          <w:tcPr>
            <w:tcW w:w="439" w:type="pct"/>
            <w:tcBorders>
              <w:tl2br w:val="nil"/>
              <w:tr2bl w:val="nil"/>
            </w:tcBorders>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1.61E-06</w:t>
            </w:r>
          </w:p>
        </w:tc>
        <w:tc>
          <w:tcPr>
            <w:tcW w:w="1263" w:type="pct"/>
            <w:tcBorders>
              <w:tl2br w:val="nil"/>
              <w:tr2bl w:val="nil"/>
            </w:tcBorders>
          </w:tcPr>
          <w:p>
            <w:pPr>
              <w:widowControl w:val="0"/>
              <w:jc w:val="center"/>
              <w:rPr>
                <w:rFonts w:hint="default" w:ascii="Times New Roman" w:hAnsi="Times New Roman" w:cs="Times New Roman"/>
                <w:sz w:val="24"/>
                <w:szCs w:val="24"/>
                <w:vertAlign w:val="baseline"/>
              </w:rPr>
            </w:pPr>
            <w:r>
              <w:rPr>
                <w:rFonts w:hint="default" w:ascii="Times New Roman" w:hAnsi="Times New Roman" w:cs="Times New Roman"/>
                <w:sz w:val="24"/>
                <w:szCs w:val="24"/>
                <w:vertAlign w:val="baseline"/>
              </w:rPr>
              <w:t>Catalyze the hydrolysis of chitin</w:t>
            </w:r>
            <w:r>
              <w:rPr>
                <w:rFonts w:hint="default" w:ascii="Times New Roman" w:hAnsi="Times New Roman" w:cs="Times New Roman"/>
                <w:sz w:val="24"/>
                <w:szCs w:val="24"/>
                <w:vertAlign w:val="baseline"/>
                <w:lang w:val="en-US"/>
              </w:rPr>
              <w:t xml:space="preserve"> and</w:t>
            </w:r>
            <w:r>
              <w:rPr>
                <w:rFonts w:hint="default" w:ascii="Times New Roman" w:hAnsi="Times New Roman" w:cs="Times New Roman"/>
                <w:sz w:val="24"/>
                <w:szCs w:val="24"/>
                <w:vertAlign w:val="baseline"/>
              </w:rPr>
              <w:t xml:space="preserve"> thought to play a role in the process of inflammation and tissue remodeling.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74" w:type="pct"/>
            <w:tcBorders>
              <w:tl2br w:val="nil"/>
              <w:tr2bl w:val="nil"/>
            </w:tcBorders>
          </w:tcPr>
          <w:p>
            <w:pPr>
              <w:widowControl w:val="0"/>
              <w:numPr>
                <w:ilvl w:val="0"/>
                <w:numId w:val="3"/>
              </w:numPr>
              <w:ind w:left="200" w:leftChars="0" w:firstLine="0" w:firstLineChars="0"/>
              <w:jc w:val="both"/>
              <w:rPr>
                <w:rFonts w:hint="default"/>
                <w:vertAlign w:val="baseline"/>
                <w:lang w:val="en-US"/>
              </w:rPr>
            </w:pPr>
          </w:p>
        </w:tc>
        <w:tc>
          <w:tcPr>
            <w:tcW w:w="1140" w:type="pct"/>
            <w:tcBorders>
              <w:tl2br w:val="nil"/>
              <w:tr2bl w:val="nil"/>
            </w:tcBorders>
          </w:tcPr>
          <w:p>
            <w:pPr>
              <w:widowControl w:val="0"/>
              <w:jc w:val="center"/>
              <w:rPr>
                <w:rFonts w:hint="default" w:ascii="Times New Roman" w:hAnsi="Times New Roman" w:cs="Times New Roman"/>
                <w:sz w:val="24"/>
                <w:szCs w:val="24"/>
                <w:vertAlign w:val="baseline"/>
              </w:rPr>
            </w:pPr>
            <w:r>
              <w:rPr>
                <w:rFonts w:hint="default" w:ascii="Times New Roman" w:hAnsi="Times New Roman" w:cs="Times New Roman"/>
                <w:sz w:val="24"/>
                <w:szCs w:val="24"/>
                <w:vertAlign w:val="baseline"/>
              </w:rPr>
              <w:t xml:space="preserve">SMAD Specific E3 Ubiquitin Protein Ligase 2 (SMURF2) </w:t>
            </w:r>
          </w:p>
        </w:tc>
        <w:tc>
          <w:tcPr>
            <w:tcW w:w="846" w:type="pct"/>
            <w:tcBorders>
              <w:tl2br w:val="nil"/>
              <w:tr2bl w:val="nil"/>
            </w:tcBorders>
          </w:tcPr>
          <w:p>
            <w:pPr>
              <w:widowControl w:val="0"/>
              <w:jc w:val="center"/>
              <w:rPr>
                <w:vertAlign w:val="baseline"/>
              </w:rPr>
            </w:pPr>
            <w:r>
              <w:rPr>
                <w:rFonts w:hint="default" w:ascii="Times New Roman" w:hAnsi="Times New Roman" w:cs="Times New Roman"/>
                <w:sz w:val="24"/>
                <w:szCs w:val="24"/>
                <w:vertAlign w:val="baseline"/>
              </w:rPr>
              <w:t>LOC107984974</w:t>
            </w:r>
          </w:p>
        </w:tc>
        <w:tc>
          <w:tcPr>
            <w:tcW w:w="735" w:type="pct"/>
            <w:tcBorders>
              <w:tl2br w:val="nil"/>
              <w:tr2bl w:val="nil"/>
            </w:tcBorders>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9.075247287</w:t>
            </w:r>
          </w:p>
        </w:tc>
        <w:tc>
          <w:tcPr>
            <w:tcW w:w="439" w:type="pct"/>
            <w:tcBorders>
              <w:tl2br w:val="nil"/>
              <w:tr2bl w:val="nil"/>
            </w:tcBorders>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2.06E-06</w:t>
            </w:r>
          </w:p>
        </w:tc>
        <w:tc>
          <w:tcPr>
            <w:tcW w:w="1263" w:type="pct"/>
            <w:tcBorders>
              <w:tl2br w:val="nil"/>
              <w:tr2bl w:val="nil"/>
            </w:tcBorders>
          </w:tcPr>
          <w:p>
            <w:pPr>
              <w:widowControl w:val="0"/>
              <w:jc w:val="center"/>
              <w:rPr>
                <w:rFonts w:hint="default" w:ascii="Times New Roman" w:hAnsi="Times New Roman" w:cs="Times New Roman"/>
                <w:sz w:val="24"/>
                <w:szCs w:val="24"/>
                <w:vertAlign w:val="baseline"/>
              </w:rPr>
            </w:pPr>
          </w:p>
          <w:p>
            <w:pPr>
              <w:widowControl w:val="0"/>
              <w:jc w:val="center"/>
              <w:rPr>
                <w:rFonts w:hint="default" w:ascii="Times New Roman" w:hAnsi="Times New Roman" w:cs="Times New Roman"/>
                <w:sz w:val="24"/>
                <w:szCs w:val="24"/>
                <w:vertAlign w:val="baseline"/>
                <w:lang w:val="en-US"/>
              </w:rPr>
            </w:pPr>
            <w:r>
              <w:rPr>
                <w:rFonts w:hint="default" w:ascii="Times New Roman" w:hAnsi="Times New Roman" w:cs="Times New Roman"/>
                <w:sz w:val="24"/>
                <w:szCs w:val="24"/>
                <w:vertAlign w:val="baseline"/>
              </w:rPr>
              <w:t>Pseudogene </w:t>
            </w:r>
            <w:r>
              <w:rPr>
                <w:rFonts w:hint="default" w:ascii="Times New Roman" w:hAnsi="Times New Roman" w:cs="Times New Roman"/>
                <w:sz w:val="24"/>
                <w:szCs w:val="24"/>
                <w:vertAlign w:val="baseline"/>
              </w:rPr>
              <w:fldChar w:fldCharType="begin"/>
            </w:r>
            <w:r>
              <w:rPr>
                <w:rFonts w:hint="default" w:ascii="Times New Roman" w:hAnsi="Times New Roman" w:cs="Times New Roman"/>
                <w:sz w:val="24"/>
                <w:szCs w:val="24"/>
                <w:vertAlign w:val="baseline"/>
              </w:rPr>
              <w:instrText xml:space="preserve"> HYPERLINK "https://www.ncbi.nlm.nih.gov/gene/107984974" \o "NCBI Entrez Gene" \t "https://www.genecards.org/cgi-bin/_blank" </w:instrText>
            </w:r>
            <w:r>
              <w:rPr>
                <w:rFonts w:hint="default" w:ascii="Times New Roman" w:hAnsi="Times New Roman" w:cs="Times New Roman"/>
                <w:sz w:val="24"/>
                <w:szCs w:val="24"/>
                <w:vertAlign w:val="baseline"/>
              </w:rPr>
              <w:fldChar w:fldCharType="separate"/>
            </w:r>
            <w:r>
              <w:rPr>
                <w:rFonts w:hint="default" w:ascii="Times New Roman" w:hAnsi="Times New Roman" w:cs="Times New Roman"/>
                <w:sz w:val="24"/>
                <w:szCs w:val="24"/>
                <w:vertAlign w:val="baseline"/>
              </w:rPr>
              <w:t>3</w:t>
            </w:r>
            <w:r>
              <w:rPr>
                <w:rFonts w:hint="default" w:ascii="Times New Roman" w:hAnsi="Times New Roman" w:cs="Times New Roman"/>
                <w:sz w:val="24"/>
                <w:szCs w:val="24"/>
                <w:vertAlign w:val="baseline"/>
              </w:rPr>
              <w:fldChar w:fldCharType="end"/>
            </w:r>
            <w:r>
              <w:rPr>
                <w:rFonts w:hint="default" w:ascii="Times New Roman" w:hAnsi="Times New Roman" w:cs="Times New Roman"/>
                <w:sz w:val="24"/>
                <w:szCs w:val="24"/>
                <w:vertAlign w:val="baseline"/>
                <w:lang w:val="en-US"/>
              </w:rPr>
              <w:t>.</w:t>
            </w:r>
          </w:p>
        </w:tc>
      </w:tr>
    </w:tbl>
    <w:p>
      <w:pPr>
        <w:rPr>
          <w:rFonts w:hint="default"/>
          <w:lang w:val="en-US"/>
        </w:rPr>
      </w:pP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ionPro-Regular">
    <w:altName w:val="Arial Unicode MS"/>
    <w:panose1 w:val="020B0604020202020204"/>
    <w:charset w:val="00"/>
    <w:family w:val="roman"/>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MTGU">
    <w:altName w:val="Segoe Print"/>
    <w:panose1 w:val="020B0604020202020204"/>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Lato">
    <w:altName w:val="Segoe Print"/>
    <w:panose1 w:val="020B0604020202020204"/>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3A4944"/>
    <w:multiLevelType w:val="singleLevel"/>
    <w:tmpl w:val="CF3A4944"/>
    <w:lvl w:ilvl="0" w:tentative="0">
      <w:start w:val="19"/>
      <w:numFmt w:val="upperLetter"/>
      <w:suff w:val="space"/>
      <w:lvlText w:val="%1."/>
      <w:lvlJc w:val="left"/>
    </w:lvl>
  </w:abstractNum>
  <w:abstractNum w:abstractNumId="1">
    <w:nsid w:val="0B7298B8"/>
    <w:multiLevelType w:val="singleLevel"/>
    <w:tmpl w:val="0B7298B8"/>
    <w:lvl w:ilvl="0" w:tentative="0">
      <w:start w:val="1"/>
      <w:numFmt w:val="decimal"/>
      <w:suff w:val="space"/>
      <w:lvlText w:val="%1."/>
      <w:lvlJc w:val="left"/>
      <w:pPr>
        <w:ind w:left="200"/>
      </w:pPr>
      <w:rPr>
        <w:rFonts w:hint="default" w:ascii="Times New Roman" w:hAnsi="Times New Roman" w:cs="Times New Roman"/>
        <w:sz w:val="24"/>
        <w:szCs w:val="24"/>
      </w:rPr>
    </w:lvl>
  </w:abstractNum>
  <w:abstractNum w:abstractNumId="2">
    <w:nsid w:val="59BF05EA"/>
    <w:multiLevelType w:val="singleLevel"/>
    <w:tmpl w:val="59BF05EA"/>
    <w:lvl w:ilvl="0" w:tentative="0">
      <w:start w:val="1"/>
      <w:numFmt w:val="upperLetter"/>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9D7765"/>
    <w:rsid w:val="09A93537"/>
    <w:rsid w:val="13202A9C"/>
    <w:rsid w:val="1B9D7765"/>
    <w:rsid w:val="324141B1"/>
    <w:rsid w:val="364022C7"/>
    <w:rsid w:val="39A0447C"/>
    <w:rsid w:val="403E63AD"/>
    <w:rsid w:val="407F6009"/>
    <w:rsid w:val="4DC446EF"/>
    <w:rsid w:val="59C14EDF"/>
    <w:rsid w:val="61531297"/>
    <w:rsid w:val="63887EF5"/>
    <w:rsid w:val="6488398A"/>
    <w:rsid w:val="707E66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rplink"/>
    <w:qFormat/>
    <w:uiPriority w:val="0"/>
  </w:style>
  <w:style w:type="character" w:customStyle="1" w:styleId="6">
    <w:name w:val="fplink"/>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tiff"/><Relationship Id="rId8" Type="http://schemas.openxmlformats.org/officeDocument/2006/relationships/image" Target="media/image2.tiff"/><Relationship Id="rId7" Type="http://schemas.openxmlformats.org/officeDocument/2006/relationships/image" Target="media/image1.tiff"/><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4.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Office_11.2.0.11042_F1E327BC-269C-435d-A152-05C5408002CA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2021-07-13T08:42:00Z</dcterms:created>
  <dc:creator>Preety Rawal</dc:creator>
  <cp:lastModifiedBy>Lenovo</cp:lastModifiedBy>
  <dcterms:modified xsi:type="dcterms:W3CDTF">2022-04-01T04:28:08Z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1033-11.2.0.11042</vt:lpwstr>
  </property>
  <property fmtid="{D5CDD505-2E9C-101B-9397-08002B2CF9AE}" pid="3" name="ICV">
    <vt:lpwstr>46ADEB81D93B42A19A65E8D0A42CCE33</vt:lpwstr>
  </property>
</Properties>
</file>