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D9763" w14:textId="709D719C" w:rsidR="00670F02" w:rsidRDefault="00356745" w:rsidP="006745F4">
      <w:pPr>
        <w:spacing w:line="240" w:lineRule="auto"/>
        <w:jc w:val="both"/>
        <w:rPr>
          <w:rFonts w:ascii="Times New Roman" w:eastAsia="Malgun Gothic" w:hAnsi="Times New Roman" w:cs="Times New Roman"/>
          <w:b/>
          <w:bCs/>
          <w:color w:val="000000"/>
          <w:sz w:val="24"/>
          <w:szCs w:val="24"/>
          <w:lang w:eastAsia="ko-KR"/>
        </w:rPr>
      </w:pPr>
      <w:bookmarkStart w:id="0" w:name="_Hlk74931511"/>
      <w:bookmarkStart w:id="1" w:name="_Hlk78290175"/>
      <w:r w:rsidRPr="00356745">
        <w:rPr>
          <w:rFonts w:ascii="Times New Roman" w:eastAsia="Malgun Gothic" w:hAnsi="Times New Roman" w:cs="Times New Roman"/>
          <w:b/>
          <w:bCs/>
          <w:color w:val="000000"/>
          <w:sz w:val="24"/>
          <w:szCs w:val="24"/>
          <w:lang w:eastAsia="ko-KR"/>
        </w:rPr>
        <w:t>Supplementary Information</w:t>
      </w:r>
      <w:r>
        <w:rPr>
          <w:rFonts w:ascii="Times New Roman" w:eastAsia="Malgun Gothic" w:hAnsi="Times New Roman" w:cs="Times New Roman"/>
          <w:b/>
          <w:bCs/>
          <w:color w:val="000000"/>
          <w:sz w:val="24"/>
          <w:szCs w:val="24"/>
          <w:lang w:eastAsia="ko-KR"/>
        </w:rPr>
        <w:t xml:space="preserve"> for: “</w:t>
      </w:r>
      <w:r w:rsidR="00670F02" w:rsidRPr="00670F02">
        <w:rPr>
          <w:rFonts w:ascii="Times New Roman" w:eastAsia="Malgun Gothic" w:hAnsi="Times New Roman" w:cs="Times New Roman"/>
          <w:b/>
          <w:bCs/>
          <w:color w:val="000000"/>
          <w:sz w:val="24"/>
          <w:szCs w:val="24"/>
          <w:lang w:eastAsia="ko-KR"/>
        </w:rPr>
        <w:t>Confronting the double burden of malnutrition yields health and environmental benefits</w:t>
      </w:r>
      <w:r>
        <w:rPr>
          <w:rFonts w:ascii="Times New Roman" w:eastAsia="Malgun Gothic" w:hAnsi="Times New Roman" w:cs="Times New Roman"/>
          <w:b/>
          <w:bCs/>
          <w:color w:val="000000"/>
          <w:sz w:val="24"/>
          <w:szCs w:val="24"/>
          <w:lang w:eastAsia="ko-KR"/>
        </w:rPr>
        <w:t>”</w:t>
      </w:r>
      <w:r w:rsidR="00670F02" w:rsidRPr="00670F02">
        <w:rPr>
          <w:rFonts w:ascii="Times New Roman" w:eastAsia="Malgun Gothic" w:hAnsi="Times New Roman" w:cs="Times New Roman"/>
          <w:b/>
          <w:bCs/>
          <w:color w:val="000000"/>
          <w:sz w:val="24"/>
          <w:szCs w:val="24"/>
          <w:lang w:eastAsia="ko-KR"/>
        </w:rPr>
        <w:t>.</w:t>
      </w:r>
    </w:p>
    <w:p w14:paraId="68A3C410" w14:textId="3335E0FB" w:rsidR="00670F02" w:rsidRDefault="00396AB6" w:rsidP="00670F02">
      <w:pPr>
        <w:spacing w:line="480" w:lineRule="auto"/>
        <w:rPr>
          <w:rFonts w:ascii="Times New Roman" w:eastAsia="Calibri" w:hAnsi="Times New Roman" w:cs="Times New Roman"/>
          <w:sz w:val="24"/>
          <w:szCs w:val="24"/>
        </w:rPr>
      </w:pPr>
      <m:oMath>
        <m:sSup>
          <m:sSupPr>
            <m:ctrlPr>
              <w:rPr>
                <w:rFonts w:ascii="Cambria Math" w:eastAsia="Calibri" w:hAnsi="Cambria Math" w:cs="Times New Roman"/>
                <w:i/>
                <w:sz w:val="24"/>
                <w:szCs w:val="24"/>
                <w:lang w:val="es-ES"/>
              </w:rPr>
            </m:ctrlPr>
          </m:sSupPr>
          <m:e>
            <m:r>
              <m:rPr>
                <m:sty m:val="p"/>
              </m:rPr>
              <w:rPr>
                <w:rFonts w:ascii="Cambria Math" w:eastAsia="Calibri" w:hAnsi="Cambria Math" w:cs="Times New Roman"/>
                <w:sz w:val="24"/>
                <w:szCs w:val="24"/>
              </w:rPr>
              <m:t>Emiliano Lopez Barrera</m:t>
            </m:r>
          </m:e>
          <m:sup>
            <m:r>
              <w:rPr>
                <w:rFonts w:ascii="Cambria Math" w:eastAsia="Calibri" w:hAnsi="Cambria Math" w:cs="Times New Roman"/>
                <w:sz w:val="24"/>
                <w:szCs w:val="24"/>
              </w:rPr>
              <m:t>*</m:t>
            </m:r>
          </m:sup>
        </m:sSup>
      </m:oMath>
      <w:r w:rsidR="00670F02" w:rsidRPr="0047520C">
        <w:rPr>
          <w:rFonts w:ascii="Times New Roman" w:eastAsia="Calibri" w:hAnsi="Times New Roman" w:cs="Times New Roman"/>
          <w:sz w:val="24"/>
          <w:szCs w:val="24"/>
        </w:rPr>
        <w:t>,</w:t>
      </w:r>
      <w:r w:rsidR="00670F02" w:rsidRPr="00670F02">
        <w:rPr>
          <w:rFonts w:ascii="Times New Roman" w:eastAsia="Calibri" w:hAnsi="Times New Roman" w:cs="Times New Roman"/>
          <w:sz w:val="24"/>
          <w:szCs w:val="24"/>
        </w:rPr>
        <w:t xml:space="preserve"> Thomas H</w:t>
      </w:r>
      <w:r w:rsidR="00670F02">
        <w:rPr>
          <w:rFonts w:ascii="Times New Roman" w:eastAsia="Calibri" w:hAnsi="Times New Roman" w:cs="Times New Roman"/>
          <w:sz w:val="24"/>
          <w:szCs w:val="24"/>
        </w:rPr>
        <w:t>ertel.</w:t>
      </w:r>
    </w:p>
    <w:p w14:paraId="368D4914" w14:textId="23A4761E" w:rsidR="001645F6" w:rsidRPr="00AB056F" w:rsidRDefault="001645F6" w:rsidP="006745F4">
      <w:pPr>
        <w:keepNext/>
        <w:spacing w:before="240" w:after="60" w:line="240" w:lineRule="auto"/>
        <w:outlineLvl w:val="0"/>
        <w:rPr>
          <w:rFonts w:ascii="Times New Roman" w:eastAsia="Times New Roman" w:hAnsi="Times New Roman" w:cs="Times New Roman"/>
          <w:b/>
          <w:bCs/>
          <w:kern w:val="32"/>
          <w:sz w:val="24"/>
          <w:szCs w:val="24"/>
        </w:rPr>
      </w:pPr>
      <w:r w:rsidRPr="00AB056F">
        <w:rPr>
          <w:rFonts w:ascii="Times New Roman" w:eastAsia="Times New Roman" w:hAnsi="Times New Roman" w:cs="Times New Roman"/>
          <w:b/>
          <w:bCs/>
          <w:kern w:val="32"/>
          <w:sz w:val="24"/>
          <w:szCs w:val="24"/>
        </w:rPr>
        <w:t>List of Figures</w:t>
      </w:r>
    </w:p>
    <w:p w14:paraId="7CDF1A8B" w14:textId="326C5A2C" w:rsidR="008C13F9" w:rsidRDefault="001645F6" w:rsidP="00075C60">
      <w:pPr>
        <w:pStyle w:val="Tabladeilustraciones"/>
        <w:tabs>
          <w:tab w:val="right" w:leader="dot" w:pos="10214"/>
        </w:tabs>
        <w:spacing w:line="240" w:lineRule="auto"/>
        <w:rPr>
          <w:rFonts w:asciiTheme="minorHAnsi" w:eastAsiaTheme="minorEastAsia" w:hAnsiTheme="minorHAnsi"/>
          <w:noProof/>
          <w:spacing w:val="0"/>
          <w:sz w:val="22"/>
        </w:rPr>
      </w:pPr>
      <w:r>
        <w:rPr>
          <w:rFonts w:eastAsia="Calibri" w:cs="Times New Roman"/>
          <w:szCs w:val="24"/>
        </w:rPr>
        <w:fldChar w:fldCharType="begin"/>
      </w:r>
      <w:r>
        <w:rPr>
          <w:rFonts w:eastAsia="Calibri" w:cs="Times New Roman"/>
          <w:szCs w:val="24"/>
        </w:rPr>
        <w:instrText xml:space="preserve"> TOC \h \z \c "Figure S" </w:instrText>
      </w:r>
      <w:r>
        <w:rPr>
          <w:rFonts w:eastAsia="Calibri" w:cs="Times New Roman"/>
          <w:szCs w:val="24"/>
        </w:rPr>
        <w:fldChar w:fldCharType="separate"/>
      </w:r>
      <w:hyperlink w:anchor="_Toc97739378" w:history="1">
        <w:r w:rsidR="008C13F9" w:rsidRPr="00D935C3">
          <w:rPr>
            <w:rStyle w:val="Hipervnculo"/>
            <w:rFonts w:cs="Times New Roman"/>
            <w:b/>
            <w:bCs/>
            <w:noProof/>
          </w:rPr>
          <w:t>Figure S1</w:t>
        </w:r>
        <w:r w:rsidR="008C13F9" w:rsidRPr="00D935C3">
          <w:rPr>
            <w:rStyle w:val="Hipervnculo"/>
            <w:rFonts w:eastAsia="Malgun Gothic" w:cs="Times New Roman"/>
            <w:b/>
            <w:noProof/>
            <w:lang w:eastAsia="ko-KR"/>
          </w:rPr>
          <w:t xml:space="preserve">. </w:t>
        </w:r>
        <w:r w:rsidR="008C13F9" w:rsidRPr="0076784B">
          <w:rPr>
            <w:rStyle w:val="Hipervnculo"/>
            <w:rFonts w:eastAsia="Malgun Gothic" w:cs="Times New Roman"/>
            <w:bCs/>
            <w:noProof/>
            <w:lang w:eastAsia="ko-KR"/>
          </w:rPr>
          <w:t>Region-specific fixed effects in BMI derived from Model 1</w:t>
        </w:r>
        <w:r w:rsidR="008C13F9">
          <w:rPr>
            <w:noProof/>
            <w:webHidden/>
          </w:rPr>
          <w:tab/>
        </w:r>
        <w:r w:rsidR="008C13F9">
          <w:rPr>
            <w:noProof/>
            <w:webHidden/>
          </w:rPr>
          <w:fldChar w:fldCharType="begin"/>
        </w:r>
        <w:r w:rsidR="008C13F9">
          <w:rPr>
            <w:noProof/>
            <w:webHidden/>
          </w:rPr>
          <w:instrText xml:space="preserve"> PAGEREF _Toc97739378 \h </w:instrText>
        </w:r>
        <w:r w:rsidR="008C13F9">
          <w:rPr>
            <w:noProof/>
            <w:webHidden/>
          </w:rPr>
        </w:r>
        <w:r w:rsidR="008C13F9">
          <w:rPr>
            <w:noProof/>
            <w:webHidden/>
          </w:rPr>
          <w:fldChar w:fldCharType="separate"/>
        </w:r>
        <w:r w:rsidR="008C13F9">
          <w:rPr>
            <w:noProof/>
            <w:webHidden/>
          </w:rPr>
          <w:t>7</w:t>
        </w:r>
        <w:r w:rsidR="008C13F9">
          <w:rPr>
            <w:noProof/>
            <w:webHidden/>
          </w:rPr>
          <w:fldChar w:fldCharType="end"/>
        </w:r>
      </w:hyperlink>
    </w:p>
    <w:p w14:paraId="160A473A" w14:textId="67391BDE" w:rsidR="008C13F9"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379" w:history="1">
        <w:r w:rsidR="008C13F9" w:rsidRPr="00D935C3">
          <w:rPr>
            <w:rStyle w:val="Hipervnculo"/>
            <w:rFonts w:cs="Times New Roman"/>
            <w:b/>
            <w:bCs/>
            <w:noProof/>
            <w:lang w:eastAsia="ko-KR"/>
          </w:rPr>
          <w:t xml:space="preserve">Figure S2. </w:t>
        </w:r>
        <w:r w:rsidR="008C13F9" w:rsidRPr="0076784B">
          <w:rPr>
            <w:rStyle w:val="Hipervnculo"/>
            <w:rFonts w:cs="Times New Roman"/>
            <w:noProof/>
            <w:lang w:eastAsia="ko-KR"/>
          </w:rPr>
          <w:t>Historical validation of the BMI module in SIMPLE for the period 2005 to 2015.</w:t>
        </w:r>
        <w:r w:rsidR="008C13F9">
          <w:rPr>
            <w:noProof/>
            <w:webHidden/>
          </w:rPr>
          <w:tab/>
        </w:r>
        <w:r w:rsidR="008C13F9">
          <w:rPr>
            <w:noProof/>
            <w:webHidden/>
          </w:rPr>
          <w:fldChar w:fldCharType="begin"/>
        </w:r>
        <w:r w:rsidR="008C13F9">
          <w:rPr>
            <w:noProof/>
            <w:webHidden/>
          </w:rPr>
          <w:instrText xml:space="preserve"> PAGEREF _Toc97739379 \h </w:instrText>
        </w:r>
        <w:r w:rsidR="008C13F9">
          <w:rPr>
            <w:noProof/>
            <w:webHidden/>
          </w:rPr>
        </w:r>
        <w:r w:rsidR="008C13F9">
          <w:rPr>
            <w:noProof/>
            <w:webHidden/>
          </w:rPr>
          <w:fldChar w:fldCharType="separate"/>
        </w:r>
        <w:r w:rsidR="008C13F9">
          <w:rPr>
            <w:noProof/>
            <w:webHidden/>
          </w:rPr>
          <w:t>8</w:t>
        </w:r>
        <w:r w:rsidR="008C13F9">
          <w:rPr>
            <w:noProof/>
            <w:webHidden/>
          </w:rPr>
          <w:fldChar w:fldCharType="end"/>
        </w:r>
      </w:hyperlink>
    </w:p>
    <w:p w14:paraId="235B31F2" w14:textId="3DAAAA03" w:rsidR="008C13F9"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380" w:history="1">
        <w:r w:rsidR="008C13F9" w:rsidRPr="00D935C3">
          <w:rPr>
            <w:rStyle w:val="Hipervnculo"/>
            <w:rFonts w:cs="Times New Roman"/>
            <w:b/>
            <w:bCs/>
            <w:noProof/>
            <w:lang w:eastAsia="ko-KR"/>
          </w:rPr>
          <w:t xml:space="preserve">Figure S3. </w:t>
        </w:r>
        <w:r w:rsidR="008C13F9" w:rsidRPr="0076784B">
          <w:rPr>
            <w:rStyle w:val="Hipervnculo"/>
            <w:rFonts w:cs="Times New Roman"/>
            <w:noProof/>
            <w:lang w:eastAsia="ko-KR"/>
          </w:rPr>
          <w:t>Baseline projections of the PoO towards 2050.</w:t>
        </w:r>
        <w:r w:rsidR="008C13F9">
          <w:rPr>
            <w:noProof/>
            <w:webHidden/>
          </w:rPr>
          <w:tab/>
        </w:r>
        <w:r w:rsidR="008C13F9">
          <w:rPr>
            <w:noProof/>
            <w:webHidden/>
          </w:rPr>
          <w:fldChar w:fldCharType="begin"/>
        </w:r>
        <w:r w:rsidR="008C13F9">
          <w:rPr>
            <w:noProof/>
            <w:webHidden/>
          </w:rPr>
          <w:instrText xml:space="preserve"> PAGEREF _Toc97739380 \h </w:instrText>
        </w:r>
        <w:r w:rsidR="008C13F9">
          <w:rPr>
            <w:noProof/>
            <w:webHidden/>
          </w:rPr>
        </w:r>
        <w:r w:rsidR="008C13F9">
          <w:rPr>
            <w:noProof/>
            <w:webHidden/>
          </w:rPr>
          <w:fldChar w:fldCharType="separate"/>
        </w:r>
        <w:r w:rsidR="008C13F9">
          <w:rPr>
            <w:noProof/>
            <w:webHidden/>
          </w:rPr>
          <w:t>9</w:t>
        </w:r>
        <w:r w:rsidR="008C13F9">
          <w:rPr>
            <w:noProof/>
            <w:webHidden/>
          </w:rPr>
          <w:fldChar w:fldCharType="end"/>
        </w:r>
      </w:hyperlink>
    </w:p>
    <w:p w14:paraId="7C97DB64" w14:textId="54B8B2EB" w:rsidR="008C13F9"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381" w:history="1">
        <w:r w:rsidR="008C13F9" w:rsidRPr="00D935C3">
          <w:rPr>
            <w:rStyle w:val="Hipervnculo"/>
            <w:rFonts w:eastAsia="Malgun Gothic" w:cs="Times New Roman"/>
            <w:b/>
            <w:noProof/>
            <w:lang w:eastAsia="ko-KR"/>
          </w:rPr>
          <w:t>Figure S4.</w:t>
        </w:r>
        <w:r w:rsidR="008C13F9" w:rsidRPr="0076784B">
          <w:rPr>
            <w:rStyle w:val="Hipervnculo"/>
            <w:rFonts w:eastAsia="Malgun Gothic" w:cs="Times New Roman"/>
            <w:bCs/>
            <w:noProof/>
            <w:lang w:eastAsia="ko-KR"/>
          </w:rPr>
          <w:t xml:space="preserve"> Baseline projections of average adult BMI towards 2050</w:t>
        </w:r>
        <w:r w:rsidR="008C13F9">
          <w:rPr>
            <w:noProof/>
            <w:webHidden/>
          </w:rPr>
          <w:tab/>
        </w:r>
        <w:r w:rsidR="008C13F9">
          <w:rPr>
            <w:noProof/>
            <w:webHidden/>
          </w:rPr>
          <w:fldChar w:fldCharType="begin"/>
        </w:r>
        <w:r w:rsidR="008C13F9">
          <w:rPr>
            <w:noProof/>
            <w:webHidden/>
          </w:rPr>
          <w:instrText xml:space="preserve"> PAGEREF _Toc97739381 \h </w:instrText>
        </w:r>
        <w:r w:rsidR="008C13F9">
          <w:rPr>
            <w:noProof/>
            <w:webHidden/>
          </w:rPr>
        </w:r>
        <w:r w:rsidR="008C13F9">
          <w:rPr>
            <w:noProof/>
            <w:webHidden/>
          </w:rPr>
          <w:fldChar w:fldCharType="separate"/>
        </w:r>
        <w:r w:rsidR="008C13F9">
          <w:rPr>
            <w:noProof/>
            <w:webHidden/>
          </w:rPr>
          <w:t>10</w:t>
        </w:r>
        <w:r w:rsidR="008C13F9">
          <w:rPr>
            <w:noProof/>
            <w:webHidden/>
          </w:rPr>
          <w:fldChar w:fldCharType="end"/>
        </w:r>
      </w:hyperlink>
    </w:p>
    <w:p w14:paraId="68C87A4B" w14:textId="696EE386" w:rsidR="008C13F9"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382" w:history="1">
        <w:r w:rsidR="008C13F9" w:rsidRPr="00D935C3">
          <w:rPr>
            <w:rStyle w:val="Hipervnculo"/>
            <w:rFonts w:eastAsia="Malgun Gothic" w:cs="Times New Roman"/>
            <w:b/>
            <w:noProof/>
            <w:lang w:eastAsia="ko-KR"/>
          </w:rPr>
          <w:t>Figure S5.</w:t>
        </w:r>
        <w:r w:rsidR="008C13F9" w:rsidRPr="0076784B">
          <w:rPr>
            <w:rStyle w:val="Hipervnculo"/>
            <w:rFonts w:eastAsia="Malgun Gothic" w:cs="Times New Roman"/>
            <w:bCs/>
            <w:noProof/>
            <w:lang w:eastAsia="ko-KR"/>
          </w:rPr>
          <w:t xml:space="preserve"> Projected changes in BMI for men and women.</w:t>
        </w:r>
        <w:r w:rsidR="008C13F9">
          <w:rPr>
            <w:noProof/>
            <w:webHidden/>
          </w:rPr>
          <w:tab/>
        </w:r>
        <w:r w:rsidR="008C13F9">
          <w:rPr>
            <w:noProof/>
            <w:webHidden/>
          </w:rPr>
          <w:fldChar w:fldCharType="begin"/>
        </w:r>
        <w:r w:rsidR="008C13F9">
          <w:rPr>
            <w:noProof/>
            <w:webHidden/>
          </w:rPr>
          <w:instrText xml:space="preserve"> PAGEREF _Toc97739382 \h </w:instrText>
        </w:r>
        <w:r w:rsidR="008C13F9">
          <w:rPr>
            <w:noProof/>
            <w:webHidden/>
          </w:rPr>
        </w:r>
        <w:r w:rsidR="008C13F9">
          <w:rPr>
            <w:noProof/>
            <w:webHidden/>
          </w:rPr>
          <w:fldChar w:fldCharType="separate"/>
        </w:r>
        <w:r w:rsidR="008C13F9">
          <w:rPr>
            <w:noProof/>
            <w:webHidden/>
          </w:rPr>
          <w:t>10</w:t>
        </w:r>
        <w:r w:rsidR="008C13F9">
          <w:rPr>
            <w:noProof/>
            <w:webHidden/>
          </w:rPr>
          <w:fldChar w:fldCharType="end"/>
        </w:r>
      </w:hyperlink>
    </w:p>
    <w:p w14:paraId="6E088FE5" w14:textId="6EF04F0F" w:rsidR="008C13F9"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383" w:history="1">
        <w:r w:rsidR="008C13F9" w:rsidRPr="00D935C3">
          <w:rPr>
            <w:rStyle w:val="Hipervnculo"/>
            <w:rFonts w:eastAsia="Malgun Gothic" w:cs="Times New Roman"/>
            <w:b/>
            <w:noProof/>
            <w:lang w:eastAsia="ko-KR"/>
          </w:rPr>
          <w:t xml:space="preserve">Figure S6. </w:t>
        </w:r>
        <w:r w:rsidR="008C13F9" w:rsidRPr="0076784B">
          <w:rPr>
            <w:rStyle w:val="Hipervnculo"/>
            <w:rFonts w:eastAsia="Malgun Gothic" w:cs="Times New Roman"/>
            <w:bCs/>
            <w:noProof/>
            <w:lang w:eastAsia="ko-KR"/>
          </w:rPr>
          <w:t>Shifting towards healthy dietary intake levels reduce caloric undernutrition and land use.</w:t>
        </w:r>
        <w:r w:rsidR="008C13F9">
          <w:rPr>
            <w:noProof/>
            <w:webHidden/>
          </w:rPr>
          <w:tab/>
        </w:r>
        <w:r w:rsidR="008C13F9">
          <w:rPr>
            <w:noProof/>
            <w:webHidden/>
          </w:rPr>
          <w:fldChar w:fldCharType="begin"/>
        </w:r>
        <w:r w:rsidR="008C13F9">
          <w:rPr>
            <w:noProof/>
            <w:webHidden/>
          </w:rPr>
          <w:instrText xml:space="preserve"> PAGEREF _Toc97739383 \h </w:instrText>
        </w:r>
        <w:r w:rsidR="008C13F9">
          <w:rPr>
            <w:noProof/>
            <w:webHidden/>
          </w:rPr>
        </w:r>
        <w:r w:rsidR="008C13F9">
          <w:rPr>
            <w:noProof/>
            <w:webHidden/>
          </w:rPr>
          <w:fldChar w:fldCharType="separate"/>
        </w:r>
        <w:r w:rsidR="008C13F9">
          <w:rPr>
            <w:noProof/>
            <w:webHidden/>
          </w:rPr>
          <w:t>11</w:t>
        </w:r>
        <w:r w:rsidR="008C13F9">
          <w:rPr>
            <w:noProof/>
            <w:webHidden/>
          </w:rPr>
          <w:fldChar w:fldCharType="end"/>
        </w:r>
      </w:hyperlink>
    </w:p>
    <w:p w14:paraId="59853FAC" w14:textId="692EF0BC" w:rsidR="008C13F9"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384" w:history="1">
        <w:r w:rsidR="008C13F9" w:rsidRPr="00D935C3">
          <w:rPr>
            <w:rStyle w:val="Hipervnculo"/>
            <w:rFonts w:eastAsia="Malgun Gothic" w:cs="Times New Roman"/>
            <w:b/>
            <w:noProof/>
            <w:lang w:eastAsia="ko-KR"/>
          </w:rPr>
          <w:t xml:space="preserve">Figure S7. </w:t>
        </w:r>
        <w:r w:rsidR="008C13F9" w:rsidRPr="0076784B">
          <w:rPr>
            <w:rStyle w:val="Hipervnculo"/>
            <w:rFonts w:eastAsia="Malgun Gothic" w:cs="Times New Roman"/>
            <w:bCs/>
            <w:noProof/>
            <w:lang w:eastAsia="ko-KR"/>
          </w:rPr>
          <w:t>Shifting towards healthy dietary intake levels reduce Green House Emissions</w:t>
        </w:r>
        <w:r w:rsidR="008C13F9" w:rsidRPr="00D935C3">
          <w:rPr>
            <w:rStyle w:val="Hipervnculo"/>
            <w:rFonts w:eastAsia="Malgun Gothic" w:cs="Times New Roman"/>
            <w:b/>
            <w:noProof/>
            <w:lang w:eastAsia="ko-KR"/>
          </w:rPr>
          <w:t>.</w:t>
        </w:r>
        <w:r w:rsidR="008C13F9">
          <w:rPr>
            <w:noProof/>
            <w:webHidden/>
          </w:rPr>
          <w:tab/>
        </w:r>
        <w:r w:rsidR="008C13F9">
          <w:rPr>
            <w:noProof/>
            <w:webHidden/>
          </w:rPr>
          <w:fldChar w:fldCharType="begin"/>
        </w:r>
        <w:r w:rsidR="008C13F9">
          <w:rPr>
            <w:noProof/>
            <w:webHidden/>
          </w:rPr>
          <w:instrText xml:space="preserve"> PAGEREF _Toc97739384 \h </w:instrText>
        </w:r>
        <w:r w:rsidR="008C13F9">
          <w:rPr>
            <w:noProof/>
            <w:webHidden/>
          </w:rPr>
        </w:r>
        <w:r w:rsidR="008C13F9">
          <w:rPr>
            <w:noProof/>
            <w:webHidden/>
          </w:rPr>
          <w:fldChar w:fldCharType="separate"/>
        </w:r>
        <w:r w:rsidR="008C13F9">
          <w:rPr>
            <w:noProof/>
            <w:webHidden/>
          </w:rPr>
          <w:t>12</w:t>
        </w:r>
        <w:r w:rsidR="008C13F9">
          <w:rPr>
            <w:noProof/>
            <w:webHidden/>
          </w:rPr>
          <w:fldChar w:fldCharType="end"/>
        </w:r>
      </w:hyperlink>
    </w:p>
    <w:p w14:paraId="67E89082" w14:textId="7186983E" w:rsidR="008C13F9"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385" w:history="1">
        <w:r w:rsidR="008C13F9" w:rsidRPr="00D935C3">
          <w:rPr>
            <w:rStyle w:val="Hipervnculo"/>
            <w:rFonts w:eastAsia="Malgun Gothic" w:cs="Times New Roman"/>
            <w:b/>
            <w:noProof/>
            <w:lang w:eastAsia="ko-KR"/>
          </w:rPr>
          <w:t xml:space="preserve">Figure S8. </w:t>
        </w:r>
        <w:r w:rsidR="008C13F9" w:rsidRPr="0076784B">
          <w:rPr>
            <w:rStyle w:val="Hipervnculo"/>
            <w:rFonts w:eastAsia="Malgun Gothic" w:cs="Times New Roman"/>
            <w:bCs/>
            <w:noProof/>
            <w:lang w:eastAsia="ko-KR"/>
          </w:rPr>
          <w:t>BMI across cohorts and over time at different income levels for adult women.</w:t>
        </w:r>
        <w:r w:rsidR="008C13F9">
          <w:rPr>
            <w:noProof/>
            <w:webHidden/>
          </w:rPr>
          <w:tab/>
        </w:r>
        <w:r w:rsidR="008C13F9">
          <w:rPr>
            <w:noProof/>
            <w:webHidden/>
          </w:rPr>
          <w:fldChar w:fldCharType="begin"/>
        </w:r>
        <w:r w:rsidR="008C13F9">
          <w:rPr>
            <w:noProof/>
            <w:webHidden/>
          </w:rPr>
          <w:instrText xml:space="preserve"> PAGEREF _Toc97739385 \h </w:instrText>
        </w:r>
        <w:r w:rsidR="008C13F9">
          <w:rPr>
            <w:noProof/>
            <w:webHidden/>
          </w:rPr>
        </w:r>
        <w:r w:rsidR="008C13F9">
          <w:rPr>
            <w:noProof/>
            <w:webHidden/>
          </w:rPr>
          <w:fldChar w:fldCharType="separate"/>
        </w:r>
        <w:r w:rsidR="008C13F9">
          <w:rPr>
            <w:noProof/>
            <w:webHidden/>
          </w:rPr>
          <w:t>13</w:t>
        </w:r>
        <w:r w:rsidR="008C13F9">
          <w:rPr>
            <w:noProof/>
            <w:webHidden/>
          </w:rPr>
          <w:fldChar w:fldCharType="end"/>
        </w:r>
      </w:hyperlink>
    </w:p>
    <w:p w14:paraId="5FFCC210" w14:textId="46EFBBC7" w:rsidR="008C13F9"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386" w:history="1">
        <w:r w:rsidR="008C13F9" w:rsidRPr="00D935C3">
          <w:rPr>
            <w:rStyle w:val="Hipervnculo"/>
            <w:rFonts w:eastAsia="Malgun Gothic" w:cs="Times New Roman"/>
            <w:b/>
            <w:noProof/>
            <w:lang w:eastAsia="ko-KR"/>
          </w:rPr>
          <w:t xml:space="preserve">Figure S9. </w:t>
        </w:r>
        <w:r w:rsidR="008C13F9" w:rsidRPr="0076784B">
          <w:rPr>
            <w:rStyle w:val="Hipervnculo"/>
            <w:rFonts w:eastAsia="Malgun Gothic" w:cs="Times New Roman"/>
            <w:bCs/>
            <w:noProof/>
            <w:lang w:eastAsia="ko-KR"/>
          </w:rPr>
          <w:t>BMI across cohorts and over time at different income levels for adult men.</w:t>
        </w:r>
        <w:r w:rsidR="008C13F9">
          <w:rPr>
            <w:noProof/>
            <w:webHidden/>
          </w:rPr>
          <w:tab/>
        </w:r>
        <w:r w:rsidR="008C13F9">
          <w:rPr>
            <w:noProof/>
            <w:webHidden/>
          </w:rPr>
          <w:fldChar w:fldCharType="begin"/>
        </w:r>
        <w:r w:rsidR="008C13F9">
          <w:rPr>
            <w:noProof/>
            <w:webHidden/>
          </w:rPr>
          <w:instrText xml:space="preserve"> PAGEREF _Toc97739386 \h </w:instrText>
        </w:r>
        <w:r w:rsidR="008C13F9">
          <w:rPr>
            <w:noProof/>
            <w:webHidden/>
          </w:rPr>
        </w:r>
        <w:r w:rsidR="008C13F9">
          <w:rPr>
            <w:noProof/>
            <w:webHidden/>
          </w:rPr>
          <w:fldChar w:fldCharType="separate"/>
        </w:r>
        <w:r w:rsidR="008C13F9">
          <w:rPr>
            <w:noProof/>
            <w:webHidden/>
          </w:rPr>
          <w:t>14</w:t>
        </w:r>
        <w:r w:rsidR="008C13F9">
          <w:rPr>
            <w:noProof/>
            <w:webHidden/>
          </w:rPr>
          <w:fldChar w:fldCharType="end"/>
        </w:r>
      </w:hyperlink>
    </w:p>
    <w:p w14:paraId="7EADBCCC" w14:textId="504ADD2F" w:rsidR="008C13F9"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387" w:history="1">
        <w:r w:rsidR="008C13F9" w:rsidRPr="00D935C3">
          <w:rPr>
            <w:rStyle w:val="Hipervnculo"/>
            <w:rFonts w:eastAsia="Malgun Gothic" w:cs="Times New Roman"/>
            <w:b/>
            <w:noProof/>
            <w:lang w:eastAsia="ko-KR"/>
          </w:rPr>
          <w:t xml:space="preserve">Figure S10. </w:t>
        </w:r>
        <w:r w:rsidR="008C13F9" w:rsidRPr="0076784B">
          <w:rPr>
            <w:rStyle w:val="Hipervnculo"/>
            <w:rFonts w:eastAsia="Malgun Gothic" w:cs="Times New Roman"/>
            <w:bCs/>
            <w:noProof/>
            <w:lang w:eastAsia="ko-KR"/>
          </w:rPr>
          <w:t>Projections of the age-specific average adult BMI.</w:t>
        </w:r>
        <w:r w:rsidR="008C13F9">
          <w:rPr>
            <w:noProof/>
            <w:webHidden/>
          </w:rPr>
          <w:tab/>
        </w:r>
        <w:r w:rsidR="008C13F9">
          <w:rPr>
            <w:noProof/>
            <w:webHidden/>
          </w:rPr>
          <w:fldChar w:fldCharType="begin"/>
        </w:r>
        <w:r w:rsidR="008C13F9">
          <w:rPr>
            <w:noProof/>
            <w:webHidden/>
          </w:rPr>
          <w:instrText xml:space="preserve"> PAGEREF _Toc97739387 \h </w:instrText>
        </w:r>
        <w:r w:rsidR="008C13F9">
          <w:rPr>
            <w:noProof/>
            <w:webHidden/>
          </w:rPr>
        </w:r>
        <w:r w:rsidR="008C13F9">
          <w:rPr>
            <w:noProof/>
            <w:webHidden/>
          </w:rPr>
          <w:fldChar w:fldCharType="separate"/>
        </w:r>
        <w:r w:rsidR="008C13F9">
          <w:rPr>
            <w:noProof/>
            <w:webHidden/>
          </w:rPr>
          <w:t>15</w:t>
        </w:r>
        <w:r w:rsidR="008C13F9">
          <w:rPr>
            <w:noProof/>
            <w:webHidden/>
          </w:rPr>
          <w:fldChar w:fldCharType="end"/>
        </w:r>
      </w:hyperlink>
    </w:p>
    <w:p w14:paraId="6A30C7E8" w14:textId="011019DE" w:rsidR="008C13F9"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388" w:history="1">
        <w:r w:rsidR="008C13F9" w:rsidRPr="00D935C3">
          <w:rPr>
            <w:rStyle w:val="Hipervnculo"/>
            <w:rFonts w:eastAsia="Malgun Gothic" w:cs="Times New Roman"/>
            <w:b/>
            <w:noProof/>
            <w:lang w:eastAsia="ko-KR"/>
          </w:rPr>
          <w:t xml:space="preserve">Figure S11. </w:t>
        </w:r>
        <w:r w:rsidR="008C13F9" w:rsidRPr="0076784B">
          <w:rPr>
            <w:rStyle w:val="Hipervnculo"/>
            <w:rFonts w:eastAsia="Malgun Gothic" w:cs="Times New Roman"/>
            <w:bCs/>
            <w:noProof/>
            <w:lang w:eastAsia="ko-KR"/>
          </w:rPr>
          <w:t>Graphical description of the SIMPLE model.</w:t>
        </w:r>
        <w:r w:rsidR="008C13F9">
          <w:rPr>
            <w:noProof/>
            <w:webHidden/>
          </w:rPr>
          <w:tab/>
        </w:r>
        <w:r w:rsidR="008C13F9">
          <w:rPr>
            <w:noProof/>
            <w:webHidden/>
          </w:rPr>
          <w:fldChar w:fldCharType="begin"/>
        </w:r>
        <w:r w:rsidR="008C13F9">
          <w:rPr>
            <w:noProof/>
            <w:webHidden/>
          </w:rPr>
          <w:instrText xml:space="preserve"> PAGEREF _Toc97739388 \h </w:instrText>
        </w:r>
        <w:r w:rsidR="008C13F9">
          <w:rPr>
            <w:noProof/>
            <w:webHidden/>
          </w:rPr>
        </w:r>
        <w:r w:rsidR="008C13F9">
          <w:rPr>
            <w:noProof/>
            <w:webHidden/>
          </w:rPr>
          <w:fldChar w:fldCharType="separate"/>
        </w:r>
        <w:r w:rsidR="008C13F9">
          <w:rPr>
            <w:noProof/>
            <w:webHidden/>
          </w:rPr>
          <w:t>18</w:t>
        </w:r>
        <w:r w:rsidR="008C13F9">
          <w:rPr>
            <w:noProof/>
            <w:webHidden/>
          </w:rPr>
          <w:fldChar w:fldCharType="end"/>
        </w:r>
      </w:hyperlink>
    </w:p>
    <w:p w14:paraId="24ADBF57" w14:textId="6C71FB66" w:rsidR="00670F02" w:rsidRPr="0076784B" w:rsidRDefault="001645F6" w:rsidP="0076784B">
      <w:pPr>
        <w:keepNext/>
        <w:spacing w:before="240" w:after="60" w:line="240" w:lineRule="auto"/>
        <w:outlineLvl w:val="0"/>
        <w:rPr>
          <w:rFonts w:ascii="Times New Roman" w:eastAsia="Times New Roman" w:hAnsi="Times New Roman" w:cs="Times New Roman"/>
          <w:b/>
          <w:bCs/>
          <w:kern w:val="32"/>
          <w:sz w:val="24"/>
          <w:szCs w:val="24"/>
        </w:rPr>
      </w:pPr>
      <w:r>
        <w:rPr>
          <w:rFonts w:eastAsia="Calibri" w:cs="Times New Roman"/>
          <w:szCs w:val="24"/>
        </w:rPr>
        <w:fldChar w:fldCharType="end"/>
      </w:r>
      <w:r w:rsidRPr="0076784B">
        <w:rPr>
          <w:rFonts w:ascii="Times New Roman" w:eastAsia="Times New Roman" w:hAnsi="Times New Roman" w:cs="Times New Roman"/>
          <w:b/>
          <w:bCs/>
          <w:kern w:val="32"/>
          <w:sz w:val="24"/>
          <w:szCs w:val="24"/>
        </w:rPr>
        <w:t>List of Tables</w:t>
      </w:r>
    </w:p>
    <w:p w14:paraId="580C33A4" w14:textId="457FCD55" w:rsidR="00075C60" w:rsidRPr="0076784B" w:rsidRDefault="001645F6" w:rsidP="00075C60">
      <w:pPr>
        <w:pStyle w:val="Tabladeilustraciones"/>
        <w:tabs>
          <w:tab w:val="right" w:leader="dot" w:pos="10214"/>
        </w:tabs>
        <w:spacing w:line="240" w:lineRule="auto"/>
        <w:rPr>
          <w:rFonts w:asciiTheme="minorHAnsi" w:eastAsiaTheme="minorEastAsia" w:hAnsiTheme="minorHAnsi"/>
          <w:noProof/>
          <w:spacing w:val="0"/>
          <w:sz w:val="22"/>
        </w:rPr>
      </w:pPr>
      <w:r>
        <w:rPr>
          <w:rFonts w:eastAsia="Calibri" w:cs="Times New Roman"/>
          <w:b/>
          <w:bCs/>
          <w:szCs w:val="24"/>
        </w:rPr>
        <w:fldChar w:fldCharType="begin"/>
      </w:r>
      <w:r>
        <w:rPr>
          <w:rFonts w:eastAsia="Calibri" w:cs="Times New Roman"/>
          <w:b/>
          <w:bCs/>
          <w:szCs w:val="24"/>
        </w:rPr>
        <w:instrText xml:space="preserve"> TOC \h \z \c "Table S" </w:instrText>
      </w:r>
      <w:r>
        <w:rPr>
          <w:rFonts w:eastAsia="Calibri" w:cs="Times New Roman"/>
          <w:b/>
          <w:bCs/>
          <w:szCs w:val="24"/>
        </w:rPr>
        <w:fldChar w:fldCharType="separate"/>
      </w:r>
      <w:hyperlink w:anchor="_Toc97739553" w:history="1">
        <w:r w:rsidR="00075C60" w:rsidRPr="00032202">
          <w:rPr>
            <w:rStyle w:val="Hipervnculo"/>
            <w:rFonts w:eastAsia="Malgun Gothic" w:cs="Times New Roman"/>
            <w:b/>
            <w:bCs/>
            <w:noProof/>
            <w:lang w:eastAsia="ko-KR"/>
          </w:rPr>
          <w:t>Table S</w:t>
        </w:r>
        <w:r w:rsidR="00075C60" w:rsidRPr="00032202">
          <w:rPr>
            <w:rStyle w:val="Hipervnculo"/>
            <w:rFonts w:cs="Times New Roman"/>
            <w:b/>
            <w:bCs/>
            <w:noProof/>
          </w:rPr>
          <w:t>1</w:t>
        </w:r>
        <w:r w:rsidR="00075C60" w:rsidRPr="00032202">
          <w:rPr>
            <w:rStyle w:val="Hipervnculo"/>
            <w:rFonts w:eastAsia="Malgun Gothic" w:cs="Times New Roman"/>
            <w:b/>
            <w:bCs/>
            <w:noProof/>
            <w:lang w:eastAsia="ko-KR"/>
          </w:rPr>
          <w:t>.</w:t>
        </w:r>
        <w:r w:rsidR="00075C60" w:rsidRPr="0076784B">
          <w:rPr>
            <w:rStyle w:val="Hipervnculo"/>
            <w:rFonts w:eastAsia="Malgun Gothic" w:cs="Times New Roman"/>
            <w:noProof/>
            <w:lang w:eastAsia="ko-KR"/>
          </w:rPr>
          <w:t xml:space="preserve"> Results for LSDV regressions on Model 1 for adult women and men.</w:t>
        </w:r>
        <w:r w:rsidR="00075C60" w:rsidRPr="0076784B">
          <w:rPr>
            <w:noProof/>
            <w:webHidden/>
          </w:rPr>
          <w:tab/>
        </w:r>
        <w:r w:rsidR="00075C60" w:rsidRPr="0076784B">
          <w:rPr>
            <w:noProof/>
            <w:webHidden/>
          </w:rPr>
          <w:fldChar w:fldCharType="begin"/>
        </w:r>
        <w:r w:rsidR="00075C60" w:rsidRPr="0076784B">
          <w:rPr>
            <w:noProof/>
            <w:webHidden/>
          </w:rPr>
          <w:instrText xml:space="preserve"> PAGEREF _Toc97739553 \h </w:instrText>
        </w:r>
        <w:r w:rsidR="00075C60" w:rsidRPr="0076784B">
          <w:rPr>
            <w:noProof/>
            <w:webHidden/>
          </w:rPr>
        </w:r>
        <w:r w:rsidR="00075C60" w:rsidRPr="0076784B">
          <w:rPr>
            <w:noProof/>
            <w:webHidden/>
          </w:rPr>
          <w:fldChar w:fldCharType="separate"/>
        </w:r>
        <w:r w:rsidR="00075C60" w:rsidRPr="0076784B">
          <w:rPr>
            <w:noProof/>
            <w:webHidden/>
          </w:rPr>
          <w:t>5</w:t>
        </w:r>
        <w:r w:rsidR="00075C60" w:rsidRPr="0076784B">
          <w:rPr>
            <w:noProof/>
            <w:webHidden/>
          </w:rPr>
          <w:fldChar w:fldCharType="end"/>
        </w:r>
      </w:hyperlink>
    </w:p>
    <w:p w14:paraId="6725F444" w14:textId="58213D8E" w:rsidR="00075C60" w:rsidRPr="0076784B"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554" w:history="1">
        <w:r w:rsidR="00075C60" w:rsidRPr="00032202">
          <w:rPr>
            <w:rStyle w:val="Hipervnculo"/>
            <w:rFonts w:eastAsia="Malgun Gothic" w:cs="Times New Roman"/>
            <w:b/>
            <w:bCs/>
            <w:noProof/>
            <w:lang w:eastAsia="ko-KR"/>
          </w:rPr>
          <w:t>Table</w:t>
        </w:r>
        <w:r w:rsidR="00075C60" w:rsidRPr="0076784B">
          <w:rPr>
            <w:rStyle w:val="Hipervnculo"/>
            <w:rFonts w:eastAsia="Malgun Gothic" w:cs="Times New Roman"/>
            <w:noProof/>
            <w:lang w:eastAsia="ko-KR"/>
          </w:rPr>
          <w:t xml:space="preserve"> </w:t>
        </w:r>
        <w:r w:rsidR="00075C60" w:rsidRPr="00032202">
          <w:rPr>
            <w:rStyle w:val="Hipervnculo"/>
            <w:rFonts w:eastAsia="Malgun Gothic" w:cs="Times New Roman"/>
            <w:b/>
            <w:bCs/>
            <w:noProof/>
            <w:lang w:eastAsia="ko-KR"/>
          </w:rPr>
          <w:t>S</w:t>
        </w:r>
        <w:r w:rsidR="00075C60" w:rsidRPr="00032202">
          <w:rPr>
            <w:rStyle w:val="Hipervnculo"/>
            <w:rFonts w:cs="Times New Roman"/>
            <w:b/>
            <w:bCs/>
            <w:noProof/>
          </w:rPr>
          <w:t>2</w:t>
        </w:r>
        <w:r w:rsidR="00075C60" w:rsidRPr="00032202">
          <w:rPr>
            <w:rStyle w:val="Hipervnculo"/>
            <w:rFonts w:eastAsia="Malgun Gothic" w:cs="Times New Roman"/>
            <w:b/>
            <w:bCs/>
            <w:noProof/>
            <w:lang w:eastAsia="ko-KR"/>
          </w:rPr>
          <w:t>.</w:t>
        </w:r>
        <w:r w:rsidR="00075C60" w:rsidRPr="0076784B">
          <w:rPr>
            <w:rStyle w:val="Hipervnculo"/>
            <w:rFonts w:eastAsia="Malgun Gothic" w:cs="Times New Roman"/>
            <w:noProof/>
            <w:lang w:eastAsia="ko-KR"/>
          </w:rPr>
          <w:t xml:space="preserve"> Sensitivity of ECA and BMI correlation under different scenarios of PAL.</w:t>
        </w:r>
        <w:r w:rsidR="00032202">
          <w:rPr>
            <w:rStyle w:val="Hipervnculo"/>
            <w:rFonts w:eastAsia="Malgun Gothic" w:cs="Times New Roman"/>
            <w:noProof/>
            <w:lang w:eastAsia="ko-KR"/>
          </w:rPr>
          <w:t xml:space="preserve"> </w:t>
        </w:r>
        <w:r w:rsidR="00075C60" w:rsidRPr="0076784B">
          <w:rPr>
            <w:noProof/>
            <w:webHidden/>
          </w:rPr>
          <w:tab/>
        </w:r>
        <w:r w:rsidR="00075C60" w:rsidRPr="0076784B">
          <w:rPr>
            <w:noProof/>
            <w:webHidden/>
          </w:rPr>
          <w:fldChar w:fldCharType="begin"/>
        </w:r>
        <w:r w:rsidR="00075C60" w:rsidRPr="0076784B">
          <w:rPr>
            <w:noProof/>
            <w:webHidden/>
          </w:rPr>
          <w:instrText xml:space="preserve"> PAGEREF _Toc97739554 \h </w:instrText>
        </w:r>
        <w:r w:rsidR="00075C60" w:rsidRPr="0076784B">
          <w:rPr>
            <w:noProof/>
            <w:webHidden/>
          </w:rPr>
        </w:r>
        <w:r w:rsidR="00075C60" w:rsidRPr="0076784B">
          <w:rPr>
            <w:noProof/>
            <w:webHidden/>
          </w:rPr>
          <w:fldChar w:fldCharType="separate"/>
        </w:r>
        <w:r w:rsidR="00075C60" w:rsidRPr="0076784B">
          <w:rPr>
            <w:noProof/>
            <w:webHidden/>
          </w:rPr>
          <w:t>6</w:t>
        </w:r>
        <w:r w:rsidR="00075C60" w:rsidRPr="0076784B">
          <w:rPr>
            <w:noProof/>
            <w:webHidden/>
          </w:rPr>
          <w:fldChar w:fldCharType="end"/>
        </w:r>
      </w:hyperlink>
    </w:p>
    <w:p w14:paraId="3618BECD" w14:textId="4369161C" w:rsidR="00075C60" w:rsidRPr="0076784B"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555" w:history="1">
        <w:r w:rsidR="00075C60" w:rsidRPr="00362345">
          <w:rPr>
            <w:rStyle w:val="Hipervnculo"/>
            <w:rFonts w:eastAsia="Malgun Gothic" w:cs="Times New Roman"/>
            <w:b/>
            <w:bCs/>
            <w:noProof/>
            <w:lang w:eastAsia="ko-KR"/>
          </w:rPr>
          <w:t>Table</w:t>
        </w:r>
        <w:r w:rsidR="00075C60" w:rsidRPr="0076784B">
          <w:rPr>
            <w:rStyle w:val="Hipervnculo"/>
            <w:rFonts w:eastAsia="Malgun Gothic" w:cs="Times New Roman"/>
            <w:noProof/>
            <w:lang w:eastAsia="ko-KR"/>
          </w:rPr>
          <w:t xml:space="preserve"> </w:t>
        </w:r>
        <w:r w:rsidR="00075C60" w:rsidRPr="00362345">
          <w:rPr>
            <w:rStyle w:val="Hipervnculo"/>
            <w:rFonts w:eastAsia="Malgun Gothic" w:cs="Times New Roman"/>
            <w:b/>
            <w:bCs/>
            <w:noProof/>
            <w:lang w:eastAsia="ko-KR"/>
          </w:rPr>
          <w:t>S</w:t>
        </w:r>
        <w:r w:rsidR="00075C60" w:rsidRPr="00362345">
          <w:rPr>
            <w:rStyle w:val="Hipervnculo"/>
            <w:rFonts w:cs="Times New Roman"/>
            <w:b/>
            <w:bCs/>
            <w:noProof/>
          </w:rPr>
          <w:t>3</w:t>
        </w:r>
        <w:r w:rsidR="00075C60" w:rsidRPr="00416238">
          <w:rPr>
            <w:rStyle w:val="Hipervnculo"/>
            <w:rFonts w:eastAsia="Malgun Gothic" w:cs="Times New Roman"/>
            <w:b/>
            <w:bCs/>
            <w:noProof/>
            <w:lang w:eastAsia="ko-KR"/>
          </w:rPr>
          <w:t>.</w:t>
        </w:r>
        <w:r w:rsidR="00075C60" w:rsidRPr="0076784B">
          <w:rPr>
            <w:rStyle w:val="Hipervnculo"/>
            <w:rFonts w:eastAsia="Malgun Gothic" w:cs="Times New Roman"/>
            <w:noProof/>
            <w:lang w:eastAsia="ko-KR"/>
          </w:rPr>
          <w:t xml:space="preserve"> Summary of regression results for model 2 under different model specifications</w:t>
        </w:r>
        <w:r w:rsidR="00075C60" w:rsidRPr="0076784B">
          <w:rPr>
            <w:noProof/>
            <w:webHidden/>
          </w:rPr>
          <w:tab/>
        </w:r>
        <w:r w:rsidR="00075C60" w:rsidRPr="0076784B">
          <w:rPr>
            <w:noProof/>
            <w:webHidden/>
          </w:rPr>
          <w:fldChar w:fldCharType="begin"/>
        </w:r>
        <w:r w:rsidR="00075C60" w:rsidRPr="0076784B">
          <w:rPr>
            <w:noProof/>
            <w:webHidden/>
          </w:rPr>
          <w:instrText xml:space="preserve"> PAGEREF _Toc97739555 \h </w:instrText>
        </w:r>
        <w:r w:rsidR="00075C60" w:rsidRPr="0076784B">
          <w:rPr>
            <w:noProof/>
            <w:webHidden/>
          </w:rPr>
        </w:r>
        <w:r w:rsidR="00075C60" w:rsidRPr="0076784B">
          <w:rPr>
            <w:noProof/>
            <w:webHidden/>
          </w:rPr>
          <w:fldChar w:fldCharType="separate"/>
        </w:r>
        <w:r w:rsidR="00075C60" w:rsidRPr="0076784B">
          <w:rPr>
            <w:noProof/>
            <w:webHidden/>
          </w:rPr>
          <w:t>6</w:t>
        </w:r>
        <w:r w:rsidR="00075C60" w:rsidRPr="0076784B">
          <w:rPr>
            <w:noProof/>
            <w:webHidden/>
          </w:rPr>
          <w:fldChar w:fldCharType="end"/>
        </w:r>
      </w:hyperlink>
    </w:p>
    <w:p w14:paraId="6E5CA01A" w14:textId="7DC905A4" w:rsidR="00075C60" w:rsidRPr="0076784B"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556" w:history="1">
        <w:r w:rsidR="00075C60" w:rsidRPr="00362345">
          <w:rPr>
            <w:rStyle w:val="Hipervnculo"/>
            <w:rFonts w:cs="Times New Roman"/>
            <w:b/>
            <w:bCs/>
            <w:noProof/>
          </w:rPr>
          <w:t>Table</w:t>
        </w:r>
        <w:r w:rsidR="00075C60" w:rsidRPr="0076784B">
          <w:rPr>
            <w:rStyle w:val="Hipervnculo"/>
            <w:rFonts w:eastAsia="Malgun Gothic" w:cs="Times New Roman"/>
            <w:noProof/>
            <w:lang w:eastAsia="ko-KR"/>
          </w:rPr>
          <w:t xml:space="preserve"> </w:t>
        </w:r>
        <w:r w:rsidR="00075C60" w:rsidRPr="00416238">
          <w:rPr>
            <w:rStyle w:val="Hipervnculo"/>
            <w:rFonts w:cs="Times New Roman"/>
            <w:b/>
            <w:bCs/>
            <w:noProof/>
          </w:rPr>
          <w:t>S3.</w:t>
        </w:r>
        <w:r w:rsidR="00075C60" w:rsidRPr="0076784B">
          <w:rPr>
            <w:rStyle w:val="Hipervnculo"/>
            <w:rFonts w:eastAsia="Malgun Gothic" w:cs="Times New Roman"/>
            <w:noProof/>
            <w:lang w:eastAsia="ko-KR"/>
          </w:rPr>
          <w:t xml:space="preserve"> Assumed growth rates of exogenous variables (in % per annum rates).</w:t>
        </w:r>
        <w:r w:rsidR="00075C60" w:rsidRPr="0076784B">
          <w:rPr>
            <w:noProof/>
            <w:webHidden/>
          </w:rPr>
          <w:tab/>
        </w:r>
        <w:r w:rsidR="00075C60" w:rsidRPr="0076784B">
          <w:rPr>
            <w:noProof/>
            <w:webHidden/>
          </w:rPr>
          <w:fldChar w:fldCharType="begin"/>
        </w:r>
        <w:r w:rsidR="00075C60" w:rsidRPr="0076784B">
          <w:rPr>
            <w:noProof/>
            <w:webHidden/>
          </w:rPr>
          <w:instrText xml:space="preserve"> PAGEREF _Toc97739556 \h </w:instrText>
        </w:r>
        <w:r w:rsidR="00075C60" w:rsidRPr="0076784B">
          <w:rPr>
            <w:noProof/>
            <w:webHidden/>
          </w:rPr>
        </w:r>
        <w:r w:rsidR="00075C60" w:rsidRPr="0076784B">
          <w:rPr>
            <w:noProof/>
            <w:webHidden/>
          </w:rPr>
          <w:fldChar w:fldCharType="separate"/>
        </w:r>
        <w:r w:rsidR="00075C60" w:rsidRPr="0076784B">
          <w:rPr>
            <w:noProof/>
            <w:webHidden/>
          </w:rPr>
          <w:t>19</w:t>
        </w:r>
        <w:r w:rsidR="00075C60" w:rsidRPr="0076784B">
          <w:rPr>
            <w:noProof/>
            <w:webHidden/>
          </w:rPr>
          <w:fldChar w:fldCharType="end"/>
        </w:r>
      </w:hyperlink>
    </w:p>
    <w:p w14:paraId="7276F948" w14:textId="0E054BDA" w:rsidR="00075C60" w:rsidRPr="0076784B" w:rsidRDefault="00396AB6" w:rsidP="00075C60">
      <w:pPr>
        <w:pStyle w:val="Tabladeilustraciones"/>
        <w:tabs>
          <w:tab w:val="right" w:leader="dot" w:pos="10214"/>
        </w:tabs>
        <w:spacing w:line="240" w:lineRule="auto"/>
        <w:rPr>
          <w:rFonts w:asciiTheme="minorHAnsi" w:eastAsiaTheme="minorEastAsia" w:hAnsiTheme="minorHAnsi"/>
          <w:noProof/>
          <w:spacing w:val="0"/>
          <w:sz w:val="22"/>
        </w:rPr>
      </w:pPr>
      <w:hyperlink w:anchor="_Toc97739557" w:history="1">
        <w:r w:rsidR="00075C60" w:rsidRPr="00362345">
          <w:rPr>
            <w:rStyle w:val="Hipervnculo"/>
            <w:rFonts w:eastAsia="Malgun Gothic" w:cs="Times New Roman"/>
            <w:b/>
            <w:bCs/>
            <w:noProof/>
            <w:lang w:eastAsia="ko-KR"/>
          </w:rPr>
          <w:t>Table</w:t>
        </w:r>
        <w:r w:rsidR="00075C60" w:rsidRPr="0076784B">
          <w:rPr>
            <w:rStyle w:val="Hipervnculo"/>
            <w:rFonts w:eastAsia="Malgun Gothic" w:cs="Times New Roman"/>
            <w:noProof/>
            <w:lang w:eastAsia="ko-KR"/>
          </w:rPr>
          <w:t xml:space="preserve"> </w:t>
        </w:r>
        <w:r w:rsidR="00075C60" w:rsidRPr="00416238">
          <w:rPr>
            <w:rStyle w:val="Hipervnculo"/>
            <w:rFonts w:cs="Times New Roman"/>
            <w:b/>
            <w:bCs/>
            <w:noProof/>
          </w:rPr>
          <w:t>S4.</w:t>
        </w:r>
        <w:r w:rsidR="00075C60" w:rsidRPr="0076784B">
          <w:rPr>
            <w:rStyle w:val="Hipervnculo"/>
            <w:rFonts w:eastAsia="Malgun Gothic" w:cs="Times New Roman"/>
            <w:noProof/>
            <w:lang w:eastAsia="ko-KR"/>
          </w:rPr>
          <w:t xml:space="preserve"> Shocks on per capita consumption in grams by type of food (i.e., crops, livestock, and processed food) in SIMPLE.</w:t>
        </w:r>
        <w:r w:rsidR="00075C60" w:rsidRPr="0076784B">
          <w:rPr>
            <w:noProof/>
            <w:webHidden/>
          </w:rPr>
          <w:tab/>
        </w:r>
        <w:r w:rsidR="00075C60" w:rsidRPr="0076784B">
          <w:rPr>
            <w:noProof/>
            <w:webHidden/>
          </w:rPr>
          <w:fldChar w:fldCharType="begin"/>
        </w:r>
        <w:r w:rsidR="00075C60" w:rsidRPr="0076784B">
          <w:rPr>
            <w:noProof/>
            <w:webHidden/>
          </w:rPr>
          <w:instrText xml:space="preserve"> PAGEREF _Toc97739557 \h </w:instrText>
        </w:r>
        <w:r w:rsidR="00075C60" w:rsidRPr="0076784B">
          <w:rPr>
            <w:noProof/>
            <w:webHidden/>
          </w:rPr>
        </w:r>
        <w:r w:rsidR="00075C60" w:rsidRPr="0076784B">
          <w:rPr>
            <w:noProof/>
            <w:webHidden/>
          </w:rPr>
          <w:fldChar w:fldCharType="separate"/>
        </w:r>
        <w:r w:rsidR="00075C60" w:rsidRPr="0076784B">
          <w:rPr>
            <w:noProof/>
            <w:webHidden/>
          </w:rPr>
          <w:t>21</w:t>
        </w:r>
        <w:r w:rsidR="00075C60" w:rsidRPr="0076784B">
          <w:rPr>
            <w:noProof/>
            <w:webHidden/>
          </w:rPr>
          <w:fldChar w:fldCharType="end"/>
        </w:r>
      </w:hyperlink>
    </w:p>
    <w:p w14:paraId="43238742" w14:textId="77777777" w:rsidR="00E33182" w:rsidRPr="00E33182" w:rsidRDefault="00396AB6" w:rsidP="00E33182">
      <w:pPr>
        <w:pStyle w:val="Tabladeilustraciones"/>
        <w:tabs>
          <w:tab w:val="right" w:leader="dot" w:pos="10214"/>
        </w:tabs>
        <w:spacing w:line="240" w:lineRule="auto"/>
        <w:rPr>
          <w:rStyle w:val="Hipervnculo"/>
          <w:noProof/>
          <w:color w:val="auto"/>
        </w:rPr>
      </w:pPr>
      <w:hyperlink w:anchor="_Toc97739558" w:history="1">
        <w:r w:rsidR="00075C60" w:rsidRPr="00416238">
          <w:rPr>
            <w:rStyle w:val="Hipervnculo"/>
            <w:rFonts w:eastAsia="Malgun Gothic" w:cs="Times New Roman"/>
            <w:b/>
            <w:bCs/>
            <w:noProof/>
            <w:lang w:eastAsia="ko-KR"/>
          </w:rPr>
          <w:t>Table</w:t>
        </w:r>
        <w:r w:rsidR="00075C60" w:rsidRPr="0076784B">
          <w:rPr>
            <w:rStyle w:val="Hipervnculo"/>
            <w:rFonts w:eastAsia="Malgun Gothic" w:cs="Times New Roman"/>
            <w:noProof/>
            <w:lang w:eastAsia="ko-KR"/>
          </w:rPr>
          <w:t xml:space="preserve"> </w:t>
        </w:r>
        <w:r w:rsidR="00075C60" w:rsidRPr="00416238">
          <w:rPr>
            <w:rStyle w:val="Hipervnculo"/>
            <w:rFonts w:eastAsia="Malgun Gothic" w:cs="Times New Roman"/>
            <w:b/>
            <w:bCs/>
            <w:noProof/>
            <w:lang w:eastAsia="ko-KR"/>
          </w:rPr>
          <w:t>S</w:t>
        </w:r>
        <w:r w:rsidR="00075C60" w:rsidRPr="00416238">
          <w:rPr>
            <w:rStyle w:val="Hipervnculo"/>
            <w:rFonts w:cs="Times New Roman"/>
            <w:b/>
            <w:bCs/>
            <w:noProof/>
          </w:rPr>
          <w:t>5.</w:t>
        </w:r>
        <w:r w:rsidR="00075C60" w:rsidRPr="0076784B">
          <w:rPr>
            <w:rStyle w:val="Hipervnculo"/>
            <w:rFonts w:eastAsia="Malgun Gothic" w:cs="Times New Roman"/>
            <w:noProof/>
            <w:lang w:eastAsia="ko-KR"/>
          </w:rPr>
          <w:t xml:space="preserve"> Shocks on per capita consumption in grams by type of food (i.e., crops, livestock, and processed food) in SIMPLE.</w:t>
        </w:r>
        <w:r w:rsidR="00075C60" w:rsidRPr="0076784B">
          <w:rPr>
            <w:noProof/>
            <w:webHidden/>
          </w:rPr>
          <w:tab/>
        </w:r>
        <w:r w:rsidR="00075C60" w:rsidRPr="0076784B">
          <w:rPr>
            <w:noProof/>
            <w:webHidden/>
          </w:rPr>
          <w:fldChar w:fldCharType="begin"/>
        </w:r>
        <w:r w:rsidR="00075C60" w:rsidRPr="0076784B">
          <w:rPr>
            <w:noProof/>
            <w:webHidden/>
          </w:rPr>
          <w:instrText xml:space="preserve"> PAGEREF _Toc97739558 \h </w:instrText>
        </w:r>
        <w:r w:rsidR="00075C60" w:rsidRPr="0076784B">
          <w:rPr>
            <w:noProof/>
            <w:webHidden/>
          </w:rPr>
        </w:r>
        <w:r w:rsidR="00075C60" w:rsidRPr="0076784B">
          <w:rPr>
            <w:noProof/>
            <w:webHidden/>
          </w:rPr>
          <w:fldChar w:fldCharType="separate"/>
        </w:r>
        <w:r w:rsidR="00075C60" w:rsidRPr="0076784B">
          <w:rPr>
            <w:noProof/>
            <w:webHidden/>
          </w:rPr>
          <w:t>22</w:t>
        </w:r>
        <w:r w:rsidR="00075C60" w:rsidRPr="0076784B">
          <w:rPr>
            <w:noProof/>
            <w:webHidden/>
          </w:rPr>
          <w:fldChar w:fldCharType="end"/>
        </w:r>
      </w:hyperlink>
    </w:p>
    <w:p w14:paraId="3C86D767" w14:textId="64699FC7" w:rsidR="0076784B" w:rsidRDefault="0076784B" w:rsidP="00E33182">
      <w:pPr>
        <w:pStyle w:val="Tabladeilustraciones"/>
        <w:tabs>
          <w:tab w:val="right" w:leader="dot" w:pos="10214"/>
        </w:tabs>
        <w:spacing w:line="240" w:lineRule="auto"/>
      </w:pPr>
      <w:r>
        <w:br w:type="page"/>
      </w:r>
    </w:p>
    <w:p w14:paraId="26148F93" w14:textId="75F10A10" w:rsidR="00043873" w:rsidRPr="006745F4" w:rsidRDefault="001645F6" w:rsidP="00075C60">
      <w:pPr>
        <w:keepNext/>
        <w:spacing w:before="240" w:after="60" w:line="240" w:lineRule="auto"/>
        <w:jc w:val="both"/>
        <w:outlineLvl w:val="0"/>
        <w:rPr>
          <w:rFonts w:ascii="Times New Roman" w:eastAsia="Times New Roman" w:hAnsi="Times New Roman" w:cs="Times New Roman"/>
          <w:b/>
          <w:bCs/>
          <w:kern w:val="32"/>
          <w:sz w:val="24"/>
          <w:szCs w:val="24"/>
        </w:rPr>
      </w:pPr>
      <w:r>
        <w:rPr>
          <w:rFonts w:eastAsia="Calibri" w:cs="Times New Roman"/>
          <w:b/>
          <w:bCs/>
          <w:szCs w:val="24"/>
        </w:rPr>
        <w:lastRenderedPageBreak/>
        <w:fldChar w:fldCharType="end"/>
      </w:r>
      <w:bookmarkStart w:id="2" w:name="_Toc75803823"/>
      <w:bookmarkStart w:id="3" w:name="_Hlk74931453"/>
      <w:r w:rsidR="0047520C" w:rsidRPr="006745F4">
        <w:rPr>
          <w:rFonts w:ascii="Times New Roman" w:eastAsia="Times New Roman" w:hAnsi="Times New Roman" w:cs="Times New Roman"/>
          <w:b/>
          <w:bCs/>
          <w:kern w:val="32"/>
          <w:sz w:val="24"/>
          <w:szCs w:val="24"/>
        </w:rPr>
        <w:t>FAO PoU’s Extension: Excessive Acquisition of Calories and the Malnutrition Double Burden</w:t>
      </w:r>
      <w:bookmarkEnd w:id="2"/>
    </w:p>
    <w:bookmarkEnd w:id="3"/>
    <w:p w14:paraId="5C9BEC83" w14:textId="4666E772" w:rsidR="0047520C" w:rsidRPr="006745F4" w:rsidRDefault="0047520C" w:rsidP="006745F4">
      <w:pPr>
        <w:spacing w:before="240" w:after="0" w:line="240" w:lineRule="auto"/>
        <w:jc w:val="both"/>
        <w:rPr>
          <w:rFonts w:ascii="Times New Roman" w:eastAsia="Malgun Gothic" w:hAnsi="Times New Roman" w:cs="Times New Roman"/>
          <w:iCs/>
          <w:sz w:val="24"/>
          <w:szCs w:val="24"/>
          <w:lang w:eastAsia="ko-KR"/>
        </w:rPr>
      </w:pPr>
      <w:r w:rsidRPr="006745F4">
        <w:rPr>
          <w:rFonts w:ascii="Times New Roman" w:eastAsia="Malgun Gothic" w:hAnsi="Times New Roman" w:cs="Times New Roman"/>
          <w:iCs/>
          <w:sz w:val="24"/>
          <w:szCs w:val="24"/>
          <w:lang w:eastAsia="ko-KR"/>
        </w:rPr>
        <w:t>The Food and Agriculture Organization’s (FAO) prevalence of undernourishment indicator (PoU) monitors the proportion of people suffering from hunger. Estimates of the number of undernourished (</w:t>
      </w:r>
      <w:proofErr w:type="spellStart"/>
      <w:r w:rsidRPr="006745F4">
        <w:rPr>
          <w:rFonts w:ascii="Times New Roman" w:eastAsia="Malgun Gothic" w:hAnsi="Times New Roman" w:cs="Times New Roman"/>
          <w:iCs/>
          <w:sz w:val="24"/>
          <w:szCs w:val="24"/>
          <w:lang w:eastAsia="ko-KR"/>
        </w:rPr>
        <w:t>NoU</w:t>
      </w:r>
      <w:proofErr w:type="spellEnd"/>
      <w:r w:rsidRPr="006745F4">
        <w:rPr>
          <w:rFonts w:ascii="Times New Roman" w:eastAsia="Malgun Gothic" w:hAnsi="Times New Roman" w:cs="Times New Roman"/>
          <w:iCs/>
          <w:sz w:val="24"/>
          <w:szCs w:val="24"/>
          <w:lang w:eastAsia="ko-KR"/>
        </w:rPr>
        <w:t>) are calculated by multiplying the PoU by the size of the reference population. The PoU is defined as the probability that a randomly selected individual from the reference population is found to consume less than his/her calorie requirement for an active and healthy life. It is calculated as follows (green area in</w:t>
      </w:r>
      <w:r w:rsidR="009265DE" w:rsidRPr="006745F4">
        <w:rPr>
          <w:rFonts w:ascii="Times New Roman" w:eastAsia="Malgun Gothic" w:hAnsi="Times New Roman" w:cs="Times New Roman"/>
          <w:iCs/>
          <w:sz w:val="24"/>
          <w:szCs w:val="24"/>
          <w:lang w:eastAsia="ko-KR"/>
        </w:rPr>
        <w:t> </w:t>
      </w:r>
      <w:r w:rsidRPr="006745F4">
        <w:rPr>
          <w:rFonts w:ascii="Times New Roman" w:eastAsia="Malgun Gothic" w:hAnsi="Times New Roman" w:cs="Times New Roman"/>
          <w:b/>
          <w:bCs/>
          <w:iCs/>
          <w:sz w:val="24"/>
          <w:szCs w:val="24"/>
          <w:lang w:eastAsia="ko-KR"/>
        </w:rPr>
        <w:t>Figure </w:t>
      </w:r>
      <w:r w:rsidR="008D03F2">
        <w:rPr>
          <w:rFonts w:ascii="Times New Roman" w:eastAsia="Malgun Gothic" w:hAnsi="Times New Roman" w:cs="Times New Roman"/>
          <w:b/>
          <w:bCs/>
          <w:iCs/>
          <w:sz w:val="24"/>
          <w:szCs w:val="24"/>
          <w:lang w:eastAsia="ko-KR"/>
        </w:rPr>
        <w:t>7</w:t>
      </w:r>
      <w:r w:rsidRPr="006745F4">
        <w:rPr>
          <w:rFonts w:ascii="Times New Roman" w:eastAsia="Malgun Gothic" w:hAnsi="Times New Roman" w:cs="Times New Roman"/>
          <w:b/>
          <w:bCs/>
          <w:iCs/>
          <w:sz w:val="24"/>
          <w:szCs w:val="24"/>
          <w:lang w:eastAsia="ko-KR"/>
        </w:rPr>
        <w:t>a</w:t>
      </w:r>
      <w:r w:rsidRPr="006745F4">
        <w:rPr>
          <w:rFonts w:ascii="Times New Roman" w:eastAsia="Malgun Gothic" w:hAnsi="Times New Roman" w:cs="Times New Roman"/>
          <w:iCs/>
          <w:sz w:val="24"/>
          <w:szCs w:val="24"/>
          <w:lang w:eastAsia="ko-KR"/>
        </w:rPr>
        <w:t>):</w:t>
      </w:r>
    </w:p>
    <w:p w14:paraId="2D0B5F7A" w14:textId="7E0F9A3F" w:rsidR="0096794F" w:rsidRDefault="0047520C" w:rsidP="0096794F">
      <w:pPr>
        <w:spacing w:before="120" w:after="120" w:line="240" w:lineRule="auto"/>
        <w:jc w:val="both"/>
        <w:rPr>
          <w:rFonts w:ascii="Times New Roman" w:eastAsia="Malgun Gothic" w:hAnsi="Times New Roman" w:cs="Times New Roman"/>
          <w:iCs/>
          <w:sz w:val="24"/>
          <w:szCs w:val="24"/>
          <w:lang w:eastAsia="ko-KR"/>
        </w:rPr>
      </w:pPr>
      <m:oMathPara>
        <m:oMath>
          <m:r>
            <w:rPr>
              <w:rFonts w:ascii="Cambria Math" w:eastAsia="Malgun Gothic" w:hAnsi="Cambria Math" w:cs="Times New Roman"/>
              <w:sz w:val="24"/>
              <w:szCs w:val="24"/>
              <w:lang w:eastAsia="ko-KR"/>
            </w:rPr>
            <m:t>PoU=</m:t>
          </m:r>
          <m:nary>
            <m:naryPr>
              <m:limLoc m:val="subSup"/>
              <m:ctrlPr>
                <w:rPr>
                  <w:rFonts w:ascii="Cambria Math" w:eastAsia="Malgun Gothic" w:hAnsi="Cambria Math" w:cs="Times New Roman"/>
                  <w:i/>
                  <w:iCs/>
                  <w:sz w:val="24"/>
                  <w:szCs w:val="24"/>
                  <w:lang w:eastAsia="ko-KR"/>
                </w:rPr>
              </m:ctrlPr>
            </m:naryPr>
            <m:sub>
              <m:r>
                <w:rPr>
                  <w:rFonts w:ascii="Cambria Math" w:eastAsia="Malgun Gothic" w:hAnsi="Cambria Math" w:cs="Times New Roman"/>
                  <w:sz w:val="24"/>
                  <w:szCs w:val="24"/>
                  <w:lang w:eastAsia="ko-KR"/>
                </w:rPr>
                <m:t>0</m:t>
              </m:r>
            </m:sub>
            <m:sup>
              <m:r>
                <w:rPr>
                  <w:rFonts w:ascii="Cambria Math" w:eastAsia="Malgun Gothic" w:hAnsi="Cambria Math" w:cs="Times New Roman"/>
                  <w:sz w:val="24"/>
                  <w:szCs w:val="24"/>
                  <w:lang w:eastAsia="ko-KR"/>
                </w:rPr>
                <m:t>MDER</m:t>
              </m:r>
            </m:sup>
            <m:e>
              <m:r>
                <w:rPr>
                  <w:rFonts w:ascii="Cambria Math" w:eastAsia="Malgun Gothic" w:hAnsi="Cambria Math" w:cs="Times New Roman"/>
                  <w:sz w:val="24"/>
                  <w:szCs w:val="24"/>
                  <w:lang w:eastAsia="ko-KR"/>
                </w:rPr>
                <m:t>f</m:t>
              </m:r>
              <m:d>
                <m:dPr>
                  <m:ctrlPr>
                    <w:rPr>
                      <w:rFonts w:ascii="Cambria Math" w:eastAsia="Malgun Gothic" w:hAnsi="Cambria Math" w:cs="Times New Roman"/>
                      <w:i/>
                      <w:iCs/>
                      <w:sz w:val="24"/>
                      <w:szCs w:val="24"/>
                      <w:lang w:eastAsia="ko-KR"/>
                    </w:rPr>
                  </m:ctrlPr>
                </m:dPr>
                <m:e>
                  <m:r>
                    <w:rPr>
                      <w:rFonts w:ascii="Cambria Math" w:eastAsia="Malgun Gothic" w:hAnsi="Cambria Math" w:cs="Times New Roman"/>
                      <w:sz w:val="24"/>
                      <w:szCs w:val="24"/>
                      <w:lang w:eastAsia="ko-KR"/>
                    </w:rPr>
                    <m:t>x</m:t>
                  </m:r>
                </m:e>
              </m:d>
              <m:r>
                <w:rPr>
                  <w:rFonts w:ascii="Cambria Math" w:eastAsia="Malgun Gothic" w:hAnsi="Cambria Math" w:cs="Times New Roman"/>
                  <w:sz w:val="24"/>
                  <w:szCs w:val="24"/>
                  <w:lang w:eastAsia="ko-KR"/>
                </w:rPr>
                <m:t xml:space="preserve"> dx</m:t>
              </m:r>
            </m:e>
          </m:nary>
        </m:oMath>
      </m:oMathPara>
    </w:p>
    <w:p w14:paraId="304A2355" w14:textId="373D43A2" w:rsidR="0047520C" w:rsidRPr="006745F4" w:rsidRDefault="0047520C" w:rsidP="0096794F">
      <w:pPr>
        <w:spacing w:before="120" w:after="120" w:line="240" w:lineRule="auto"/>
        <w:ind w:firstLine="360"/>
        <w:jc w:val="both"/>
        <w:rPr>
          <w:rFonts w:ascii="Times New Roman" w:eastAsia="Malgun Gothic" w:hAnsi="Times New Roman" w:cs="Times New Roman"/>
          <w:iCs/>
          <w:sz w:val="24"/>
          <w:szCs w:val="24"/>
          <w:lang w:eastAsia="ko-KR"/>
        </w:rPr>
      </w:pPr>
      <w:r w:rsidRPr="006745F4">
        <w:rPr>
          <w:rFonts w:ascii="Times New Roman" w:eastAsia="Malgun Gothic" w:hAnsi="Times New Roman" w:cs="Times New Roman"/>
          <w:iCs/>
          <w:sz w:val="24"/>
          <w:szCs w:val="24"/>
          <w:lang w:eastAsia="ko-KR"/>
        </w:rPr>
        <w:t xml:space="preserve">In </w:t>
      </w:r>
      <w:r w:rsidR="000A4650" w:rsidRPr="006745F4">
        <w:rPr>
          <w:rFonts w:ascii="Times New Roman" w:eastAsia="Malgun Gothic" w:hAnsi="Times New Roman" w:cs="Times New Roman"/>
          <w:iCs/>
          <w:sz w:val="24"/>
          <w:szCs w:val="24"/>
          <w:lang w:eastAsia="ko-KR"/>
        </w:rPr>
        <w:t>t</w:t>
      </w:r>
      <w:r w:rsidR="0096794F">
        <w:rPr>
          <w:rFonts w:ascii="Times New Roman" w:eastAsia="Malgun Gothic" w:hAnsi="Times New Roman" w:cs="Times New Roman"/>
          <w:iCs/>
          <w:sz w:val="24"/>
          <w:szCs w:val="24"/>
          <w:lang w:eastAsia="ko-KR"/>
        </w:rPr>
        <w:t>his</w:t>
      </w:r>
      <w:r w:rsidR="000A4650" w:rsidRPr="006745F4">
        <w:rPr>
          <w:rFonts w:ascii="Times New Roman" w:eastAsia="Malgun Gothic" w:hAnsi="Times New Roman" w:cs="Times New Roman"/>
          <w:iCs/>
          <w:sz w:val="24"/>
          <w:szCs w:val="24"/>
          <w:lang w:eastAsia="ko-KR"/>
        </w:rPr>
        <w:t xml:space="preserve"> </w:t>
      </w:r>
      <w:r w:rsidRPr="006745F4">
        <w:rPr>
          <w:rFonts w:ascii="Times New Roman" w:eastAsia="Malgun Gothic" w:hAnsi="Times New Roman" w:cs="Times New Roman"/>
          <w:iCs/>
          <w:sz w:val="24"/>
          <w:szCs w:val="24"/>
          <w:lang w:eastAsia="ko-KR"/>
        </w:rPr>
        <w:t xml:space="preserve">equation f(x) is the probability density function of per capita calorie consumption. The country-specific parameters involved in the estimation are: The mean level of dietary energy consumption (DEC) annually updated based on FAO food balance sheets; a threshold Minimum Dietary Energy Requirement (MDER) also annually update based on demographics (age, sex, PAL) using UN population data; the coefficient of variation (CV) as a parameter accounting for inequality in food consumption updated when information from National Household Surveys (NHS) is available; and a skewness (SK) parameter accounting for asymmetry in the distribution, also updated when NHS data is available. In its standard version and in recent refinements, the methodology assumes a lognormal density function for the caloric distribution among the population of reference </w:t>
      </w:r>
      <w:r w:rsidRPr="006745F4">
        <w:rPr>
          <w:rFonts w:ascii="Times New Roman" w:eastAsia="Malgun Gothic" w:hAnsi="Times New Roman" w:cs="Times New Roman"/>
          <w:iCs/>
          <w:sz w:val="24"/>
          <w:szCs w:val="24"/>
          <w:lang w:eastAsia="ko-KR"/>
        </w:rPr>
        <w:fldChar w:fldCharType="begin"/>
      </w:r>
      <w:r w:rsidR="00730BDC" w:rsidRPr="006745F4">
        <w:rPr>
          <w:rFonts w:ascii="Times New Roman" w:eastAsia="Malgun Gothic" w:hAnsi="Times New Roman" w:cs="Times New Roman"/>
          <w:iCs/>
          <w:sz w:val="24"/>
          <w:szCs w:val="24"/>
          <w:lang w:eastAsia="ko-KR"/>
        </w:rPr>
        <w:instrText xml:space="preserve"> ADDIN ZOTERO_ITEM CSL_CITATION {"citationID":"CIohPvn5","properties":{"formattedCitation":"\\super 1\\nosupersub{}","plainCitation":"1","noteIndex":0},"citationItems":[{"id":55,"uris":["http://zotero.org/users/5867530/items/NCZECKFL"],"uri":["http://zotero.org/users/5867530/items/NCZECKFL"],"itemData":{"id":55,"type":"article-journal","container-title":"Documento de trabajo","issue":"2014","page":"14–05","title":"Refinements to the FAO methodology for estimating the prevalence of undernourishment indicator","author":[{"family":"Wanner","given":"Nathan"},{"family":"Cafiero","given":"Carlo"},{"family":"Troubat","given":"Nathalie"},{"family":"Conforti","given":"Piero"}],"issued":{"date-parts":[["2014"]]}}}],"schema":"https://github.com/citation-style-language/schema/raw/master/csl-citation.json"} </w:instrText>
      </w:r>
      <w:r w:rsidRPr="006745F4">
        <w:rPr>
          <w:rFonts w:ascii="Times New Roman" w:eastAsia="Malgun Gothic" w:hAnsi="Times New Roman" w:cs="Times New Roman"/>
          <w:iCs/>
          <w:sz w:val="24"/>
          <w:szCs w:val="24"/>
          <w:lang w:eastAsia="ko-KR"/>
        </w:rPr>
        <w:fldChar w:fldCharType="separate"/>
      </w:r>
      <w:r w:rsidR="00730BDC" w:rsidRPr="006745F4">
        <w:rPr>
          <w:rFonts w:ascii="Times New Roman" w:hAnsi="Times New Roman" w:cs="Times New Roman"/>
          <w:sz w:val="24"/>
          <w:szCs w:val="24"/>
          <w:vertAlign w:val="superscript"/>
        </w:rPr>
        <w:t>1</w:t>
      </w:r>
      <w:r w:rsidRPr="006745F4">
        <w:rPr>
          <w:rFonts w:ascii="Times New Roman" w:eastAsia="Malgun Gothic" w:hAnsi="Times New Roman" w:cs="Times New Roman"/>
          <w:iCs/>
          <w:sz w:val="24"/>
          <w:szCs w:val="24"/>
          <w:lang w:eastAsia="ko-KR"/>
        </w:rPr>
        <w:fldChar w:fldCharType="end"/>
      </w:r>
      <w:r w:rsidRPr="006745F4">
        <w:rPr>
          <w:rFonts w:ascii="Times New Roman" w:eastAsia="Malgun Gothic" w:hAnsi="Times New Roman" w:cs="Times New Roman"/>
          <w:iCs/>
          <w:sz w:val="24"/>
          <w:szCs w:val="24"/>
          <w:lang w:eastAsia="ko-KR"/>
        </w:rPr>
        <w:t>. Here we extend this approach to look at the high levels of caloric availability – excess acquisition– to focus on prevalence of overweight and obesity and food waste (</w:t>
      </w:r>
      <w:r w:rsidRPr="006745F4">
        <w:rPr>
          <w:rFonts w:ascii="Times New Roman" w:eastAsia="Malgun Gothic" w:hAnsi="Times New Roman" w:cs="Times New Roman"/>
          <w:b/>
          <w:bCs/>
          <w:iCs/>
          <w:sz w:val="24"/>
          <w:szCs w:val="24"/>
          <w:lang w:eastAsia="ko-KR"/>
        </w:rPr>
        <w:t xml:space="preserve">Figure </w:t>
      </w:r>
      <w:r w:rsidR="00A33B4B">
        <w:rPr>
          <w:rFonts w:ascii="Times New Roman" w:eastAsia="Malgun Gothic" w:hAnsi="Times New Roman" w:cs="Times New Roman"/>
          <w:b/>
          <w:bCs/>
          <w:iCs/>
          <w:sz w:val="24"/>
          <w:szCs w:val="24"/>
          <w:lang w:eastAsia="ko-KR"/>
        </w:rPr>
        <w:t>7</w:t>
      </w:r>
      <w:r w:rsidRPr="006745F4">
        <w:rPr>
          <w:rFonts w:ascii="Times New Roman" w:eastAsia="Malgun Gothic" w:hAnsi="Times New Roman" w:cs="Times New Roman"/>
          <w:b/>
          <w:bCs/>
          <w:iCs/>
          <w:sz w:val="24"/>
          <w:szCs w:val="24"/>
          <w:lang w:eastAsia="ko-KR"/>
        </w:rPr>
        <w:t>a</w:t>
      </w:r>
      <w:r w:rsidRPr="006745F4">
        <w:rPr>
          <w:rFonts w:ascii="Times New Roman" w:eastAsia="Malgun Gothic" w:hAnsi="Times New Roman" w:cs="Times New Roman"/>
          <w:iCs/>
          <w:sz w:val="24"/>
          <w:szCs w:val="24"/>
          <w:lang w:eastAsia="ko-KR"/>
        </w:rPr>
        <w:t>):</w:t>
      </w:r>
    </w:p>
    <w:p w14:paraId="273A3DC3" w14:textId="422537A2" w:rsidR="0047520C" w:rsidRPr="006745F4" w:rsidRDefault="0047520C" w:rsidP="006745F4">
      <w:pPr>
        <w:spacing w:before="120" w:after="120" w:line="240" w:lineRule="auto"/>
        <w:jc w:val="both"/>
        <w:rPr>
          <w:rFonts w:ascii="Times New Roman" w:eastAsia="Malgun Gothic" w:hAnsi="Times New Roman" w:cs="Times New Roman"/>
          <w:iCs/>
          <w:sz w:val="24"/>
          <w:szCs w:val="24"/>
          <w:lang w:eastAsia="ko-KR"/>
        </w:rPr>
      </w:pPr>
      <m:oMathPara>
        <m:oMath>
          <m:r>
            <w:rPr>
              <w:rFonts w:ascii="Cambria Math" w:eastAsia="Malgun Gothic" w:hAnsi="Cambria Math" w:cs="Times New Roman"/>
              <w:sz w:val="24"/>
              <w:szCs w:val="24"/>
              <w:lang w:eastAsia="ko-KR"/>
            </w:rPr>
            <m:t>PoO=</m:t>
          </m:r>
          <m:nary>
            <m:naryPr>
              <m:limLoc m:val="subSup"/>
              <m:ctrlPr>
                <w:rPr>
                  <w:rFonts w:ascii="Cambria Math" w:eastAsia="Malgun Gothic" w:hAnsi="Cambria Math" w:cs="Times New Roman"/>
                  <w:i/>
                  <w:iCs/>
                  <w:sz w:val="24"/>
                  <w:szCs w:val="24"/>
                  <w:lang w:eastAsia="ko-KR"/>
                </w:rPr>
              </m:ctrlPr>
            </m:naryPr>
            <m:sub>
              <m:r>
                <w:rPr>
                  <w:rFonts w:ascii="Cambria Math" w:eastAsia="Malgun Gothic" w:hAnsi="Cambria Math" w:cs="Times New Roman"/>
                  <w:sz w:val="24"/>
                  <w:szCs w:val="24"/>
                  <w:lang w:eastAsia="ko-KR"/>
                </w:rPr>
                <m:t>ADER</m:t>
              </m:r>
            </m:sub>
            <m:sup>
              <m:r>
                <w:rPr>
                  <w:rFonts w:ascii="Cambria Math" w:eastAsia="Malgun Gothic" w:hAnsi="Cambria Math" w:cs="Times New Roman"/>
                  <w:sz w:val="24"/>
                  <w:szCs w:val="24"/>
                  <w:lang w:eastAsia="ko-KR"/>
                </w:rPr>
                <m:t>∞</m:t>
              </m:r>
            </m:sup>
            <m:e>
              <m:r>
                <w:rPr>
                  <w:rFonts w:ascii="Cambria Math" w:eastAsia="Malgun Gothic" w:hAnsi="Cambria Math" w:cs="Times New Roman"/>
                  <w:sz w:val="24"/>
                  <w:szCs w:val="24"/>
                  <w:lang w:eastAsia="ko-KR"/>
                </w:rPr>
                <m:t>f</m:t>
              </m:r>
              <m:d>
                <m:dPr>
                  <m:ctrlPr>
                    <w:rPr>
                      <w:rFonts w:ascii="Cambria Math" w:eastAsia="Malgun Gothic" w:hAnsi="Cambria Math" w:cs="Times New Roman"/>
                      <w:i/>
                      <w:iCs/>
                      <w:sz w:val="24"/>
                      <w:szCs w:val="24"/>
                      <w:lang w:eastAsia="ko-KR"/>
                    </w:rPr>
                  </m:ctrlPr>
                </m:dPr>
                <m:e>
                  <m:r>
                    <w:rPr>
                      <w:rFonts w:ascii="Cambria Math" w:eastAsia="Malgun Gothic" w:hAnsi="Cambria Math" w:cs="Times New Roman"/>
                      <w:sz w:val="24"/>
                      <w:szCs w:val="24"/>
                      <w:lang w:eastAsia="ko-KR"/>
                    </w:rPr>
                    <m:t>x</m:t>
                  </m:r>
                </m:e>
              </m:d>
              <m:r>
                <w:rPr>
                  <w:rFonts w:ascii="Cambria Math" w:eastAsia="Malgun Gothic" w:hAnsi="Cambria Math" w:cs="Times New Roman"/>
                  <w:sz w:val="24"/>
                  <w:szCs w:val="24"/>
                  <w:lang w:eastAsia="ko-KR"/>
                </w:rPr>
                <m:t xml:space="preserve"> dx</m:t>
              </m:r>
            </m:e>
          </m:nary>
        </m:oMath>
      </m:oMathPara>
    </w:p>
    <w:p w14:paraId="00601911" w14:textId="1F969FBF" w:rsidR="0047520C" w:rsidRPr="006745F4" w:rsidRDefault="0047520C" w:rsidP="006745F4">
      <w:pPr>
        <w:spacing w:after="0" w:line="240" w:lineRule="auto"/>
        <w:ind w:firstLine="360"/>
        <w:jc w:val="both"/>
        <w:rPr>
          <w:rFonts w:ascii="Times New Roman" w:eastAsia="Malgun Gothic" w:hAnsi="Times New Roman" w:cs="Times New Roman"/>
          <w:iCs/>
          <w:sz w:val="24"/>
          <w:szCs w:val="24"/>
          <w:lang w:eastAsia="ko-KR"/>
        </w:rPr>
      </w:pPr>
      <w:r w:rsidRPr="006745F4">
        <w:rPr>
          <w:rFonts w:ascii="Times New Roman" w:eastAsia="Malgun Gothic" w:hAnsi="Times New Roman" w:cs="Times New Roman"/>
          <w:iCs/>
          <w:sz w:val="24"/>
          <w:szCs w:val="24"/>
          <w:lang w:eastAsia="ko-KR"/>
        </w:rPr>
        <w:t xml:space="preserve">In </w:t>
      </w:r>
      <w:r w:rsidR="00F07A0C">
        <w:rPr>
          <w:rFonts w:ascii="Times New Roman" w:eastAsia="Malgun Gothic" w:hAnsi="Times New Roman" w:cs="Times New Roman"/>
          <w:iCs/>
          <w:sz w:val="24"/>
          <w:szCs w:val="24"/>
          <w:lang w:eastAsia="ko-KR"/>
        </w:rPr>
        <w:t xml:space="preserve">this </w:t>
      </w:r>
      <w:r w:rsidRPr="006745F4">
        <w:rPr>
          <w:rFonts w:ascii="Times New Roman" w:eastAsia="Malgun Gothic" w:hAnsi="Times New Roman" w:cs="Times New Roman"/>
          <w:iCs/>
          <w:sz w:val="24"/>
          <w:szCs w:val="24"/>
          <w:lang w:eastAsia="ko-KR"/>
        </w:rPr>
        <w:t>equation f(x) is the probability density function of per capita calorie consumption. Similarly, to the PoU’s the proposed estimation for the population overconsumption (</w:t>
      </w:r>
      <w:proofErr w:type="spellStart"/>
      <w:r w:rsidRPr="006745F4">
        <w:rPr>
          <w:rFonts w:ascii="Times New Roman" w:eastAsia="Malgun Gothic" w:hAnsi="Times New Roman" w:cs="Times New Roman"/>
          <w:iCs/>
          <w:sz w:val="24"/>
          <w:szCs w:val="24"/>
          <w:lang w:eastAsia="ko-KR"/>
        </w:rPr>
        <w:t>PoO</w:t>
      </w:r>
      <w:proofErr w:type="spellEnd"/>
      <w:r w:rsidRPr="006745F4">
        <w:rPr>
          <w:rFonts w:ascii="Times New Roman" w:eastAsia="Malgun Gothic" w:hAnsi="Times New Roman" w:cs="Times New Roman"/>
          <w:iCs/>
          <w:sz w:val="24"/>
          <w:szCs w:val="24"/>
          <w:lang w:eastAsia="ko-KR"/>
        </w:rPr>
        <w:t xml:space="preserve">) is defined as the probability that a randomly selected individual from the reference population is found to consume (purchase) more calories than his/her Average Dietary Energy Requirement (ER) which is defined as the calorie intake (kcal/cap/day) required to provide energy balance in a given individual of a healthy weight for their sex, age, and activity levels. The </w:t>
      </w:r>
      <w:proofErr w:type="spellStart"/>
      <w:r w:rsidRPr="006745F4">
        <w:rPr>
          <w:rFonts w:ascii="Times New Roman" w:eastAsia="Malgun Gothic" w:hAnsi="Times New Roman" w:cs="Times New Roman"/>
          <w:iCs/>
          <w:sz w:val="24"/>
          <w:szCs w:val="24"/>
          <w:lang w:eastAsia="ko-KR"/>
        </w:rPr>
        <w:t>PoO</w:t>
      </w:r>
      <w:proofErr w:type="spellEnd"/>
      <w:r w:rsidRPr="006745F4">
        <w:rPr>
          <w:rFonts w:ascii="Times New Roman" w:eastAsia="Malgun Gothic" w:hAnsi="Times New Roman" w:cs="Times New Roman"/>
          <w:iCs/>
          <w:sz w:val="24"/>
          <w:szCs w:val="24"/>
          <w:lang w:eastAsia="ko-KR"/>
        </w:rPr>
        <w:t xml:space="preserve"> is calculated as follows, we start by defining a maximum threshold, in this case the </w:t>
      </w:r>
      <w:proofErr w:type="gramStart"/>
      <w:r w:rsidRPr="006745F4">
        <w:rPr>
          <w:rFonts w:ascii="Times New Roman" w:eastAsia="Malgun Gothic" w:hAnsi="Times New Roman" w:cs="Times New Roman"/>
          <w:iCs/>
          <w:sz w:val="24"/>
          <w:szCs w:val="24"/>
          <w:lang w:eastAsia="ko-KR"/>
        </w:rPr>
        <w:t>ER</w:t>
      </w:r>
      <w:proofErr w:type="gramEnd"/>
      <w:r w:rsidRPr="006745F4">
        <w:rPr>
          <w:rFonts w:ascii="Times New Roman" w:eastAsia="Malgun Gothic" w:hAnsi="Times New Roman" w:cs="Times New Roman"/>
          <w:iCs/>
          <w:sz w:val="24"/>
          <w:szCs w:val="24"/>
          <w:lang w:eastAsia="ko-KR"/>
        </w:rPr>
        <w:t xml:space="preserve"> which is calculated based on country specific energy requirements, constructed from country-specific basal metabolic rate (BMR) and physical activity level (PAL) using country-specific demographics (age and sex). Also, similarly to the PoU methodology, the number of people over consuming calories (NoO) is calculated by multiplying the </w:t>
      </w:r>
      <w:proofErr w:type="spellStart"/>
      <w:r w:rsidRPr="006745F4">
        <w:rPr>
          <w:rFonts w:ascii="Times New Roman" w:eastAsia="Malgun Gothic" w:hAnsi="Times New Roman" w:cs="Times New Roman"/>
          <w:iCs/>
          <w:sz w:val="24"/>
          <w:szCs w:val="24"/>
          <w:lang w:eastAsia="ko-KR"/>
        </w:rPr>
        <w:t>PoO</w:t>
      </w:r>
      <w:proofErr w:type="spellEnd"/>
      <w:r w:rsidRPr="006745F4">
        <w:rPr>
          <w:rFonts w:ascii="Times New Roman" w:eastAsia="Malgun Gothic" w:hAnsi="Times New Roman" w:cs="Times New Roman"/>
          <w:iCs/>
          <w:sz w:val="24"/>
          <w:szCs w:val="24"/>
          <w:lang w:eastAsia="ko-KR"/>
        </w:rPr>
        <w:t xml:space="preserve"> by the size of the reference population</w:t>
      </w:r>
      <w:r w:rsidR="0023119E">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{"citationID":"lxsdAPoG","properties":{"formattedCitation":"\\super 2\\nosupersub{}","plainCitation":"2","noteIndex":0},"citationItems":[{"id":547,"uris":["http://zotero.org/users/5867530/items/RIY4DGAY"],"uri":["http://zotero.org/users/5867530/items/RIY4DGAY"],"itemData":{"id":547,"type":"article-journal","title":"Hunger and Obesity: the “double burden” of malnutrition in a SIMPLE framework","author":[{"family":"Barrera","given":"Emiliano Lopez"}],"issued":{"date-parts":[["2018"]]}}}],"schema":"https://github.com/citation-style-language/schema/raw/master/csl-citation.json"} </w:instrText>
      </w:r>
      <w:r w:rsidR="0023119E">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w:t>
      </w:r>
      <w:r w:rsidR="0023119E">
        <w:rPr>
          <w:rFonts w:ascii="Times New Roman" w:eastAsia="Malgun Gothic" w:hAnsi="Times New Roman" w:cs="Times New Roman"/>
          <w:iCs/>
          <w:sz w:val="24"/>
          <w:szCs w:val="24"/>
          <w:lang w:eastAsia="ko-KR"/>
        </w:rPr>
        <w:fldChar w:fldCharType="end"/>
      </w:r>
      <w:r w:rsidRPr="006745F4">
        <w:rPr>
          <w:rFonts w:ascii="Times New Roman" w:eastAsia="Malgun Gothic" w:hAnsi="Times New Roman" w:cs="Times New Roman"/>
          <w:iCs/>
          <w:sz w:val="24"/>
          <w:szCs w:val="24"/>
          <w:lang w:eastAsia="ko-KR"/>
        </w:rPr>
        <w:t xml:space="preserve">. </w:t>
      </w:r>
    </w:p>
    <w:p w14:paraId="43AD3C64" w14:textId="338986E2" w:rsidR="0047520C" w:rsidRPr="006745F4" w:rsidRDefault="0047520C" w:rsidP="006745F4">
      <w:pPr>
        <w:spacing w:after="0" w:line="240" w:lineRule="auto"/>
        <w:ind w:firstLine="360"/>
        <w:jc w:val="both"/>
        <w:rPr>
          <w:rFonts w:ascii="Times New Roman" w:eastAsia="Malgun Gothic" w:hAnsi="Times New Roman" w:cs="Times New Roman"/>
          <w:iCs/>
          <w:sz w:val="24"/>
          <w:szCs w:val="24"/>
          <w:lang w:eastAsia="ko-KR"/>
        </w:rPr>
      </w:pPr>
      <w:r w:rsidRPr="006745F4">
        <w:rPr>
          <w:rFonts w:ascii="Times New Roman" w:eastAsia="Malgun Gothic" w:hAnsi="Times New Roman" w:cs="Times New Roman"/>
          <w:iCs/>
          <w:sz w:val="24"/>
          <w:szCs w:val="24"/>
          <w:lang w:eastAsia="ko-KR"/>
        </w:rPr>
        <w:t>We then split the over-acquisition of calories into excessive intake of calories and food waste based on previous estimations of the share of calories purchased in excess that end up uneaten (</w:t>
      </w:r>
      <w:r w:rsidRPr="006745F4">
        <w:rPr>
          <w:rFonts w:ascii="Times New Roman" w:eastAsia="Malgun Gothic" w:hAnsi="Times New Roman" w:cs="Times New Roman"/>
          <w:b/>
          <w:bCs/>
          <w:iCs/>
          <w:sz w:val="24"/>
          <w:szCs w:val="24"/>
          <w:lang w:eastAsia="ko-KR"/>
        </w:rPr>
        <w:t xml:space="preserve">Figure </w:t>
      </w:r>
      <w:r w:rsidR="00A33B4B">
        <w:rPr>
          <w:rFonts w:ascii="Times New Roman" w:eastAsia="Malgun Gothic" w:hAnsi="Times New Roman" w:cs="Times New Roman"/>
          <w:b/>
          <w:bCs/>
          <w:iCs/>
          <w:sz w:val="24"/>
          <w:szCs w:val="24"/>
          <w:lang w:eastAsia="ko-KR"/>
        </w:rPr>
        <w:t>7</w:t>
      </w:r>
      <w:r w:rsidRPr="006745F4">
        <w:rPr>
          <w:rFonts w:ascii="Times New Roman" w:eastAsia="Malgun Gothic" w:hAnsi="Times New Roman" w:cs="Times New Roman"/>
          <w:b/>
          <w:bCs/>
          <w:iCs/>
          <w:sz w:val="24"/>
          <w:szCs w:val="24"/>
          <w:lang w:eastAsia="ko-KR"/>
        </w:rPr>
        <w:t>b</w:t>
      </w:r>
      <w:r w:rsidRPr="006745F4">
        <w:rPr>
          <w:rFonts w:ascii="Times New Roman" w:eastAsia="Malgun Gothic" w:hAnsi="Times New Roman" w:cs="Times New Roman"/>
          <w:iCs/>
          <w:sz w:val="24"/>
          <w:szCs w:val="24"/>
          <w:lang w:eastAsia="ko-KR"/>
        </w:rPr>
        <w:t xml:space="preserve">) </w:t>
      </w:r>
      <w:r w:rsidRPr="006745F4">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{"citationID":"8pFOkpGw","properties":{"formattedCitation":"\\super 3\\nosupersub{}","plainCitation":"3","noteIndex":0},"citationItems":[{"id":223,"uris":["http://zotero.org/users/5867530/items/MULUTKCA"],"uri":["http://zotero.org/users/5867530/items/MULUTKCA"],"itemData":{"id":223,"type":"article-journal","container-title":"Food Policy","page":"101874","title":"Global food waste across the income spectrum: Implications for food prices, production and resource use","author":[{"family":"Barrera","given":"Emiliano Lopez"},{"family":"Hertel","given":"Thomas"}],"issued":{"date-parts":[["2020"]]}}}],"schema":"https://github.com/citation-style-language/schema/raw/master/csl-citation.json"} </w:instrText>
      </w:r>
      <w:r w:rsidRPr="006745F4">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3</w:t>
      </w:r>
      <w:r w:rsidRPr="006745F4">
        <w:rPr>
          <w:rFonts w:ascii="Times New Roman" w:eastAsia="Malgun Gothic" w:hAnsi="Times New Roman" w:cs="Times New Roman"/>
          <w:iCs/>
          <w:sz w:val="24"/>
          <w:szCs w:val="24"/>
          <w:lang w:eastAsia="ko-KR"/>
        </w:rPr>
        <w:fldChar w:fldCharType="end"/>
      </w:r>
      <w:r w:rsidRPr="006745F4">
        <w:rPr>
          <w:rFonts w:ascii="Times New Roman" w:eastAsia="Malgun Gothic" w:hAnsi="Times New Roman" w:cs="Times New Roman"/>
          <w:iCs/>
          <w:sz w:val="24"/>
          <w:szCs w:val="24"/>
          <w:lang w:eastAsia="ko-KR"/>
        </w:rPr>
        <w:t xml:space="preserve">. This second step enables to differentiate whether the excessive acquisition of calories is indeed intake or ends up uneaten by the average consumer. This is a very important distinction since consumer behavior with respect to those </w:t>
      </w:r>
      <w:proofErr w:type="gramStart"/>
      <w:r w:rsidRPr="006745F4">
        <w:rPr>
          <w:rFonts w:ascii="Times New Roman" w:eastAsia="Malgun Gothic" w:hAnsi="Times New Roman" w:cs="Times New Roman"/>
          <w:iCs/>
          <w:sz w:val="24"/>
          <w:szCs w:val="24"/>
          <w:lang w:eastAsia="ko-KR"/>
        </w:rPr>
        <w:t>are</w:t>
      </w:r>
      <w:proofErr w:type="gramEnd"/>
      <w:r w:rsidRPr="006745F4">
        <w:rPr>
          <w:rFonts w:ascii="Times New Roman" w:eastAsia="Malgun Gothic" w:hAnsi="Times New Roman" w:cs="Times New Roman"/>
          <w:iCs/>
          <w:sz w:val="24"/>
          <w:szCs w:val="24"/>
          <w:lang w:eastAsia="ko-KR"/>
        </w:rPr>
        <w:t xml:space="preserve"> responsive to complete different sets of policies. Moreover, previous studies have emphasized that the potential environmental benefits of reducing from current food consumption levels towards healthier and more sustainable diets. However, while the excessive intake of calories influences health through affecting body weight, the excessive purchasing of food that ends up uneaten does not affect body weight.</w:t>
      </w:r>
    </w:p>
    <w:p w14:paraId="5CD98D0E" w14:textId="086C7410" w:rsidR="00D3605A" w:rsidRPr="006745F4" w:rsidRDefault="00D3605A" w:rsidP="006745F4">
      <w:pPr>
        <w:keepNext/>
        <w:spacing w:before="240" w:after="60" w:line="240" w:lineRule="auto"/>
        <w:jc w:val="both"/>
        <w:outlineLvl w:val="0"/>
        <w:rPr>
          <w:rFonts w:ascii="Times New Roman" w:eastAsia="Times New Roman" w:hAnsi="Times New Roman" w:cs="Times New Roman"/>
          <w:b/>
          <w:bCs/>
          <w:kern w:val="32"/>
          <w:sz w:val="24"/>
          <w:szCs w:val="24"/>
        </w:rPr>
      </w:pPr>
      <w:r w:rsidRPr="006745F4">
        <w:rPr>
          <w:rFonts w:ascii="Times New Roman" w:eastAsia="Times New Roman" w:hAnsi="Times New Roman" w:cs="Times New Roman"/>
          <w:b/>
          <w:bCs/>
          <w:kern w:val="32"/>
          <w:sz w:val="24"/>
          <w:szCs w:val="24"/>
        </w:rPr>
        <w:t xml:space="preserve">A pseudo-panel data set on average daily excessive consumption of calories </w:t>
      </w:r>
    </w:p>
    <w:bookmarkEnd w:id="0"/>
    <w:bookmarkEnd w:id="1"/>
    <w:p w14:paraId="65D2C5C9" w14:textId="5662E558" w:rsidR="00382175" w:rsidRPr="006745F4" w:rsidRDefault="004B3CCD" w:rsidP="006745F4">
      <w:pPr>
        <w:spacing w:after="0" w:line="240" w:lineRule="auto"/>
        <w:jc w:val="both"/>
        <w:rPr>
          <w:rFonts w:ascii="Times New Roman" w:eastAsia="Malgun Gothic" w:hAnsi="Times New Roman" w:cs="Times New Roman"/>
          <w:color w:val="000000"/>
          <w:sz w:val="24"/>
          <w:szCs w:val="24"/>
          <w:lang w:eastAsia="ko-KR"/>
        </w:rPr>
      </w:pPr>
      <w:r w:rsidRPr="006745F4">
        <w:rPr>
          <w:rFonts w:ascii="Times New Roman" w:eastAsia="Malgun Gothic" w:hAnsi="Times New Roman" w:cs="Times New Roman"/>
          <w:color w:val="000000"/>
          <w:sz w:val="24"/>
          <w:szCs w:val="24"/>
          <w:lang w:eastAsia="ko-KR"/>
        </w:rPr>
        <w:t xml:space="preserve">In this study we </w:t>
      </w:r>
      <w:r w:rsidR="00D3605A" w:rsidRPr="006745F4">
        <w:rPr>
          <w:rFonts w:ascii="Times New Roman" w:eastAsia="Malgun Gothic" w:hAnsi="Times New Roman" w:cs="Times New Roman"/>
          <w:color w:val="000000"/>
          <w:sz w:val="24"/>
          <w:szCs w:val="24"/>
          <w:lang w:eastAsia="ko-KR"/>
        </w:rPr>
        <w:t>define, compute, and track over time and across countries excess calorie availability (EC</w:t>
      </w:r>
      <w:r w:rsidR="001A6BC7" w:rsidRPr="006745F4">
        <w:rPr>
          <w:rFonts w:ascii="Times New Roman" w:eastAsia="Malgun Gothic" w:hAnsi="Times New Roman" w:cs="Times New Roman"/>
          <w:color w:val="000000"/>
          <w:sz w:val="24"/>
          <w:szCs w:val="24"/>
          <w:lang w:eastAsia="ko-KR"/>
        </w:rPr>
        <w:t>A</w:t>
      </w:r>
      <w:r w:rsidR="00D3605A" w:rsidRPr="006745F4">
        <w:rPr>
          <w:rFonts w:ascii="Times New Roman" w:eastAsia="Malgun Gothic" w:hAnsi="Times New Roman" w:cs="Times New Roman"/>
          <w:color w:val="000000"/>
          <w:sz w:val="24"/>
          <w:szCs w:val="24"/>
          <w:lang w:eastAsia="ko-KR"/>
        </w:rPr>
        <w:t xml:space="preserve">) as the difference between the average daily supply of calories (SC) and average dietary energy requirements </w:t>
      </w:r>
      <w:r w:rsidR="00D3605A" w:rsidRPr="006745F4">
        <w:rPr>
          <w:rFonts w:ascii="Times New Roman" w:eastAsia="Malgun Gothic" w:hAnsi="Times New Roman" w:cs="Times New Roman"/>
          <w:color w:val="000000"/>
          <w:sz w:val="24"/>
          <w:szCs w:val="24"/>
          <w:lang w:eastAsia="ko-KR"/>
        </w:rPr>
        <w:lastRenderedPageBreak/>
        <w:t xml:space="preserve">(ER), i.e., </w:t>
      </w:r>
      <m:oMath>
        <m:r>
          <m:rPr>
            <m:sty m:val="p"/>
          </m:rPr>
          <w:rPr>
            <w:rFonts w:ascii="Cambria Math" w:eastAsia="Malgun Gothic" w:hAnsi="Cambria Math" w:cs="Times New Roman"/>
            <w:color w:val="000000"/>
            <w:sz w:val="24"/>
            <w:szCs w:val="24"/>
            <w:lang w:eastAsia="ko-KR"/>
          </w:rPr>
          <m:t>ECA=SC-ER</m:t>
        </m:r>
      </m:oMath>
      <w:r w:rsidR="00D3605A" w:rsidRPr="006745F4">
        <w:rPr>
          <w:rFonts w:ascii="Times New Roman" w:eastAsia="Malgun Gothic" w:hAnsi="Times New Roman" w:cs="Times New Roman"/>
          <w:color w:val="000000"/>
          <w:sz w:val="24"/>
          <w:szCs w:val="24"/>
          <w:lang w:eastAsia="ko-KR"/>
        </w:rPr>
        <w:t>, where both measures evolve over time. Here we follow a similar str</w:t>
      </w:r>
      <w:proofErr w:type="spellStart"/>
      <w:r w:rsidR="00D3605A" w:rsidRPr="006745F4">
        <w:rPr>
          <w:rFonts w:ascii="Times New Roman" w:eastAsia="Malgun Gothic" w:hAnsi="Times New Roman" w:cs="Times New Roman"/>
          <w:color w:val="000000"/>
          <w:sz w:val="24"/>
          <w:szCs w:val="24"/>
          <w:lang w:eastAsia="ko-KR"/>
        </w:rPr>
        <w:t>ategy</w:t>
      </w:r>
      <w:proofErr w:type="spellEnd"/>
      <w:r w:rsidR="00D3605A" w:rsidRPr="006745F4">
        <w:rPr>
          <w:rFonts w:ascii="Times New Roman" w:eastAsia="Malgun Gothic" w:hAnsi="Times New Roman" w:cs="Times New Roman"/>
          <w:color w:val="000000"/>
          <w:sz w:val="24"/>
          <w:szCs w:val="24"/>
          <w:lang w:eastAsia="ko-KR"/>
        </w:rPr>
        <w:t xml:space="preserve"> but adapting and framing the analysis into a global partial equilibrium framework, therefore we equate the supply of calories (from FAO’s FBS) to the demand (average daily demand of calories). As a result, we define the </w:t>
      </w:r>
      <w:r w:rsidR="001A6BC7" w:rsidRPr="006745F4">
        <w:rPr>
          <w:rFonts w:ascii="Times New Roman" w:eastAsia="Malgun Gothic" w:hAnsi="Times New Roman" w:cs="Times New Roman"/>
          <w:color w:val="000000"/>
          <w:sz w:val="24"/>
          <w:szCs w:val="24"/>
          <w:lang w:eastAsia="ko-KR"/>
        </w:rPr>
        <w:t>A</w:t>
      </w:r>
      <w:r w:rsidR="00D3605A" w:rsidRPr="006745F4">
        <w:rPr>
          <w:rFonts w:ascii="Times New Roman" w:eastAsia="Malgun Gothic" w:hAnsi="Times New Roman" w:cs="Times New Roman"/>
          <w:color w:val="000000"/>
          <w:sz w:val="24"/>
          <w:szCs w:val="24"/>
          <w:lang w:eastAsia="ko-KR"/>
        </w:rPr>
        <w:t xml:space="preserve">verage </w:t>
      </w:r>
      <w:r w:rsidR="001A6BC7" w:rsidRPr="006745F4">
        <w:rPr>
          <w:rFonts w:ascii="Times New Roman" w:eastAsia="Malgun Gothic" w:hAnsi="Times New Roman" w:cs="Times New Roman"/>
          <w:color w:val="000000"/>
          <w:sz w:val="24"/>
          <w:szCs w:val="24"/>
          <w:lang w:eastAsia="ko-KR"/>
        </w:rPr>
        <w:t>D</w:t>
      </w:r>
      <w:r w:rsidR="00D3605A" w:rsidRPr="006745F4">
        <w:rPr>
          <w:rFonts w:ascii="Times New Roman" w:eastAsia="Malgun Gothic" w:hAnsi="Times New Roman" w:cs="Times New Roman"/>
          <w:color w:val="000000"/>
          <w:sz w:val="24"/>
          <w:szCs w:val="24"/>
          <w:lang w:eastAsia="ko-KR"/>
        </w:rPr>
        <w:t xml:space="preserve">aily </w:t>
      </w:r>
      <w:r w:rsidR="001A6BC7" w:rsidRPr="006745F4">
        <w:rPr>
          <w:rFonts w:ascii="Times New Roman" w:eastAsia="Malgun Gothic" w:hAnsi="Times New Roman" w:cs="Times New Roman"/>
          <w:color w:val="000000"/>
          <w:sz w:val="24"/>
          <w:szCs w:val="24"/>
          <w:lang w:eastAsia="ko-KR"/>
        </w:rPr>
        <w:t>E</w:t>
      </w:r>
      <w:r w:rsidR="00D3605A" w:rsidRPr="006745F4">
        <w:rPr>
          <w:rFonts w:ascii="Times New Roman" w:eastAsia="Malgun Gothic" w:hAnsi="Times New Roman" w:cs="Times New Roman"/>
          <w:color w:val="000000"/>
          <w:sz w:val="24"/>
          <w:szCs w:val="24"/>
          <w:lang w:eastAsia="ko-KR"/>
        </w:rPr>
        <w:t xml:space="preserve">xcessive </w:t>
      </w:r>
      <w:r w:rsidR="001A6BC7" w:rsidRPr="006745F4">
        <w:rPr>
          <w:rFonts w:ascii="Times New Roman" w:eastAsia="Malgun Gothic" w:hAnsi="Times New Roman" w:cs="Times New Roman"/>
          <w:color w:val="000000"/>
          <w:sz w:val="24"/>
          <w:szCs w:val="24"/>
          <w:lang w:eastAsia="ko-KR"/>
        </w:rPr>
        <w:t>C</w:t>
      </w:r>
      <w:r w:rsidR="00D3605A" w:rsidRPr="006745F4">
        <w:rPr>
          <w:rFonts w:ascii="Times New Roman" w:eastAsia="Malgun Gothic" w:hAnsi="Times New Roman" w:cs="Times New Roman"/>
          <w:color w:val="000000"/>
          <w:sz w:val="24"/>
          <w:szCs w:val="24"/>
          <w:lang w:eastAsia="ko-KR"/>
        </w:rPr>
        <w:t>onsumption of calories (EC) as follows:</w:t>
      </w:r>
    </w:p>
    <w:p w14:paraId="37EAD92F" w14:textId="77777777" w:rsidR="00C91FE4" w:rsidRPr="00C91FE4" w:rsidRDefault="00396AB6" w:rsidP="00C91FE4">
      <w:pPr>
        <w:spacing w:before="240" w:line="240" w:lineRule="auto"/>
        <w:ind w:left="360"/>
        <w:jc w:val="both"/>
        <w:rPr>
          <w:rFonts w:ascii="Cambria Math" w:eastAsia="Malgun Gothic" w:hAnsi="Cambria Math" w:cs="Times New Roman"/>
          <w:color w:val="000000"/>
          <w:sz w:val="24"/>
          <w:szCs w:val="24"/>
          <w:lang w:eastAsia="ko-KR"/>
        </w:rPr>
      </w:pPr>
      <m:oMathPara>
        <m:oMath>
          <m:sSub>
            <m:sSubPr>
              <m:ctrlPr>
                <w:rPr>
                  <w:rFonts w:ascii="Cambria Math" w:eastAsia="Malgun Gothic" w:hAnsi="Cambria Math" w:cs="Times New Roman"/>
                  <w:iCs/>
                  <w:sz w:val="24"/>
                  <w:szCs w:val="24"/>
                  <w:lang w:eastAsia="ko-KR"/>
                </w:rPr>
              </m:ctrlPr>
            </m:sSubPr>
            <m:e>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val="es-UY" w:eastAsia="ko-KR"/>
                    </w:rPr>
                    <m:t>EC</m:t>
                  </m:r>
                </m:e>
                <m:sub>
                  <m:r>
                    <m:rPr>
                      <m:sty m:val="p"/>
                    </m:rPr>
                    <w:rPr>
                      <w:rFonts w:ascii="Cambria Math" w:eastAsia="Malgun Gothic" w:hAnsi="Cambria Math" w:cs="Times New Roman"/>
                      <w:sz w:val="24"/>
                      <w:szCs w:val="24"/>
                      <w:lang w:val="es-UY" w:eastAsia="ko-KR"/>
                    </w:rPr>
                    <m:t>i,j,t</m:t>
                  </m:r>
                </m:sub>
              </m:sSub>
              <m:r>
                <m:rPr>
                  <m:sty m:val="p"/>
                </m:rPr>
                <w:rPr>
                  <w:rFonts w:ascii="Cambria Math" w:eastAsia="Malgun Gothic" w:hAnsi="Cambria Math" w:cs="Times New Roman"/>
                  <w:sz w:val="24"/>
                  <w:szCs w:val="24"/>
                  <w:lang w:val="es-UY" w:eastAsia="ko-KR"/>
                </w:rPr>
                <m:t>=ECA</m:t>
              </m:r>
            </m:e>
            <m:sub>
              <m:r>
                <m:rPr>
                  <m:sty m:val="p"/>
                </m:rPr>
                <w:rPr>
                  <w:rFonts w:ascii="Cambria Math" w:eastAsia="Malgun Gothic" w:hAnsi="Cambria Math" w:cs="Times New Roman"/>
                  <w:sz w:val="24"/>
                  <w:szCs w:val="24"/>
                  <w:lang w:val="es-UY" w:eastAsia="ko-KR"/>
                </w:rPr>
                <m:t>i,j,t</m:t>
              </m:r>
            </m:sub>
          </m:sSub>
          <m:r>
            <m:rPr>
              <m:sty m:val="p"/>
            </m:rPr>
            <w:rPr>
              <w:rFonts w:ascii="Cambria Math" w:eastAsia="Malgun Gothic" w:hAnsi="Cambria Math" w:cs="Times New Roman"/>
              <w:color w:val="000000"/>
              <w:sz w:val="24"/>
              <w:szCs w:val="24"/>
              <w:lang w:eastAsia="ko-KR"/>
            </w:rPr>
            <m:t>=</m:t>
          </m:r>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val="es-UY" w:eastAsia="ko-KR"/>
                </w:rPr>
                <m:t>SC</m:t>
              </m:r>
            </m:e>
            <m:sub>
              <m:r>
                <m:rPr>
                  <m:sty m:val="p"/>
                </m:rPr>
                <w:rPr>
                  <w:rFonts w:ascii="Cambria Math" w:eastAsia="Malgun Gothic" w:hAnsi="Cambria Math" w:cs="Times New Roman"/>
                  <w:sz w:val="24"/>
                  <w:szCs w:val="24"/>
                  <w:lang w:val="es-UY" w:eastAsia="ko-KR"/>
                </w:rPr>
                <m:t>i,j,t</m:t>
              </m:r>
            </m:sub>
          </m:sSub>
          <m:r>
            <m:rPr>
              <m:sty m:val="p"/>
            </m:rPr>
            <w:rPr>
              <w:rFonts w:ascii="Cambria Math" w:eastAsia="Malgun Gothic" w:hAnsi="Cambria Math" w:cs="Times New Roman"/>
              <w:color w:val="000000"/>
              <w:sz w:val="24"/>
              <w:szCs w:val="24"/>
              <w:lang w:eastAsia="ko-KR"/>
            </w:rPr>
            <m:t>-</m:t>
          </m:r>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val="es-UY" w:eastAsia="ko-KR"/>
                </w:rPr>
                <m:t>ER</m:t>
              </m:r>
            </m:e>
            <m:sub>
              <m:r>
                <m:rPr>
                  <m:sty m:val="p"/>
                </m:rPr>
                <w:rPr>
                  <w:rFonts w:ascii="Cambria Math" w:eastAsia="Malgun Gothic" w:hAnsi="Cambria Math" w:cs="Times New Roman"/>
                  <w:sz w:val="24"/>
                  <w:szCs w:val="24"/>
                  <w:lang w:val="es-UY" w:eastAsia="ko-KR"/>
                </w:rPr>
                <m:t>i,j,t</m:t>
              </m:r>
            </m:sub>
          </m:sSub>
        </m:oMath>
      </m:oMathPara>
    </w:p>
    <w:p w14:paraId="51619903" w14:textId="4BC8D1B6" w:rsidR="00D3605A" w:rsidRPr="006745F4" w:rsidRDefault="0047520C" w:rsidP="006745F4">
      <w:pPr>
        <w:spacing w:after="0" w:line="240" w:lineRule="auto"/>
        <w:ind w:firstLine="360"/>
        <w:jc w:val="both"/>
        <w:rPr>
          <w:rFonts w:ascii="Times New Roman" w:eastAsia="Malgun Gothic" w:hAnsi="Times New Roman" w:cs="Times New Roman"/>
          <w:color w:val="000000"/>
          <w:sz w:val="24"/>
          <w:szCs w:val="24"/>
          <w:lang w:eastAsia="ko-KR"/>
        </w:rPr>
      </w:pPr>
      <w:r w:rsidRPr="006745F4">
        <w:rPr>
          <w:rFonts w:ascii="Times New Roman" w:eastAsia="Malgun Gothic" w:hAnsi="Times New Roman" w:cs="Times New Roman"/>
          <w:color w:val="000000"/>
          <w:sz w:val="24"/>
          <w:szCs w:val="24"/>
          <w:lang w:eastAsia="ko-KR"/>
        </w:rPr>
        <w:t>W</w:t>
      </w:r>
      <w:r w:rsidR="00D3605A" w:rsidRPr="006745F4">
        <w:rPr>
          <w:rFonts w:ascii="Times New Roman" w:eastAsia="Malgun Gothic" w:hAnsi="Times New Roman" w:cs="Times New Roman"/>
          <w:color w:val="000000"/>
          <w:sz w:val="24"/>
          <w:szCs w:val="24"/>
          <w:lang w:eastAsia="ko-KR"/>
        </w:rPr>
        <w:t>e construct the pseudo-panel dataset from repeated cross-sections</w:t>
      </w:r>
      <w:r w:rsidR="00D3605A" w:rsidRPr="006745F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{"citationID":"uE01rGGe","properties":{"formattedCitation":"\\super 4\\nosupersub{}","plainCitation":"4","noteIndex":0},"citationItems":[{"id":226,"uris":["http://zotero.org/users/5867530/items/QFLF5YFB"],"uri":["http://zotero.org/users/5867530/items/QFLF5YFB"],"itemData":{"id":226,"type":"article-journal","container-title":"Journal of Econometrics","issue":"1-2","note":"ISBN: 0304-4076\npublisher: Elsevier","page":"109-126","title":"Panel data from time series of cross-sections","volume":"30","author":[{"family":"Deaton","given":"Angus"}],"issued":{"date-parts":[["1985"]]}}}],"schema":"https://github.com/citation-style-language/schema/raw/master/csl-citation.json"} </w:instrText>
      </w:r>
      <w:r w:rsidR="00D3605A" w:rsidRPr="006745F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4</w:t>
      </w:r>
      <w:r w:rsidR="00D3605A" w:rsidRPr="006745F4">
        <w:rPr>
          <w:rFonts w:ascii="Times New Roman" w:eastAsia="Malgun Gothic" w:hAnsi="Times New Roman" w:cs="Times New Roman"/>
          <w:color w:val="000000"/>
          <w:sz w:val="24"/>
          <w:szCs w:val="24"/>
          <w:lang w:eastAsia="ko-KR"/>
        </w:rPr>
        <w:fldChar w:fldCharType="end"/>
      </w:r>
      <w:r w:rsidR="00D3605A" w:rsidRPr="006745F4">
        <w:rPr>
          <w:rFonts w:ascii="Times New Roman" w:eastAsia="Malgun Gothic" w:hAnsi="Times New Roman" w:cs="Times New Roman"/>
          <w:color w:val="000000"/>
          <w:sz w:val="24"/>
          <w:szCs w:val="24"/>
          <w:lang w:eastAsia="ko-KR"/>
        </w:rPr>
        <w:t xml:space="preserve">, </w:t>
      </w:r>
      <w:r w:rsidR="00F9111E">
        <w:rPr>
          <w:rFonts w:ascii="Times New Roman" w:eastAsia="Malgun Gothic" w:hAnsi="Times New Roman" w:cs="Times New Roman"/>
          <w:color w:val="000000"/>
          <w:sz w:val="24"/>
          <w:szCs w:val="24"/>
          <w:lang w:eastAsia="ko-KR"/>
        </w:rPr>
        <w:t xml:space="preserve">where age groups and cohorts are </w:t>
      </w:r>
      <w:r w:rsidR="00D3605A" w:rsidRPr="006745F4">
        <w:rPr>
          <w:rFonts w:ascii="Times New Roman" w:eastAsia="Malgun Gothic" w:hAnsi="Times New Roman" w:cs="Times New Roman"/>
          <w:color w:val="000000"/>
          <w:sz w:val="24"/>
          <w:szCs w:val="24"/>
          <w:lang w:eastAsia="ko-KR"/>
        </w:rPr>
        <w:t>spaced at five-year intervals</w:t>
      </w:r>
      <w:r w:rsidR="002C3CB2">
        <w:rPr>
          <w:rFonts w:ascii="Times New Roman" w:eastAsia="Malgun Gothic" w:hAnsi="Times New Roman" w:cs="Times New Roman"/>
          <w:color w:val="000000"/>
          <w:sz w:val="24"/>
          <w:szCs w:val="24"/>
          <w:lang w:eastAsia="ko-KR"/>
        </w:rPr>
        <w:t>.</w:t>
      </w:r>
      <w:r w:rsidR="00F9111E">
        <w:rPr>
          <w:rFonts w:ascii="Times New Roman" w:eastAsia="Malgun Gothic" w:hAnsi="Times New Roman" w:cs="Times New Roman"/>
          <w:color w:val="000000"/>
          <w:sz w:val="24"/>
          <w:szCs w:val="24"/>
          <w:lang w:eastAsia="ko-KR"/>
        </w:rPr>
        <w:t xml:space="preserve"> </w:t>
      </w:r>
      <w:r w:rsidR="00D3605A" w:rsidRPr="006745F4">
        <w:rPr>
          <w:rFonts w:ascii="Times New Roman" w:eastAsia="Malgun Gothic" w:hAnsi="Times New Roman" w:cs="Times New Roman"/>
          <w:color w:val="000000"/>
          <w:sz w:val="24"/>
          <w:szCs w:val="24"/>
          <w:lang w:eastAsia="ko-KR"/>
        </w:rPr>
        <w:t xml:space="preserve">The dataset allows us to track changes in BMIs and their correlations with the EC for 21 country-specific age-sex cohorts born between 1890 and 1995 and observed between 1975 and 2015. The dataset covers 156 countries which together represented 95% of the global population in 2015. In anticipation to the projections to the economic projections to be undertaken using the framework of a partial equilibrium framework, we aggregate countries into 15 major geographic regions. This allows us to capture the long-run underlying systematic relationship between the EC and adult BMI while also dealing with potential eccentricities of individual countries and potential reporting errors to the FAO. This particular aggregation into 15 regions has the additional advantage of matching with the global model Simplified International Model of Crop Prices, Land Use and the Environment (SIMPLE) </w:t>
      </w:r>
      <w:r w:rsidR="00D3605A" w:rsidRPr="006745F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{"citationID":"BYuZZ9d0","properties":{"formattedCitation":"\\super 5\\nosupersub{}","plainCitation":"5","noteIndex":0},"citationItems":[{"id":87,"uris":["http://zotero.org/users/5867530/items/VZZSLGGN"],"uri":["http://zotero.org/users/5867530/items/VZZSLGGN"],"itemData":{"id":87,"type":"article-journal","container-title":"Environmental Research Letters","DOI":"10.1088/1748-9326/8/3/034024","ISSN":"1748-9326","issue":"3","journalAbbreviation":"Environ. Res. Lett.","page":"034024","source":"DOI.org (Crossref)","title":"Looking back to move forward on model validation: insights from a global model of agricultural land use","title-short":"Looking back to move forward on model validation","volume":"8","author":[{"family":"Baldos","given":"Uris Lantz C"},{"family":"Hertel","given":"Thomas W"}],"issued":{"date-parts":[["2013",9,1]]}}}],"schema":"https://github.com/citation-style-language/schema/raw/master/csl-citation.json"} </w:instrText>
      </w:r>
      <w:r w:rsidR="00D3605A" w:rsidRPr="006745F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5</w:t>
      </w:r>
      <w:r w:rsidR="00D3605A" w:rsidRPr="006745F4">
        <w:rPr>
          <w:rFonts w:ascii="Times New Roman" w:eastAsia="Malgun Gothic" w:hAnsi="Times New Roman" w:cs="Times New Roman"/>
          <w:color w:val="000000"/>
          <w:sz w:val="24"/>
          <w:szCs w:val="24"/>
          <w:lang w:eastAsia="ko-KR"/>
        </w:rPr>
        <w:fldChar w:fldCharType="end"/>
      </w:r>
      <w:r w:rsidR="00D3605A" w:rsidRPr="006745F4">
        <w:rPr>
          <w:rFonts w:ascii="Times New Roman" w:eastAsia="Malgun Gothic" w:hAnsi="Times New Roman" w:cs="Times New Roman"/>
          <w:color w:val="000000"/>
          <w:sz w:val="24"/>
          <w:szCs w:val="24"/>
          <w:lang w:eastAsia="ko-KR"/>
        </w:rPr>
        <w:t xml:space="preserve"> that we use in the economic projections towards 2050. </w:t>
      </w:r>
    </w:p>
    <w:p w14:paraId="2837DBA3" w14:textId="3A4428AF" w:rsidR="00D3605A" w:rsidRPr="006745F4" w:rsidRDefault="00D3605A" w:rsidP="006745F4">
      <w:pPr>
        <w:spacing w:after="0" w:line="240" w:lineRule="auto"/>
        <w:ind w:firstLine="360"/>
        <w:jc w:val="both"/>
        <w:rPr>
          <w:rFonts w:ascii="Times New Roman" w:eastAsia="Malgun Gothic" w:hAnsi="Times New Roman" w:cs="Times New Roman"/>
          <w:color w:val="000000"/>
          <w:sz w:val="24"/>
          <w:szCs w:val="24"/>
          <w:lang w:eastAsia="ko-KR"/>
        </w:rPr>
      </w:pPr>
      <w:r w:rsidRPr="006745F4">
        <w:rPr>
          <w:rFonts w:ascii="Times New Roman" w:eastAsia="Malgun Gothic" w:hAnsi="Times New Roman" w:cs="Times New Roman"/>
          <w:iCs/>
          <w:sz w:val="24"/>
          <w:szCs w:val="24"/>
          <w:lang w:eastAsia="ko-KR"/>
        </w:rPr>
        <w:t>The underlying assumption on the long-run relationship between EC and adult BMI is that the</w:t>
      </w:r>
      <w:r w:rsidRPr="006745F4">
        <w:rPr>
          <w:rFonts w:ascii="Times New Roman" w:eastAsia="Malgun Gothic" w:hAnsi="Times New Roman" w:cs="Times New Roman"/>
          <w:color w:val="000000"/>
          <w:sz w:val="24"/>
          <w:szCs w:val="24"/>
          <w:lang w:eastAsia="ko-KR"/>
        </w:rPr>
        <w:t xml:space="preserve"> changes in EC carry on information on the intertemporal effects of the excessive intake of calories on the observed changes in adult body weight. This assumption is consistent with the principle of the energy balance equation. However, authors recognize potential limitations on this approach when working with an average individual as reference and with a high level of aggregation. Firstly, even in healthy individuals (with no difficulty to absorbing nutrients) not all energy intake from food ends up absorbed in their bodies. In fact, the absorption is determined by the amount of metabolizable energy in the food and its digestibility. This varies among individuals and also depends on the specific food items eaten and on how those are cooked, implying that when working at an aggregated level and for the average individual, we might lose information on individual specifics. Secondly, the EE includes energy expended during biological processes, any physical activity performed, heat lost due to thermoregulation (radiant, conductive, and convective), and latent heat losses due to evaporation. The rate of energy expenditure (REE) accounts for most energy expended – roughly two</w:t>
      </w:r>
      <w:r w:rsidRPr="006745F4">
        <w:rPr>
          <w:rFonts w:ascii="Times New Roman" w:eastAsia="Malgun Gothic" w:hAnsi="Times New Roman" w:cs="Times New Roman"/>
          <w:color w:val="000000"/>
          <w:sz w:val="24"/>
          <w:szCs w:val="24"/>
          <w:lang w:eastAsia="ko-KR"/>
        </w:rPr>
        <w:noBreakHyphen/>
        <w:t>thirds </w:t>
      </w:r>
      <w:r w:rsidRPr="006745F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{"citationID":"gzVoS2ym","properties":{"formattedCitation":"\\super 6\\nosupersub{}","plainCitation":"6","noteIndex":0},"citationItems":[{"id":252,"uris":["http://zotero.org/users/5867530/items/JQT7BG9H"],"uri":["http://zotero.org/users/5867530/items/JQT7BG9H"],"itemData":{"id":252,"type":"article-journal","container-title":"The American Journal of Clinical Nutrition","issue":"4","note":"ISBN: 0002-9165\npublisher: Oxford University Press","page":"989-994","title":"Energy balance and its components: implications for body weight regulation","volume":"95","author":[{"family":"Hall","given":"Kevin D."},{"family":"Heymsfield","given":"Steven B."},{"family":"Kemnitz","given":"Joseph W."},{"family":"Klein","given":"Samuel"},{"family":"Schoeller","given":"Dale A."},{"family":"Speakman","given":"John R."}],"issued":{"date-parts":[["2012"]]}}}],"schema":"https://github.com/citation-style-language/schema/raw/master/csl-citation.json"} </w:instrText>
      </w:r>
      <w:r w:rsidRPr="006745F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6</w:t>
      </w:r>
      <w:r w:rsidRPr="006745F4">
        <w:rPr>
          <w:rFonts w:ascii="Times New Roman" w:eastAsia="Malgun Gothic" w:hAnsi="Times New Roman" w:cs="Times New Roman"/>
          <w:color w:val="000000"/>
          <w:sz w:val="24"/>
          <w:szCs w:val="24"/>
          <w:lang w:eastAsia="ko-KR"/>
        </w:rPr>
        <w:fldChar w:fldCharType="end"/>
      </w:r>
      <w:r w:rsidRPr="006745F4">
        <w:rPr>
          <w:rFonts w:ascii="Times New Roman" w:eastAsia="Malgun Gothic" w:hAnsi="Times New Roman" w:cs="Times New Roman"/>
          <w:color w:val="000000"/>
          <w:sz w:val="24"/>
          <w:szCs w:val="24"/>
          <w:lang w:eastAsia="ko-KR"/>
        </w:rPr>
        <w:t xml:space="preserve">. Hence, we follow the usual approximation for the total EE that is adjusting the basal metabolic rate (BMR) by different ratios of physical activity level (PAL). However, as in the case of the EI, variations at the individual level on EE during the different biological processes might be lost when working with an average individual as reference and </w:t>
      </w:r>
      <w:r w:rsidR="000A4650" w:rsidRPr="006745F4">
        <w:rPr>
          <w:rFonts w:ascii="Times New Roman" w:eastAsia="Malgun Gothic" w:hAnsi="Times New Roman" w:cs="Times New Roman"/>
          <w:color w:val="000000"/>
          <w:sz w:val="24"/>
          <w:szCs w:val="24"/>
          <w:lang w:eastAsia="ko-KR"/>
        </w:rPr>
        <w:t xml:space="preserve">at </w:t>
      </w:r>
      <w:r w:rsidRPr="006745F4">
        <w:rPr>
          <w:rFonts w:ascii="Times New Roman" w:eastAsia="Malgun Gothic" w:hAnsi="Times New Roman" w:cs="Times New Roman"/>
          <w:color w:val="000000"/>
          <w:sz w:val="24"/>
          <w:szCs w:val="24"/>
          <w:lang w:eastAsia="ko-KR"/>
        </w:rPr>
        <w:t xml:space="preserve">a highly aggregated level. </w:t>
      </w:r>
    </w:p>
    <w:p w14:paraId="01F1C400" w14:textId="6599563C" w:rsidR="00D3605A" w:rsidRPr="006745F4" w:rsidRDefault="00D3605A" w:rsidP="006745F4">
      <w:pPr>
        <w:spacing w:after="0" w:line="240" w:lineRule="auto"/>
        <w:ind w:firstLine="360"/>
        <w:jc w:val="both"/>
        <w:rPr>
          <w:rFonts w:ascii="Times New Roman" w:eastAsia="Malgun Gothic" w:hAnsi="Times New Roman" w:cs="Times New Roman"/>
          <w:color w:val="000000"/>
          <w:sz w:val="24"/>
          <w:szCs w:val="24"/>
          <w:lang w:eastAsia="ko-KR"/>
        </w:rPr>
      </w:pPr>
      <w:r w:rsidRPr="006745F4">
        <w:rPr>
          <w:rFonts w:ascii="Times New Roman" w:eastAsia="Malgun Gothic" w:hAnsi="Times New Roman" w:cs="Times New Roman"/>
          <w:color w:val="000000"/>
          <w:sz w:val="24"/>
          <w:szCs w:val="24"/>
          <w:lang w:eastAsia="ko-KR"/>
        </w:rPr>
        <w:t xml:space="preserve">Moreover, it should be noticed that the FAO reports are not free of criticism </w:t>
      </w:r>
      <w:r w:rsidR="004B3CCD" w:rsidRPr="006745F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{"citationID":"48jXdjv9","properties":{"formattedCitation":"\\super 7,8\\nosupersub{}","plainCitation":"7,8","noteIndex":0},"citationItems":[{"id":242,"uris":["http://zotero.org/users/5867530/items/4PPDMRSJ"],"uri":["http://zotero.org/users/5867530/items/4PPDMRSJ"],"itemData":{"id":242,"type":"article-journal","container-title":"PLoS One","issue":"11","note":"ISBN: 1932-6203\npublisher: Public Library of Science","page":"e7940","title":"The progressive increase of food waste in America and its environmental impact","volume":"4","author":[{"family":"Hall","given":"Kevin D."},{"family":"Guo","given":"Juen"},{"family":"Dore","given":"Michael"},{"family":"Chow","given":"Carson C."}],"issued":{"date-parts":[["2009"]]}}},{"id":475,"uris":["http://zotero.org/users/5867530/items/UYPN88QY"],"uri":["http://zotero.org/users/5867530/items/UYPN88QY"],"itemData":{"id":475,"type":"article-journal","container-title":"Economic Development and Cultural Change","DOI":"10.1086/345308","ISSN":"0013-0079, 1539-2988","issue":"1","journalAbbreviation":"Economic Development and Cultural Change","language":"en","page":"5-36","source":"DOI.org (Crossref)","title":"Undernutrition Overestimated","volume":"51","author":[{"family":"Svedberg","given":"Peter"}],"issued":{"date-parts":[["2002",10]]}}}],"schema":"https://github.com/citation-style-language/schema/raw/master/csl-citation.json"} </w:instrText>
      </w:r>
      <w:r w:rsidR="004B3CCD" w:rsidRPr="006745F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7,8</w:t>
      </w:r>
      <w:r w:rsidR="004B3CCD" w:rsidRPr="006745F4">
        <w:rPr>
          <w:rFonts w:ascii="Times New Roman" w:eastAsia="Malgun Gothic" w:hAnsi="Times New Roman" w:cs="Times New Roman"/>
          <w:color w:val="000000"/>
          <w:sz w:val="24"/>
          <w:szCs w:val="24"/>
          <w:lang w:eastAsia="ko-KR"/>
        </w:rPr>
        <w:fldChar w:fldCharType="end"/>
      </w:r>
      <w:r w:rsidRPr="006745F4">
        <w:rPr>
          <w:rFonts w:ascii="Times New Roman" w:eastAsia="Malgun Gothic" w:hAnsi="Times New Roman" w:cs="Times New Roman"/>
          <w:color w:val="000000"/>
          <w:sz w:val="24"/>
          <w:szCs w:val="24"/>
          <w:lang w:eastAsia="ko-KR"/>
        </w:rPr>
        <w:t xml:space="preserve">. One recurrent criticism is that FBS likely underestimate food availability at consumers level in developing countries. This particularly important in rural based economies, where unreported subsistence production represents a substantial share of the households’ consumption bundle </w:t>
      </w:r>
      <w:r w:rsidR="004B3CCD" w:rsidRPr="006745F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{"citationID":"HB8UFyEH","properties":{"formattedCitation":"\\super 9\\nosupersub{}","plainCitation":"9","noteIndex":0},"citationItems":[{"id":220,"uris":["http://zotero.org/users/5867530/items/AIBRJD55"],"uri":["http://zotero.org/users/5867530/items/AIBRJD55"],"itemData":{"id":220,"type":"article-journal","abstract":"Agricultural production, food systems and population health are intimately linked. While there is a strong evidence base to inform our knowledge of what constitutes a healthy human diet, we know little about actual food production or consumption in many populations and how developments in the food and agricultural system will affect dietary intake patterns and health. The paucity of information on food production and consumption is arguably most acute in low- and middle-income countries, where it is most urgently needed to monitor levels of under-nutrition, the health impacts of rapid dietary transition and the increasing ‘double burden’ of nutrition-related disease. Food availability statistics based on food commodity production data are currently widely used as a proxy measure of national-level food consumption, but using data from the UK and Mexico we highlight the potential pitfalls of this approach. Despite limited resources for data collection, better systems of measurement are possible. Important drivers to improve collection systems may include efforts to meet international development goals and partnership with the private sector. A clearer understanding of the links between the agriculture and food system and population health will ensure that health becomes a critical driver of agricultural change.","container-title":"Philosophical Transactions of the Royal Society B: Biological Sciences","DOI":"10.1098/rstb.2010.0122","ISSN":"0962-8436, 1471-2970","issue":"1554","language":"en","page":"3083–3097","title":"Feeding the world healthily: the challenge of measuring the effects of agriculture on health","title-short":"Feeding the world healthily","volume":"365","author":[{"family":"Hawkesworth","given":"Sophie"},{"family":"Dangour","given":"Alan D."},{"family":"Johnston","given":"Deborah"},{"family":"Lock","given":"Karen"},{"family":"Poole","given":"Nigel"},{"family":"Rushton","given":"Jonathan"},{"family":"Uauy","given":"Ricardo"},{"family":"Waage","given":"Jeff"}],"issued":{"date-parts":[["2010",9]]}}}],"schema":"https://github.com/citation-style-language/schema/raw/master/csl-citation.json"} </w:instrText>
      </w:r>
      <w:r w:rsidR="004B3CCD" w:rsidRPr="006745F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9</w:t>
      </w:r>
      <w:r w:rsidR="004B3CCD" w:rsidRPr="006745F4">
        <w:rPr>
          <w:rFonts w:ascii="Times New Roman" w:eastAsia="Malgun Gothic" w:hAnsi="Times New Roman" w:cs="Times New Roman"/>
          <w:color w:val="000000"/>
          <w:sz w:val="24"/>
          <w:szCs w:val="24"/>
          <w:lang w:eastAsia="ko-KR"/>
        </w:rPr>
        <w:fldChar w:fldCharType="end"/>
      </w:r>
      <w:r w:rsidRPr="006745F4">
        <w:rPr>
          <w:rFonts w:ascii="Times New Roman" w:eastAsia="Malgun Gothic" w:hAnsi="Times New Roman" w:cs="Times New Roman"/>
          <w:color w:val="000000"/>
          <w:sz w:val="24"/>
          <w:szCs w:val="24"/>
          <w:lang w:eastAsia="ko-KR"/>
        </w:rPr>
        <w:t xml:space="preserve">. Another recurrent criticism is that one of the components of the FBS (often stocks) frequently take an outstanding unbalanced amount cause by inheriting all the statistical errors (including measurement errors, inaccuracies due to imprecise metrics on food losses within the different stages of supply chain, and on food waste at consumers level). Attending to these concerns, the FBS underwent some changes in methodology for data reported after 2017. The revised methodology reported by FAO mitigates some of those inaccuracies </w:t>
      </w:r>
      <w:r w:rsidRPr="006745F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{"citationID":"osVn4cHm","properties":{"formattedCitation":"\\super 10\\nosupersub{}","plainCitation":"10","noteIndex":0},"citationItems":[{"id":104,"uris":["http://zotero.org/users/5867530/items/W4HMI3P4"],"uri":["http://zotero.org/users/5867530/items/W4HMI3P4"],"itemData":{"id":104,"type":"article","language":"English","publisher":"FAO","title":"Key differences between new and old Food Balance Sheet (FBS) methodology","author":[{"family":"FAO","given":""}],"issued":{"date-parts":[["2019"]]}}}],"schema":"https://github.com/citation-style-language/schema/raw/master/csl-citation.json"} </w:instrText>
      </w:r>
      <w:r w:rsidRPr="006745F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10</w:t>
      </w:r>
      <w:r w:rsidRPr="006745F4">
        <w:rPr>
          <w:rFonts w:ascii="Times New Roman" w:eastAsia="Malgun Gothic" w:hAnsi="Times New Roman" w:cs="Times New Roman"/>
          <w:color w:val="000000"/>
          <w:sz w:val="24"/>
          <w:szCs w:val="24"/>
          <w:lang w:eastAsia="ko-KR"/>
        </w:rPr>
        <w:fldChar w:fldCharType="end"/>
      </w:r>
      <w:r w:rsidRPr="006745F4">
        <w:rPr>
          <w:rFonts w:ascii="Times New Roman" w:eastAsia="Malgun Gothic" w:hAnsi="Times New Roman" w:cs="Times New Roman"/>
          <w:color w:val="000000"/>
          <w:sz w:val="24"/>
          <w:szCs w:val="24"/>
          <w:lang w:eastAsia="ko-KR"/>
        </w:rPr>
        <w:t xml:space="preserve"> by improving the estimates of the specific modules through the supply chain (e.g.,</w:t>
      </w:r>
      <w:r w:rsidR="004B3CCD" w:rsidRPr="006745F4">
        <w:rPr>
          <w:rFonts w:ascii="Times New Roman" w:eastAsia="Malgun Gothic" w:hAnsi="Times New Roman" w:cs="Times New Roman"/>
          <w:color w:val="000000"/>
          <w:sz w:val="24"/>
          <w:szCs w:val="24"/>
          <w:lang w:eastAsia="ko-KR"/>
        </w:rPr>
        <w:t> </w:t>
      </w:r>
      <w:r w:rsidRPr="006745F4">
        <w:rPr>
          <w:rFonts w:ascii="Times New Roman" w:eastAsia="Malgun Gothic" w:hAnsi="Times New Roman" w:cs="Times New Roman"/>
          <w:color w:val="000000"/>
          <w:sz w:val="24"/>
          <w:szCs w:val="24"/>
          <w:lang w:eastAsia="ko-KR"/>
        </w:rPr>
        <w:t xml:space="preserve">stocks, food, feed, loss, etc.). Additionally, in the new methodology, imputations for the FBS components not reported by countries are generated by dedicated modules. The new approach implies a balancing mechanism to proportionally distribute the imbalances out among all the components </w:t>
      </w:r>
      <w:r w:rsidRPr="006745F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{"citationID":"a8aaMXjr","properties":{"formattedCitation":"\\super 10\\nosupersub{}","plainCitation":"10","noteIndex":0},"citationItems":[{"id":104,"uris":["http://zotero.org/users/5867530/items/W4HMI3P4"],"uri":["http://zotero.org/users/5867530/items/W4HMI3P4"],"itemData":{"id":104,"type":"article","language":"English","publisher":"FAO","title":"Key differences between new and old Food Balance Sheet (FBS) methodology","author":[{"family":"FAO","given":""}],"issued":{"date-parts":[["2019"]]}}}],"schema":"https://github.com/citation-style-language/schema/raw/master/csl-citation.json"} </w:instrText>
      </w:r>
      <w:r w:rsidRPr="006745F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10</w:t>
      </w:r>
      <w:r w:rsidRPr="006745F4">
        <w:rPr>
          <w:rFonts w:ascii="Times New Roman" w:eastAsia="Malgun Gothic" w:hAnsi="Times New Roman" w:cs="Times New Roman"/>
          <w:color w:val="000000"/>
          <w:sz w:val="24"/>
          <w:szCs w:val="24"/>
          <w:lang w:eastAsia="ko-KR"/>
        </w:rPr>
        <w:fldChar w:fldCharType="end"/>
      </w:r>
      <w:r w:rsidRPr="006745F4">
        <w:rPr>
          <w:rFonts w:ascii="Times New Roman" w:eastAsia="Malgun Gothic" w:hAnsi="Times New Roman" w:cs="Times New Roman"/>
          <w:color w:val="000000"/>
          <w:sz w:val="24"/>
          <w:szCs w:val="24"/>
          <w:lang w:eastAsia="ko-KR"/>
        </w:rPr>
        <w:t xml:space="preserve">. Furthermore, the revisited methodology incorporates a food loss module. This novel module reports essential information on food losses occurring across the different stages if the food </w:t>
      </w:r>
      <w:r w:rsidRPr="006745F4">
        <w:rPr>
          <w:rFonts w:ascii="Times New Roman" w:eastAsia="Malgun Gothic" w:hAnsi="Times New Roman" w:cs="Times New Roman"/>
          <w:color w:val="000000"/>
          <w:sz w:val="24"/>
          <w:szCs w:val="24"/>
          <w:lang w:eastAsia="ko-KR"/>
        </w:rPr>
        <w:lastRenderedPageBreak/>
        <w:t xml:space="preserve">supply chain up to and excluding the retail level. However, the availability of food at consumers level under the previous and also under the revisited methodology cannot be equated to food intake since the food waste imputations at the consumer level is still under review </w:t>
      </w:r>
      <w:r w:rsidRPr="006745F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{"citationID":"Gc4dzNN0","properties":{"formattedCitation":"\\super 10\\nosupersub{}","plainCitation":"10","noteIndex":0},"citationItems":[{"id":104,"uris":["http://zotero.org/users/5867530/items/W4HMI3P4"],"uri":["http://zotero.org/users/5867530/items/W4HMI3P4"],"itemData":{"id":104,"type":"article","language":"English","publisher":"FAO","title":"Key differences between new and old Food Balance Sheet (FBS) methodology","author":[{"family":"FAO","given":""}],"issued":{"date-parts":[["2019"]]}}}],"schema":"https://github.com/citation-style-language/schema/raw/master/csl-citation.json"} </w:instrText>
      </w:r>
      <w:r w:rsidRPr="006745F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10</w:t>
      </w:r>
      <w:r w:rsidRPr="006745F4">
        <w:rPr>
          <w:rFonts w:ascii="Times New Roman" w:eastAsia="Malgun Gothic" w:hAnsi="Times New Roman" w:cs="Times New Roman"/>
          <w:color w:val="000000"/>
          <w:sz w:val="24"/>
          <w:szCs w:val="24"/>
          <w:lang w:eastAsia="ko-KR"/>
        </w:rPr>
        <w:fldChar w:fldCharType="end"/>
      </w:r>
      <w:r w:rsidRPr="006745F4">
        <w:rPr>
          <w:rFonts w:ascii="Times New Roman" w:eastAsia="Malgun Gothic" w:hAnsi="Times New Roman" w:cs="Times New Roman"/>
          <w:color w:val="000000"/>
          <w:sz w:val="24"/>
          <w:szCs w:val="24"/>
          <w:lang w:eastAsia="ko-KR"/>
        </w:rPr>
        <w:t>. This study is consistent with the latter, since equate the SC to the consumption of calories understood as the purchasing of calories; ergo the over</w:t>
      </w:r>
      <w:r w:rsidR="000A4650" w:rsidRPr="006745F4">
        <w:rPr>
          <w:rFonts w:ascii="Times New Roman" w:eastAsia="Malgun Gothic" w:hAnsi="Times New Roman" w:cs="Times New Roman"/>
          <w:color w:val="000000"/>
          <w:sz w:val="24"/>
          <w:szCs w:val="24"/>
          <w:lang w:eastAsia="ko-KR"/>
        </w:rPr>
        <w:noBreakHyphen/>
      </w:r>
      <w:r w:rsidRPr="006745F4">
        <w:rPr>
          <w:rFonts w:ascii="Times New Roman" w:eastAsia="Malgun Gothic" w:hAnsi="Times New Roman" w:cs="Times New Roman"/>
          <w:color w:val="000000"/>
          <w:sz w:val="24"/>
          <w:szCs w:val="24"/>
          <w:lang w:eastAsia="ko-KR"/>
        </w:rPr>
        <w:t xml:space="preserve">consumption of calories carries on information not only regarding the excessive intake of food but also regarding the calories that end up uneaten at the consumers’ level </w:t>
      </w:r>
      <w:r w:rsidRPr="006745F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{"citationID":"9SLF0gPB","properties":{"formattedCitation":"\\super 3\\nosupersub{}","plainCitation":"3","noteIndex":0},"citationItems":[{"id":223,"uris":["http://zotero.org/users/5867530/items/MULUTKCA"],"uri":["http://zotero.org/users/5867530/items/MULUTKCA"],"itemData":{"id":223,"type":"article-journal","container-title":"Food Policy","page":"101874","title":"Global food waste across the income spectrum: Implications for food prices, production and resource use","author":[{"family":"Barrera","given":"Emiliano Lopez"},{"family":"Hertel","given":"Thomas"}],"issued":{"date-parts":[["2020"]]}}}],"schema":"https://github.com/citation-style-language/schema/raw/master/csl-citation.json"} </w:instrText>
      </w:r>
      <w:r w:rsidRPr="006745F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3</w:t>
      </w:r>
      <w:r w:rsidRPr="006745F4">
        <w:rPr>
          <w:rFonts w:ascii="Times New Roman" w:eastAsia="Malgun Gothic" w:hAnsi="Times New Roman" w:cs="Times New Roman"/>
          <w:color w:val="000000"/>
          <w:sz w:val="24"/>
          <w:szCs w:val="24"/>
          <w:lang w:eastAsia="ko-KR"/>
        </w:rPr>
        <w:fldChar w:fldCharType="end"/>
      </w:r>
      <w:r w:rsidRPr="006745F4">
        <w:rPr>
          <w:rFonts w:ascii="Times New Roman" w:eastAsia="Malgun Gothic" w:hAnsi="Times New Roman" w:cs="Times New Roman"/>
          <w:color w:val="000000"/>
          <w:sz w:val="24"/>
          <w:szCs w:val="24"/>
          <w:lang w:eastAsia="ko-KR"/>
        </w:rPr>
        <w:t>.</w:t>
      </w:r>
    </w:p>
    <w:p w14:paraId="71F4C60F" w14:textId="452AB186" w:rsidR="00ED7E6E" w:rsidRPr="006745F4" w:rsidRDefault="0047520C" w:rsidP="006745F4">
      <w:pPr>
        <w:spacing w:after="0" w:line="240" w:lineRule="auto"/>
        <w:ind w:firstLine="360"/>
        <w:jc w:val="both"/>
        <w:rPr>
          <w:rFonts w:ascii="Times New Roman" w:eastAsia="Malgun Gothic" w:hAnsi="Times New Roman" w:cs="Times New Roman"/>
          <w:iCs/>
          <w:sz w:val="24"/>
          <w:szCs w:val="24"/>
          <w:lang w:eastAsia="ko-KR"/>
        </w:rPr>
      </w:pPr>
      <w:r w:rsidRPr="006745F4">
        <w:rPr>
          <w:rFonts w:ascii="Times New Roman" w:eastAsia="Malgun Gothic" w:hAnsi="Times New Roman" w:cs="Times New Roman"/>
          <w:iCs/>
          <w:sz w:val="24"/>
          <w:szCs w:val="24"/>
          <w:lang w:eastAsia="ko-KR"/>
        </w:rPr>
        <w:t>In the empirical estimation</w:t>
      </w:r>
      <w:r w:rsidR="00CA655C">
        <w:rPr>
          <w:rFonts w:ascii="Times New Roman" w:eastAsia="Malgun Gothic" w:hAnsi="Times New Roman" w:cs="Times New Roman"/>
          <w:iCs/>
          <w:sz w:val="24"/>
          <w:szCs w:val="24"/>
          <w:lang w:eastAsia="ko-KR"/>
        </w:rPr>
        <w:t>s</w:t>
      </w:r>
      <w:r w:rsidRPr="006745F4">
        <w:rPr>
          <w:rFonts w:ascii="Times New Roman" w:eastAsia="Malgun Gothic" w:hAnsi="Times New Roman" w:cs="Times New Roman"/>
          <w:iCs/>
          <w:sz w:val="24"/>
          <w:szCs w:val="24"/>
          <w:lang w:eastAsia="ko-KR"/>
        </w:rPr>
        <w:t xml:space="preserve">, we introduce regional, age, and cohort fixed effects to avoid omitted variable bias when measuring changes within cohorts across time </w:t>
      </w:r>
      <w:r w:rsidRPr="006745F4">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{"citationID":"ZBGG57SD","properties":{"formattedCitation":"\\super 11\\nosupersub{}","plainCitation":"11","noteIndex":0},"citationItems":[{"id":219,"uris":["http://zotero.org/users/5867530/items/TNERJPSQ"],"uri":["http://zotero.org/users/5867530/items/TNERJPSQ"],"itemData":{"id":219,"type":"book","ISBN":"0-262-29679-9","publisher":"MIT Press","title":"Econometric analysis of cross section and panel data","author":[{"family":"Wooldridge","given":"Jeffrey M."}],"issued":{"date-parts":[["2010"]]}}}],"schema":"https://github.com/citation-style-language/schema/raw/master/csl-citation.json"} </w:instrText>
      </w:r>
      <w:r w:rsidRPr="006745F4">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11</w:t>
      </w:r>
      <w:r w:rsidRPr="006745F4">
        <w:rPr>
          <w:rFonts w:ascii="Times New Roman" w:eastAsia="Malgun Gothic" w:hAnsi="Times New Roman" w:cs="Times New Roman"/>
          <w:iCs/>
          <w:sz w:val="24"/>
          <w:szCs w:val="24"/>
          <w:lang w:eastAsia="ko-KR"/>
        </w:rPr>
        <w:fldChar w:fldCharType="end"/>
      </w:r>
      <w:r w:rsidRPr="006745F4">
        <w:rPr>
          <w:rFonts w:ascii="Times New Roman" w:eastAsia="Malgun Gothic" w:hAnsi="Times New Roman" w:cs="Times New Roman"/>
          <w:iCs/>
          <w:sz w:val="24"/>
          <w:szCs w:val="24"/>
          <w:lang w:eastAsia="ko-KR"/>
        </w:rPr>
        <w:t>. We estimate the regression models using Least Squares Dummy Variable (LSDV) methods. The regression to test the correlation between EC and adult BMI are described in Model 1:</w:t>
      </w:r>
    </w:p>
    <w:p w14:paraId="438A7D8B" w14:textId="07B37585" w:rsidR="0047520C" w:rsidRPr="00C34E77" w:rsidRDefault="0047520C" w:rsidP="006745F4">
      <w:pPr>
        <w:spacing w:before="240" w:line="240" w:lineRule="auto"/>
        <w:jc w:val="both"/>
        <w:rPr>
          <w:rFonts w:ascii="Times New Roman" w:eastAsia="Malgun Gothic" w:hAnsi="Times New Roman" w:cs="Times New Roman"/>
          <w:iCs/>
          <w:sz w:val="24"/>
          <w:szCs w:val="24"/>
          <w:lang w:val="es-ES" w:eastAsia="ko-KR"/>
        </w:rPr>
      </w:pPr>
      <w:proofErr w:type="spellStart"/>
      <w:r w:rsidRPr="006745F4">
        <w:rPr>
          <w:rFonts w:ascii="Times New Roman" w:eastAsia="Malgun Gothic" w:hAnsi="Times New Roman" w:cs="Times New Roman"/>
          <w:b/>
          <w:bCs/>
          <w:iCs/>
          <w:sz w:val="24"/>
          <w:szCs w:val="24"/>
          <w:lang w:val="es-UY" w:eastAsia="ko-KR"/>
        </w:rPr>
        <w:t>Model</w:t>
      </w:r>
      <w:proofErr w:type="spellEnd"/>
      <w:r w:rsidRPr="006745F4">
        <w:rPr>
          <w:rFonts w:ascii="Times New Roman" w:eastAsia="Malgun Gothic" w:hAnsi="Times New Roman" w:cs="Times New Roman"/>
          <w:b/>
          <w:bCs/>
          <w:iCs/>
          <w:sz w:val="24"/>
          <w:szCs w:val="24"/>
          <w:lang w:val="es-UY" w:eastAsia="ko-KR"/>
        </w:rPr>
        <w:t xml:space="preserve"> 1. </w:t>
      </w:r>
      <m:oMath>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val="es-UY" w:eastAsia="ko-KR"/>
              </w:rPr>
              <m:t>BMI</m:t>
            </m:r>
          </m:e>
          <m:sub>
            <m:r>
              <m:rPr>
                <m:sty m:val="p"/>
              </m:rPr>
              <w:rPr>
                <w:rFonts w:ascii="Cambria Math" w:eastAsia="Malgun Gothic" w:hAnsi="Cambria Math" w:cs="Times New Roman"/>
                <w:sz w:val="24"/>
                <w:szCs w:val="24"/>
                <w:lang w:val="es-UY" w:eastAsia="ko-KR"/>
              </w:rPr>
              <m:t>i,j,t</m:t>
            </m:r>
          </m:sub>
        </m:sSub>
        <m:r>
          <m:rPr>
            <m:sty m:val="p"/>
          </m:rPr>
          <w:rPr>
            <w:rFonts w:ascii="Cambria Math" w:eastAsia="Malgun Gothic" w:hAnsi="Cambria Math" w:cs="Times New Roman"/>
            <w:sz w:val="24"/>
            <w:szCs w:val="24"/>
            <w:lang w:val="es-UY" w:eastAsia="ko-KR"/>
          </w:rPr>
          <m:t>=</m:t>
        </m:r>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eastAsia="ko-KR"/>
              </w:rPr>
              <m:t>θ</m:t>
            </m:r>
          </m:e>
          <m:sub>
            <m:r>
              <m:rPr>
                <m:sty m:val="p"/>
              </m:rPr>
              <w:rPr>
                <w:rFonts w:ascii="Cambria Math" w:eastAsia="Malgun Gothic" w:hAnsi="Cambria Math" w:cs="Times New Roman"/>
                <w:sz w:val="24"/>
                <w:szCs w:val="24"/>
                <w:lang w:val="es-UY" w:eastAsia="ko-KR"/>
              </w:rPr>
              <m:t>0</m:t>
            </m:r>
          </m:sub>
        </m:sSub>
        <m:r>
          <m:rPr>
            <m:sty m:val="p"/>
          </m:rPr>
          <w:rPr>
            <w:rFonts w:ascii="Cambria Math" w:eastAsia="Malgun Gothic" w:hAnsi="Cambria Math" w:cs="Times New Roman"/>
            <w:sz w:val="24"/>
            <w:szCs w:val="24"/>
            <w:lang w:val="es-UY" w:eastAsia="ko-KR"/>
          </w:rPr>
          <m:t>+</m:t>
        </m:r>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eastAsia="ko-KR"/>
              </w:rPr>
              <m:t>α</m:t>
            </m:r>
          </m:e>
          <m:sub>
            <m:r>
              <m:rPr>
                <m:sty m:val="p"/>
              </m:rPr>
              <w:rPr>
                <w:rFonts w:ascii="Cambria Math" w:eastAsia="Malgun Gothic" w:hAnsi="Cambria Math" w:cs="Times New Roman"/>
                <w:sz w:val="24"/>
                <w:szCs w:val="24"/>
                <w:lang w:val="es-UY" w:eastAsia="ko-KR"/>
              </w:rPr>
              <m:t>i,j,t</m:t>
            </m:r>
          </m:sub>
        </m:sSub>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val="es-UY" w:eastAsia="ko-KR"/>
              </w:rPr>
              <m:t>EC</m:t>
            </m:r>
          </m:e>
          <m:sub>
            <m:r>
              <m:rPr>
                <m:sty m:val="p"/>
              </m:rPr>
              <w:rPr>
                <w:rFonts w:ascii="Cambria Math" w:eastAsia="Malgun Gothic" w:hAnsi="Cambria Math" w:cs="Times New Roman"/>
                <w:sz w:val="24"/>
                <w:szCs w:val="24"/>
                <w:lang w:val="es-UY" w:eastAsia="ko-KR"/>
              </w:rPr>
              <m:t>i,j,t</m:t>
            </m:r>
          </m:sub>
        </m:sSub>
        <m:r>
          <m:rPr>
            <m:sty m:val="p"/>
          </m:rPr>
          <w:rPr>
            <w:rFonts w:ascii="Cambria Math" w:eastAsia="Malgun Gothic" w:hAnsi="Cambria Math" w:cs="Times New Roman"/>
            <w:sz w:val="24"/>
            <w:szCs w:val="24"/>
            <w:lang w:val="es-UY" w:eastAsia="ko-KR"/>
          </w:rPr>
          <m:t>+</m:t>
        </m:r>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eastAsia="ko-KR"/>
              </w:rPr>
              <m:t>β</m:t>
            </m:r>
          </m:e>
          <m:sub>
            <m:r>
              <m:rPr>
                <m:sty m:val="p"/>
              </m:rPr>
              <w:rPr>
                <w:rFonts w:ascii="Cambria Math" w:eastAsia="Malgun Gothic" w:hAnsi="Cambria Math" w:cs="Times New Roman"/>
                <w:sz w:val="24"/>
                <w:szCs w:val="24"/>
                <w:lang w:val="es-UY" w:eastAsia="ko-KR"/>
              </w:rPr>
              <m:t>i,j.t</m:t>
            </m:r>
          </m:sub>
        </m:sSub>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val="es-UY" w:eastAsia="ko-KR"/>
              </w:rPr>
              <m:t>Age</m:t>
            </m:r>
          </m:e>
          <m:sub>
            <m:r>
              <m:rPr>
                <m:sty m:val="p"/>
              </m:rPr>
              <w:rPr>
                <w:rFonts w:ascii="Cambria Math" w:eastAsia="Malgun Gothic" w:hAnsi="Cambria Math" w:cs="Times New Roman"/>
                <w:sz w:val="24"/>
                <w:szCs w:val="24"/>
                <w:lang w:val="es-UY" w:eastAsia="ko-KR"/>
              </w:rPr>
              <m:t>i,j.t</m:t>
            </m:r>
          </m:sub>
        </m:sSub>
        <m:r>
          <m:rPr>
            <m:sty m:val="p"/>
          </m:rPr>
          <w:rPr>
            <w:rFonts w:ascii="Cambria Math" w:eastAsia="Malgun Gothic" w:hAnsi="Cambria Math" w:cs="Times New Roman"/>
            <w:sz w:val="24"/>
            <w:szCs w:val="24"/>
            <w:lang w:val="es-UY" w:eastAsia="ko-KR"/>
          </w:rPr>
          <m:t>+</m:t>
        </m:r>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eastAsia="ko-KR"/>
              </w:rPr>
              <m:t>γ</m:t>
            </m:r>
          </m:e>
          <m:sub>
            <m:r>
              <m:rPr>
                <m:sty m:val="p"/>
              </m:rPr>
              <w:rPr>
                <w:rFonts w:ascii="Cambria Math" w:eastAsia="Malgun Gothic" w:hAnsi="Cambria Math" w:cs="Times New Roman"/>
                <w:sz w:val="24"/>
                <w:szCs w:val="24"/>
                <w:lang w:val="es-UY" w:eastAsia="ko-KR"/>
              </w:rPr>
              <m:t>i,j.t</m:t>
            </m:r>
          </m:sub>
        </m:sSub>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val="es-UY" w:eastAsia="ko-KR"/>
              </w:rPr>
              <m:t>Cohort</m:t>
            </m:r>
          </m:e>
          <m:sub>
            <m:r>
              <m:rPr>
                <m:sty m:val="p"/>
              </m:rPr>
              <w:rPr>
                <w:rFonts w:ascii="Cambria Math" w:eastAsia="Malgun Gothic" w:hAnsi="Cambria Math" w:cs="Times New Roman"/>
                <w:sz w:val="24"/>
                <w:szCs w:val="24"/>
                <w:lang w:val="es-UY" w:eastAsia="ko-KR"/>
              </w:rPr>
              <m:t>i,j,t</m:t>
            </m:r>
          </m:sub>
        </m:sSub>
        <m:r>
          <m:rPr>
            <m:sty m:val="p"/>
          </m:rPr>
          <w:rPr>
            <w:rFonts w:ascii="Cambria Math" w:eastAsia="Malgun Gothic" w:hAnsi="Cambria Math" w:cs="Times New Roman"/>
            <w:sz w:val="24"/>
            <w:szCs w:val="24"/>
            <w:lang w:val="es-UY" w:eastAsia="ko-KR"/>
          </w:rPr>
          <m:t>+</m:t>
        </m:r>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val="es-UY" w:eastAsia="ko-KR"/>
              </w:rPr>
              <m:t>R</m:t>
            </m:r>
          </m:e>
          <m:sub>
            <m:r>
              <m:rPr>
                <m:sty m:val="p"/>
              </m:rPr>
              <w:rPr>
                <w:rFonts w:ascii="Cambria Math" w:eastAsia="Malgun Gothic" w:hAnsi="Cambria Math" w:cs="Times New Roman"/>
                <w:sz w:val="24"/>
                <w:szCs w:val="24"/>
                <w:lang w:val="es-UY" w:eastAsia="ko-KR"/>
              </w:rPr>
              <m:t>i,j</m:t>
            </m:r>
          </m:sub>
        </m:sSub>
        <m:r>
          <m:rPr>
            <m:sty m:val="p"/>
          </m:rPr>
          <w:rPr>
            <w:rFonts w:ascii="Cambria Math" w:eastAsia="Malgun Gothic" w:hAnsi="Cambria Math" w:cs="Times New Roman"/>
            <w:sz w:val="24"/>
            <w:szCs w:val="24"/>
            <w:lang w:val="es-UY" w:eastAsia="ko-KR"/>
          </w:rPr>
          <m:t>+ </m:t>
        </m:r>
        <m:sSub>
          <m:sSubPr>
            <m:ctrlPr>
              <w:rPr>
                <w:rFonts w:ascii="Cambria Math" w:eastAsia="Malgun Gothic" w:hAnsi="Cambria Math" w:cs="Times New Roman"/>
                <w:iCs/>
                <w:sz w:val="24"/>
                <w:szCs w:val="24"/>
                <w:lang w:eastAsia="ko-KR"/>
              </w:rPr>
            </m:ctrlPr>
          </m:sSubPr>
          <m:e>
            <m:r>
              <m:rPr>
                <m:sty m:val="p"/>
              </m:rPr>
              <w:rPr>
                <w:rFonts w:ascii="Cambria Math" w:eastAsia="Malgun Gothic" w:hAnsi="Cambria Math" w:cs="Times New Roman"/>
                <w:sz w:val="24"/>
                <w:szCs w:val="24"/>
                <w:lang w:eastAsia="ko-KR"/>
              </w:rPr>
              <m:t>ϵ</m:t>
            </m:r>
          </m:e>
          <m:sub>
            <m:r>
              <m:rPr>
                <m:sty m:val="p"/>
              </m:rPr>
              <w:rPr>
                <w:rFonts w:ascii="Cambria Math" w:eastAsia="Malgun Gothic" w:hAnsi="Cambria Math" w:cs="Times New Roman"/>
                <w:sz w:val="24"/>
                <w:szCs w:val="24"/>
                <w:lang w:val="es-UY" w:eastAsia="ko-KR"/>
              </w:rPr>
              <m:t>i,j,t</m:t>
            </m:r>
          </m:sub>
        </m:sSub>
      </m:oMath>
    </w:p>
    <w:p w14:paraId="65216404" w14:textId="6878459C" w:rsidR="0002477B" w:rsidRPr="0068545D" w:rsidRDefault="0068545D" w:rsidP="0068545D">
      <w:pPr>
        <w:spacing w:before="240" w:line="276" w:lineRule="auto"/>
        <w:rPr>
          <w:rFonts w:ascii="Times New Roman" w:eastAsia="Malgun Gothic" w:hAnsi="Times New Roman" w:cs="Times New Roman"/>
          <w:color w:val="000000"/>
          <w:kern w:val="24"/>
          <w:sz w:val="24"/>
          <w:szCs w:val="24"/>
          <w:lang w:val="es-ES"/>
        </w:rPr>
      </w:pPr>
      <w:proofErr w:type="spellStart"/>
      <w:r w:rsidRPr="0068545D">
        <w:rPr>
          <w:rFonts w:ascii="Times New Roman" w:eastAsia="Malgun Gothic" w:hAnsi="Times New Roman" w:cs="Times New Roman"/>
          <w:b/>
          <w:bCs/>
          <w:iCs/>
          <w:sz w:val="24"/>
          <w:szCs w:val="24"/>
          <w:lang w:val="es-UY" w:eastAsia="ko-KR"/>
        </w:rPr>
        <w:t>Model</w:t>
      </w:r>
      <w:proofErr w:type="spellEnd"/>
      <w:r w:rsidRPr="0068545D">
        <w:rPr>
          <w:rFonts w:ascii="Times New Roman" w:eastAsia="Malgun Gothic" w:hAnsi="Times New Roman" w:cs="Times New Roman"/>
          <w:b/>
          <w:bCs/>
          <w:iCs/>
          <w:sz w:val="24"/>
          <w:szCs w:val="24"/>
          <w:lang w:val="es-UY" w:eastAsia="ko-KR"/>
        </w:rPr>
        <w:t xml:space="preserve"> 2. </w:t>
      </w:r>
      <m:oMath>
        <m:sSub>
          <m:sSubPr>
            <m:ctrlPr>
              <w:rPr>
                <w:rFonts w:ascii="Cambria Math" w:eastAsia="Calibri" w:hAnsi="Cambria Math" w:cs="Times New Roman"/>
                <w:color w:val="000000"/>
                <w:kern w:val="24"/>
                <w:sz w:val="24"/>
                <w:szCs w:val="24"/>
              </w:rPr>
            </m:ctrlPr>
          </m:sSubPr>
          <m:e>
            <m:r>
              <m:rPr>
                <m:sty m:val="p"/>
              </m:rPr>
              <w:rPr>
                <w:rFonts w:ascii="Cambria Math" w:eastAsia="Calibri" w:hAnsi="Cambria Math" w:cs="Times New Roman"/>
                <w:color w:val="000000"/>
                <w:kern w:val="24"/>
                <w:sz w:val="24"/>
                <w:szCs w:val="24"/>
                <w:lang w:val="es-UY"/>
              </w:rPr>
              <m:t>BMI</m:t>
            </m:r>
          </m:e>
          <m:sub>
            <m:r>
              <m:rPr>
                <m:sty m:val="p"/>
              </m:rPr>
              <w:rPr>
                <w:rFonts w:ascii="Cambria Math" w:eastAsia="Calibri" w:hAnsi="Cambria Math" w:cs="Times New Roman"/>
                <w:color w:val="000000"/>
                <w:kern w:val="24"/>
                <w:sz w:val="24"/>
                <w:szCs w:val="24"/>
                <w:lang w:val="es-UY"/>
              </w:rPr>
              <m:t>i,j,t</m:t>
            </m:r>
          </m:sub>
        </m:sSub>
        <m:r>
          <m:rPr>
            <m:sty m:val="p"/>
          </m:rPr>
          <w:rPr>
            <w:rFonts w:ascii="Cambria Math" w:eastAsia="Calibri" w:hAnsi="Cambria Math" w:cs="Times New Roman"/>
            <w:color w:val="000000"/>
            <w:kern w:val="24"/>
            <w:sz w:val="24"/>
            <w:szCs w:val="24"/>
            <w:lang w:val="es-UY"/>
          </w:rPr>
          <m:t>=</m:t>
        </m:r>
        <m:sSub>
          <m:sSubPr>
            <m:ctrlPr>
              <w:rPr>
                <w:rFonts w:ascii="Cambria Math" w:eastAsia="Calibri" w:hAnsi="Cambria Math" w:cs="Times New Roman"/>
                <w:color w:val="000000"/>
                <w:kern w:val="24"/>
                <w:sz w:val="24"/>
                <w:szCs w:val="24"/>
              </w:rPr>
            </m:ctrlPr>
          </m:sSubPr>
          <m:e>
            <m:r>
              <m:rPr>
                <m:sty m:val="p"/>
              </m:rPr>
              <w:rPr>
                <w:rFonts w:ascii="Cambria Math" w:eastAsia="Calibri" w:hAnsi="Cambria Math" w:cs="Times New Roman"/>
                <w:color w:val="000000"/>
                <w:kern w:val="24"/>
                <w:sz w:val="24"/>
                <w:szCs w:val="24"/>
              </w:rPr>
              <m:t>θ</m:t>
            </m:r>
          </m:e>
          <m:sub>
            <m:r>
              <m:rPr>
                <m:sty m:val="p"/>
              </m:rPr>
              <w:rPr>
                <w:rFonts w:ascii="Cambria Math" w:eastAsia="Calibri" w:hAnsi="Cambria Math" w:cs="Times New Roman"/>
                <w:color w:val="000000"/>
                <w:kern w:val="24"/>
                <w:sz w:val="24"/>
                <w:szCs w:val="24"/>
                <w:lang w:val="es-UY"/>
              </w:rPr>
              <m:t>0</m:t>
            </m:r>
          </m:sub>
        </m:sSub>
        <m:r>
          <m:rPr>
            <m:sty m:val="p"/>
          </m:rPr>
          <w:rPr>
            <w:rFonts w:ascii="Cambria Math" w:eastAsia="Calibri" w:hAnsi="Cambria Math" w:cs="Times New Roman"/>
            <w:color w:val="000000"/>
            <w:kern w:val="24"/>
            <w:sz w:val="24"/>
            <w:szCs w:val="24"/>
            <w:lang w:val="es-UY"/>
          </w:rPr>
          <m:t>+</m:t>
        </m:r>
        <m:sSub>
          <m:sSubPr>
            <m:ctrlPr>
              <w:rPr>
                <w:rFonts w:ascii="Cambria Math" w:eastAsia="Calibri" w:hAnsi="Cambria Math" w:cs="Times New Roman"/>
                <w:color w:val="000000"/>
                <w:kern w:val="24"/>
                <w:sz w:val="24"/>
                <w:szCs w:val="24"/>
              </w:rPr>
            </m:ctrlPr>
          </m:sSubPr>
          <m:e>
            <m:r>
              <m:rPr>
                <m:sty m:val="p"/>
              </m:rPr>
              <w:rPr>
                <w:rFonts w:ascii="Cambria Math" w:eastAsia="Calibri" w:hAnsi="Cambria Math" w:cs="Times New Roman"/>
                <w:color w:val="000000"/>
                <w:kern w:val="24"/>
                <w:sz w:val="24"/>
                <w:szCs w:val="24"/>
              </w:rPr>
              <m:t>α</m:t>
            </m:r>
          </m:e>
          <m:sub>
            <m:r>
              <m:rPr>
                <m:sty m:val="p"/>
              </m:rPr>
              <w:rPr>
                <w:rFonts w:ascii="Cambria Math" w:eastAsia="Calibri" w:hAnsi="Cambria Math" w:cs="Times New Roman"/>
                <w:color w:val="000000"/>
                <w:kern w:val="24"/>
                <w:sz w:val="24"/>
                <w:szCs w:val="24"/>
                <w:lang w:val="es-UY"/>
              </w:rPr>
              <m:t>i,j,t</m:t>
            </m:r>
          </m:sub>
        </m:sSub>
        <m:sSub>
          <m:sSubPr>
            <m:ctrlPr>
              <w:rPr>
                <w:rFonts w:ascii="Cambria Math" w:eastAsia="Calibri" w:hAnsi="Cambria Math" w:cs="Times New Roman"/>
                <w:color w:val="000000"/>
                <w:kern w:val="24"/>
                <w:sz w:val="24"/>
                <w:szCs w:val="24"/>
              </w:rPr>
            </m:ctrlPr>
          </m:sSubPr>
          <m:e>
            <m:r>
              <m:rPr>
                <m:sty m:val="p"/>
              </m:rPr>
              <w:rPr>
                <w:rFonts w:ascii="Cambria Math" w:eastAsia="Calibri" w:hAnsi="Cambria Math" w:cs="Times New Roman"/>
                <w:color w:val="000000"/>
                <w:kern w:val="24"/>
                <w:sz w:val="24"/>
                <w:szCs w:val="24"/>
                <w:lang w:val="es-UY"/>
              </w:rPr>
              <m:t>ECA</m:t>
            </m:r>
          </m:e>
          <m:sub>
            <m:r>
              <m:rPr>
                <m:sty m:val="p"/>
              </m:rPr>
              <w:rPr>
                <w:rFonts w:ascii="Cambria Math" w:eastAsia="Calibri" w:hAnsi="Cambria Math" w:cs="Times New Roman"/>
                <w:color w:val="000000"/>
                <w:kern w:val="24"/>
                <w:sz w:val="24"/>
                <w:szCs w:val="24"/>
                <w:lang w:val="es-UY"/>
              </w:rPr>
              <m:t>i,j,t</m:t>
            </m:r>
          </m:sub>
        </m:sSub>
        <m:r>
          <m:rPr>
            <m:sty m:val="p"/>
          </m:rPr>
          <w:rPr>
            <w:rFonts w:ascii="Cambria Math" w:eastAsia="Calibri" w:hAnsi="Cambria Math" w:cs="Times New Roman"/>
            <w:color w:val="000000"/>
            <w:kern w:val="24"/>
            <w:sz w:val="24"/>
            <w:szCs w:val="24"/>
            <w:lang w:val="es-UY"/>
          </w:rPr>
          <m:t>+</m:t>
        </m:r>
        <m:sSub>
          <m:sSubPr>
            <m:ctrlPr>
              <w:rPr>
                <w:rFonts w:ascii="Cambria Math" w:eastAsia="Calibri" w:hAnsi="Cambria Math" w:cs="Times New Roman"/>
                <w:color w:val="000000"/>
                <w:kern w:val="24"/>
                <w:sz w:val="24"/>
                <w:szCs w:val="24"/>
              </w:rPr>
            </m:ctrlPr>
          </m:sSubPr>
          <m:e>
            <m:r>
              <m:rPr>
                <m:sty m:val="p"/>
              </m:rPr>
              <w:rPr>
                <w:rFonts w:ascii="Cambria Math" w:eastAsia="Calibri" w:hAnsi="Cambria Math" w:cs="Times New Roman"/>
                <w:color w:val="000000"/>
                <w:kern w:val="24"/>
                <w:sz w:val="24"/>
                <w:szCs w:val="24"/>
              </w:rPr>
              <m:t>β</m:t>
            </m:r>
          </m:e>
          <m:sub>
            <m:r>
              <m:rPr>
                <m:sty m:val="p"/>
              </m:rPr>
              <w:rPr>
                <w:rFonts w:ascii="Cambria Math" w:eastAsia="Calibri" w:hAnsi="Cambria Math" w:cs="Times New Roman"/>
                <w:color w:val="000000"/>
                <w:kern w:val="24"/>
                <w:sz w:val="24"/>
                <w:szCs w:val="24"/>
                <w:lang w:val="es-UY"/>
              </w:rPr>
              <m:t>i,j.t</m:t>
            </m:r>
          </m:sub>
        </m:sSub>
        <m:sSub>
          <m:sSubPr>
            <m:ctrlPr>
              <w:rPr>
                <w:rFonts w:ascii="Cambria Math" w:eastAsia="Calibri" w:hAnsi="Cambria Math" w:cs="Times New Roman"/>
                <w:color w:val="000000"/>
                <w:kern w:val="24"/>
                <w:sz w:val="24"/>
                <w:szCs w:val="24"/>
              </w:rPr>
            </m:ctrlPr>
          </m:sSubPr>
          <m:e>
            <m:r>
              <m:rPr>
                <m:sty m:val="p"/>
              </m:rPr>
              <w:rPr>
                <w:rFonts w:ascii="Cambria Math" w:eastAsia="Calibri" w:hAnsi="Cambria Math" w:cs="Times New Roman"/>
                <w:color w:val="000000"/>
                <w:kern w:val="24"/>
                <w:sz w:val="24"/>
                <w:szCs w:val="24"/>
                <w:lang w:val="es-UY"/>
              </w:rPr>
              <m:t>Age</m:t>
            </m:r>
          </m:e>
          <m:sub>
            <m:r>
              <m:rPr>
                <m:sty m:val="p"/>
              </m:rPr>
              <w:rPr>
                <w:rFonts w:ascii="Cambria Math" w:eastAsia="Calibri" w:hAnsi="Cambria Math" w:cs="Times New Roman"/>
                <w:color w:val="000000"/>
                <w:kern w:val="24"/>
                <w:sz w:val="24"/>
                <w:szCs w:val="24"/>
                <w:lang w:val="es-UY"/>
              </w:rPr>
              <m:t>i,j.t</m:t>
            </m:r>
          </m:sub>
        </m:sSub>
        <m:r>
          <m:rPr>
            <m:sty m:val="p"/>
          </m:rPr>
          <w:rPr>
            <w:rFonts w:ascii="Cambria Math" w:eastAsia="Calibri" w:hAnsi="Cambria Math" w:cs="Times New Roman"/>
            <w:color w:val="000000"/>
            <w:kern w:val="24"/>
            <w:sz w:val="24"/>
            <w:szCs w:val="24"/>
            <w:lang w:val="es-UY"/>
          </w:rPr>
          <m:t>+</m:t>
        </m:r>
        <m:sSub>
          <m:sSubPr>
            <m:ctrlPr>
              <w:rPr>
                <w:rFonts w:ascii="Cambria Math" w:eastAsia="Calibri" w:hAnsi="Cambria Math" w:cs="Times New Roman"/>
                <w:color w:val="000000"/>
                <w:kern w:val="24"/>
                <w:sz w:val="24"/>
                <w:szCs w:val="24"/>
              </w:rPr>
            </m:ctrlPr>
          </m:sSubPr>
          <m:e>
            <m:r>
              <m:rPr>
                <m:sty m:val="p"/>
              </m:rPr>
              <w:rPr>
                <w:rFonts w:ascii="Cambria Math" w:eastAsia="Calibri" w:hAnsi="Cambria Math" w:cs="Times New Roman"/>
                <w:color w:val="000000"/>
                <w:kern w:val="24"/>
                <w:sz w:val="24"/>
                <w:szCs w:val="24"/>
              </w:rPr>
              <m:t>γ</m:t>
            </m:r>
          </m:e>
          <m:sub>
            <m:r>
              <m:rPr>
                <m:sty m:val="p"/>
              </m:rPr>
              <w:rPr>
                <w:rFonts w:ascii="Cambria Math" w:eastAsia="Calibri" w:hAnsi="Cambria Math" w:cs="Times New Roman"/>
                <w:color w:val="000000"/>
                <w:kern w:val="24"/>
                <w:sz w:val="24"/>
                <w:szCs w:val="24"/>
                <w:lang w:val="es-UY"/>
              </w:rPr>
              <m:t>i,j.t</m:t>
            </m:r>
          </m:sub>
        </m:sSub>
        <m:sSub>
          <m:sSubPr>
            <m:ctrlPr>
              <w:rPr>
                <w:rFonts w:ascii="Cambria Math" w:eastAsia="Calibri" w:hAnsi="Cambria Math" w:cs="Times New Roman"/>
                <w:color w:val="000000"/>
                <w:kern w:val="24"/>
                <w:sz w:val="24"/>
                <w:szCs w:val="24"/>
              </w:rPr>
            </m:ctrlPr>
          </m:sSubPr>
          <m:e>
            <m:r>
              <m:rPr>
                <m:sty m:val="p"/>
              </m:rPr>
              <w:rPr>
                <w:rFonts w:ascii="Cambria Math" w:eastAsia="Calibri" w:hAnsi="Cambria Math" w:cs="Times New Roman"/>
                <w:color w:val="000000"/>
                <w:kern w:val="24"/>
                <w:sz w:val="24"/>
                <w:szCs w:val="24"/>
                <w:lang w:val="es-UY"/>
              </w:rPr>
              <m:t>Cohort</m:t>
            </m:r>
          </m:e>
          <m:sub>
            <m:r>
              <m:rPr>
                <m:sty m:val="p"/>
              </m:rPr>
              <w:rPr>
                <w:rFonts w:ascii="Cambria Math" w:eastAsia="Calibri" w:hAnsi="Cambria Math" w:cs="Times New Roman"/>
                <w:color w:val="000000"/>
                <w:kern w:val="24"/>
                <w:sz w:val="24"/>
                <w:szCs w:val="24"/>
                <w:lang w:val="es-UY"/>
              </w:rPr>
              <m:t>i,j,t</m:t>
            </m:r>
          </m:sub>
        </m:sSub>
        <m:sSub>
          <m:sSubPr>
            <m:ctrlPr>
              <w:rPr>
                <w:rFonts w:ascii="Cambria Math" w:eastAsia="Times New Roman" w:hAnsi="Cambria Math" w:cs="Times New Roman"/>
                <w:color w:val="000000"/>
                <w:kern w:val="24"/>
                <w:sz w:val="24"/>
                <w:szCs w:val="24"/>
              </w:rPr>
            </m:ctrlPr>
          </m:sSubPr>
          <m:e>
            <m:r>
              <m:rPr>
                <m:sty m:val="p"/>
              </m:rPr>
              <w:rPr>
                <w:rFonts w:ascii="Cambria Math" w:eastAsia="Times New Roman" w:hAnsi="Cambria Math" w:cs="Times New Roman"/>
                <w:color w:val="000000"/>
                <w:kern w:val="24"/>
                <w:sz w:val="24"/>
                <w:szCs w:val="24"/>
                <w:lang w:val="es-ES"/>
              </w:rPr>
              <m:t xml:space="preserve">+ </m:t>
            </m:r>
            <m:r>
              <m:rPr>
                <m:sty m:val="p"/>
              </m:rPr>
              <w:rPr>
                <w:rFonts w:ascii="Cambria Math" w:eastAsia="Times New Roman" w:hAnsi="Cambria Math" w:cs="Times New Roman"/>
                <w:color w:val="000000"/>
                <w:kern w:val="24"/>
                <w:sz w:val="24"/>
                <w:szCs w:val="24"/>
              </w:rPr>
              <m:t>λ</m:t>
            </m:r>
          </m:e>
          <m:sub>
            <m:r>
              <m:rPr>
                <m:sty m:val="p"/>
              </m:rPr>
              <w:rPr>
                <w:rFonts w:ascii="Cambria Math" w:eastAsia="Times New Roman" w:hAnsi="Cambria Math" w:cs="Times New Roman"/>
                <w:color w:val="000000"/>
                <w:kern w:val="24"/>
                <w:sz w:val="24"/>
                <w:szCs w:val="24"/>
                <w:lang w:val="es-UY"/>
              </w:rPr>
              <m:t>i,j.t</m:t>
            </m:r>
          </m:sub>
        </m:sSub>
        <m:sSub>
          <m:sSubPr>
            <m:ctrlPr>
              <w:rPr>
                <w:rFonts w:ascii="Cambria Math" w:eastAsia="Times New Roman" w:hAnsi="Cambria Math" w:cs="Times New Roman"/>
                <w:color w:val="000000"/>
                <w:kern w:val="24"/>
                <w:sz w:val="24"/>
                <w:szCs w:val="24"/>
              </w:rPr>
            </m:ctrlPr>
          </m:sSubPr>
          <m:e>
            <m:r>
              <m:rPr>
                <m:sty m:val="p"/>
              </m:rPr>
              <w:rPr>
                <w:rFonts w:ascii="Cambria Math" w:eastAsia="Times New Roman" w:hAnsi="Cambria Math" w:cs="Times New Roman"/>
                <w:color w:val="000000"/>
                <w:kern w:val="24"/>
                <w:sz w:val="24"/>
                <w:szCs w:val="24"/>
                <w:lang w:val="es-UY"/>
              </w:rPr>
              <m:t>X</m:t>
            </m:r>
          </m:e>
          <m:sub>
            <m:r>
              <m:rPr>
                <m:sty m:val="p"/>
              </m:rPr>
              <w:rPr>
                <w:rFonts w:ascii="Cambria Math" w:eastAsia="Times New Roman" w:hAnsi="Cambria Math" w:cs="Times New Roman"/>
                <w:color w:val="000000"/>
                <w:kern w:val="24"/>
                <w:sz w:val="24"/>
                <w:szCs w:val="24"/>
                <w:lang w:val="es-UY"/>
              </w:rPr>
              <m:t>i,j.t</m:t>
            </m:r>
          </m:sub>
        </m:sSub>
        <m:r>
          <w:rPr>
            <w:rFonts w:ascii="Cambria Math" w:eastAsia="Times New Roman" w:hAnsi="Cambria Math" w:cs="Times New Roman"/>
            <w:color w:val="000000"/>
            <w:kern w:val="24"/>
            <w:sz w:val="24"/>
            <w:szCs w:val="24"/>
            <w:lang w:val="es-ES"/>
          </w:rPr>
          <m:t>+</m:t>
        </m:r>
        <m:sSub>
          <m:sSubPr>
            <m:ctrlPr>
              <w:rPr>
                <w:rFonts w:ascii="Cambria Math" w:eastAsia="Calibri" w:hAnsi="Cambria Math" w:cs="Times New Roman"/>
                <w:color w:val="000000"/>
                <w:kern w:val="24"/>
                <w:sz w:val="24"/>
                <w:szCs w:val="24"/>
              </w:rPr>
            </m:ctrlPr>
          </m:sSubPr>
          <m:e>
            <m:r>
              <m:rPr>
                <m:sty m:val="p"/>
              </m:rPr>
              <w:rPr>
                <w:rFonts w:ascii="Cambria Math" w:eastAsia="Calibri" w:hAnsi="Cambria Math" w:cs="Times New Roman"/>
                <w:color w:val="000000"/>
                <w:kern w:val="24"/>
                <w:sz w:val="24"/>
                <w:szCs w:val="24"/>
                <w:lang w:val="es-UY"/>
              </w:rPr>
              <m:t>R</m:t>
            </m:r>
          </m:e>
          <m:sub>
            <m:r>
              <m:rPr>
                <m:sty m:val="p"/>
              </m:rPr>
              <w:rPr>
                <w:rFonts w:ascii="Cambria Math" w:eastAsia="Calibri" w:hAnsi="Cambria Math" w:cs="Times New Roman"/>
                <w:color w:val="000000"/>
                <w:kern w:val="24"/>
                <w:sz w:val="24"/>
                <w:szCs w:val="24"/>
                <w:lang w:val="es-UY"/>
              </w:rPr>
              <m:t>i,j</m:t>
            </m:r>
          </m:sub>
        </m:sSub>
        <m:r>
          <m:rPr>
            <m:sty m:val="p"/>
          </m:rPr>
          <w:rPr>
            <w:rFonts w:ascii="Cambria Math" w:eastAsia="Calibri" w:hAnsi="Cambria Math" w:cs="Times New Roman"/>
            <w:color w:val="000000"/>
            <w:kern w:val="24"/>
            <w:sz w:val="24"/>
            <w:szCs w:val="24"/>
            <w:lang w:val="es-UY"/>
          </w:rPr>
          <m:t>+ </m:t>
        </m:r>
        <m:sSub>
          <m:sSubPr>
            <m:ctrlPr>
              <w:rPr>
                <w:rFonts w:ascii="Cambria Math" w:eastAsia="Calibri" w:hAnsi="Cambria Math" w:cs="Times New Roman"/>
                <w:color w:val="000000"/>
                <w:kern w:val="24"/>
                <w:sz w:val="24"/>
                <w:szCs w:val="24"/>
              </w:rPr>
            </m:ctrlPr>
          </m:sSubPr>
          <m:e>
            <m:r>
              <m:rPr>
                <m:sty m:val="p"/>
              </m:rPr>
              <w:rPr>
                <w:rFonts w:ascii="Cambria Math" w:eastAsia="Calibri" w:hAnsi="Cambria Math" w:cs="Times New Roman"/>
                <w:color w:val="000000"/>
                <w:kern w:val="24"/>
                <w:sz w:val="24"/>
                <w:szCs w:val="24"/>
              </w:rPr>
              <m:t>ϵ</m:t>
            </m:r>
          </m:e>
          <m:sub>
            <m:r>
              <m:rPr>
                <m:sty m:val="p"/>
              </m:rPr>
              <w:rPr>
                <w:rFonts w:ascii="Cambria Math" w:eastAsia="Calibri" w:hAnsi="Cambria Math" w:cs="Times New Roman"/>
                <w:color w:val="000000"/>
                <w:kern w:val="24"/>
                <w:sz w:val="24"/>
                <w:szCs w:val="24"/>
                <w:lang w:val="es-UY"/>
              </w:rPr>
              <m:t>i,j,t</m:t>
            </m:r>
          </m:sub>
        </m:sSub>
      </m:oMath>
    </w:p>
    <w:p w14:paraId="021D6BE7" w14:textId="77777777" w:rsidR="006D5A82" w:rsidRDefault="0047520C" w:rsidP="006D5A82">
      <w:pPr>
        <w:spacing w:after="0" w:line="240" w:lineRule="auto"/>
        <w:ind w:firstLine="360"/>
        <w:jc w:val="both"/>
        <w:rPr>
          <w:rFonts w:ascii="Times New Roman" w:eastAsia="Malgun Gothic" w:hAnsi="Times New Roman" w:cs="Times New Roman"/>
          <w:iCs/>
          <w:sz w:val="24"/>
          <w:szCs w:val="24"/>
          <w:lang w:eastAsia="ko-KR"/>
        </w:rPr>
      </w:pPr>
      <w:r w:rsidRPr="006745F4">
        <w:rPr>
          <w:rFonts w:ascii="Times New Roman" w:eastAsia="Malgun Gothic" w:hAnsi="Times New Roman" w:cs="Times New Roman"/>
          <w:iCs/>
          <w:sz w:val="24"/>
          <w:szCs w:val="24"/>
          <w:lang w:eastAsia="ko-KR"/>
        </w:rPr>
        <w:t>In th</w:t>
      </w:r>
      <w:r w:rsidR="0068545D">
        <w:rPr>
          <w:rFonts w:ascii="Times New Roman" w:eastAsia="Malgun Gothic" w:hAnsi="Times New Roman" w:cs="Times New Roman"/>
          <w:iCs/>
          <w:sz w:val="24"/>
          <w:szCs w:val="24"/>
          <w:lang w:eastAsia="ko-KR"/>
        </w:rPr>
        <w:t>ese</w:t>
      </w:r>
      <w:r w:rsidRPr="006745F4">
        <w:rPr>
          <w:rFonts w:ascii="Times New Roman" w:eastAsia="Malgun Gothic" w:hAnsi="Times New Roman" w:cs="Times New Roman"/>
          <w:iCs/>
          <w:sz w:val="24"/>
          <w:szCs w:val="24"/>
          <w:lang w:eastAsia="ko-KR"/>
        </w:rPr>
        <w:t xml:space="preserve"> model</w:t>
      </w:r>
      <w:r w:rsidR="0068545D">
        <w:rPr>
          <w:rFonts w:ascii="Times New Roman" w:eastAsia="Malgun Gothic" w:hAnsi="Times New Roman" w:cs="Times New Roman"/>
          <w:iCs/>
          <w:sz w:val="24"/>
          <w:szCs w:val="24"/>
          <w:lang w:eastAsia="ko-KR"/>
        </w:rPr>
        <w:t>s</w:t>
      </w:r>
      <w:r w:rsidRPr="006745F4">
        <w:rPr>
          <w:rFonts w:ascii="Times New Roman" w:eastAsia="Malgun Gothic" w:hAnsi="Times New Roman" w:cs="Times New Roman"/>
          <w:iCs/>
          <w:sz w:val="24"/>
          <w:szCs w:val="24"/>
          <w:lang w:eastAsia="ko-KR"/>
        </w:rPr>
        <w:t xml:space="preserve">, subscript </w:t>
      </w:r>
      <w:proofErr w:type="spellStart"/>
      <w:r w:rsidRPr="006745F4">
        <w:rPr>
          <w:rFonts w:ascii="Times New Roman" w:eastAsia="Malgun Gothic" w:hAnsi="Times New Roman" w:cs="Times New Roman"/>
          <w:iCs/>
          <w:sz w:val="24"/>
          <w:szCs w:val="24"/>
          <w:lang w:eastAsia="ko-KR"/>
        </w:rPr>
        <w:t>i</w:t>
      </w:r>
      <w:proofErr w:type="spellEnd"/>
      <w:r w:rsidRPr="006745F4">
        <w:rPr>
          <w:rFonts w:ascii="Times New Roman" w:eastAsia="Malgun Gothic" w:hAnsi="Times New Roman" w:cs="Times New Roman"/>
          <w:iCs/>
          <w:sz w:val="24"/>
          <w:szCs w:val="24"/>
          <w:lang w:eastAsia="ko-KR"/>
        </w:rPr>
        <w:t xml:space="preserve"> corresponds to males and females, j indexes countries, and t corresponds to year; </w:t>
      </w:r>
      <m:oMath>
        <m:r>
          <w:rPr>
            <w:rFonts w:ascii="Cambria Math" w:eastAsia="Malgun Gothic" w:hAnsi="Cambria Math" w:cs="Times New Roman"/>
            <w:sz w:val="24"/>
            <w:szCs w:val="24"/>
            <w:lang w:eastAsia="ko-KR"/>
          </w:rPr>
          <m:t>R</m:t>
        </m:r>
      </m:oMath>
      <w:r w:rsidRPr="006745F4">
        <w:rPr>
          <w:rFonts w:ascii="Times New Roman" w:eastAsia="Malgun Gothic" w:hAnsi="Times New Roman" w:cs="Times New Roman"/>
          <w:iCs/>
          <w:sz w:val="24"/>
          <w:szCs w:val="24"/>
          <w:lang w:eastAsia="ko-KR"/>
        </w:rPr>
        <w:t xml:space="preserve"> represents region-specific fixed effects that embody relevant but unobserved historical and institutional features of a region that are highly likely to be c</w:t>
      </w:r>
      <w:proofErr w:type="spellStart"/>
      <w:r w:rsidRPr="006745F4">
        <w:rPr>
          <w:rFonts w:ascii="Times New Roman" w:eastAsia="Malgun Gothic" w:hAnsi="Times New Roman" w:cs="Times New Roman"/>
          <w:iCs/>
          <w:sz w:val="24"/>
          <w:szCs w:val="24"/>
          <w:lang w:eastAsia="ko-KR"/>
        </w:rPr>
        <w:t>orrelated</w:t>
      </w:r>
      <w:proofErr w:type="spellEnd"/>
      <w:r w:rsidRPr="006745F4">
        <w:rPr>
          <w:rFonts w:ascii="Times New Roman" w:eastAsia="Malgun Gothic" w:hAnsi="Times New Roman" w:cs="Times New Roman"/>
          <w:iCs/>
          <w:sz w:val="24"/>
          <w:szCs w:val="24"/>
          <w:lang w:eastAsia="ko-KR"/>
        </w:rPr>
        <w:t xml:space="preserve"> with explanatory variables in the models; and </w:t>
      </w:r>
      <m:oMath>
        <m:r>
          <m:rPr>
            <m:sty m:val="p"/>
          </m:rPr>
          <w:rPr>
            <w:rFonts w:ascii="Cambria Math" w:eastAsia="Malgun Gothic" w:hAnsi="Cambria Math" w:cs="Times New Roman"/>
            <w:sz w:val="24"/>
            <w:szCs w:val="24"/>
            <w:lang w:eastAsia="ko-KR"/>
          </w:rPr>
          <m:t>ϵ</m:t>
        </m:r>
      </m:oMath>
      <w:r w:rsidRPr="006745F4">
        <w:rPr>
          <w:rFonts w:ascii="Times New Roman" w:eastAsia="Malgun Gothic" w:hAnsi="Times New Roman" w:cs="Times New Roman"/>
          <w:iCs/>
          <w:sz w:val="24"/>
          <w:szCs w:val="24"/>
          <w:lang w:eastAsia="ko-KR"/>
        </w:rPr>
        <w:t xml:space="preserve"> represents an error term. In this model, BMI is the age- and sex-specific body mass index (BMI). Age represents a vector of variables controlling age-related unobservable effects, Cohort is the year of birth, and EC represents the average daily excess of consumption of calories. Results </w:t>
      </w:r>
      <w:r w:rsidR="0068545D">
        <w:rPr>
          <w:rFonts w:ascii="Times New Roman" w:eastAsia="Malgun Gothic" w:hAnsi="Times New Roman" w:cs="Times New Roman"/>
          <w:iCs/>
          <w:sz w:val="24"/>
          <w:szCs w:val="24"/>
          <w:lang w:eastAsia="ko-KR"/>
        </w:rPr>
        <w:t xml:space="preserve">for </w:t>
      </w:r>
      <w:r w:rsidRPr="006745F4">
        <w:rPr>
          <w:rFonts w:ascii="Times New Roman" w:eastAsia="Malgun Gothic" w:hAnsi="Times New Roman" w:cs="Times New Roman"/>
          <w:iCs/>
          <w:sz w:val="24"/>
          <w:szCs w:val="24"/>
          <w:lang w:eastAsia="ko-KR"/>
        </w:rPr>
        <w:t xml:space="preserve">regressions </w:t>
      </w:r>
      <w:r w:rsidR="0068545D">
        <w:rPr>
          <w:rFonts w:ascii="Times New Roman" w:eastAsia="Malgun Gothic" w:hAnsi="Times New Roman" w:cs="Times New Roman"/>
          <w:iCs/>
          <w:sz w:val="24"/>
          <w:szCs w:val="24"/>
          <w:lang w:eastAsia="ko-KR"/>
        </w:rPr>
        <w:t xml:space="preserve">on </w:t>
      </w:r>
      <w:r w:rsidR="00032E02">
        <w:rPr>
          <w:rFonts w:ascii="Times New Roman" w:eastAsia="Malgun Gothic" w:hAnsi="Times New Roman" w:cs="Times New Roman"/>
          <w:iCs/>
          <w:sz w:val="24"/>
          <w:szCs w:val="24"/>
          <w:lang w:eastAsia="ko-KR"/>
        </w:rPr>
        <w:t>M</w:t>
      </w:r>
      <w:r w:rsidR="0068545D">
        <w:rPr>
          <w:rFonts w:ascii="Times New Roman" w:eastAsia="Malgun Gothic" w:hAnsi="Times New Roman" w:cs="Times New Roman"/>
          <w:iCs/>
          <w:sz w:val="24"/>
          <w:szCs w:val="24"/>
          <w:lang w:eastAsia="ko-KR"/>
        </w:rPr>
        <w:t xml:space="preserve">odel </w:t>
      </w:r>
      <w:r w:rsidR="00032E02">
        <w:rPr>
          <w:rFonts w:ascii="Times New Roman" w:eastAsia="Malgun Gothic" w:hAnsi="Times New Roman" w:cs="Times New Roman"/>
          <w:iCs/>
          <w:sz w:val="24"/>
          <w:szCs w:val="24"/>
          <w:lang w:eastAsia="ko-KR"/>
        </w:rPr>
        <w:t>1</w:t>
      </w:r>
      <w:r w:rsidRPr="006745F4">
        <w:rPr>
          <w:rFonts w:ascii="Times New Roman" w:eastAsia="Malgun Gothic" w:hAnsi="Times New Roman" w:cs="Times New Roman"/>
          <w:iCs/>
          <w:sz w:val="24"/>
          <w:szCs w:val="24"/>
          <w:lang w:eastAsia="ko-KR"/>
        </w:rPr>
        <w:t xml:space="preserve">are presented </w:t>
      </w:r>
      <w:r w:rsidR="00540558" w:rsidRPr="006745F4">
        <w:rPr>
          <w:rFonts w:ascii="Times New Roman" w:eastAsia="Malgun Gothic" w:hAnsi="Times New Roman" w:cs="Times New Roman"/>
          <w:iCs/>
          <w:sz w:val="24"/>
          <w:szCs w:val="24"/>
          <w:lang w:eastAsia="ko-KR"/>
        </w:rPr>
        <w:t xml:space="preserve">in </w:t>
      </w:r>
      <w:r w:rsidRPr="006745F4">
        <w:rPr>
          <w:rFonts w:ascii="Times New Roman" w:eastAsia="Malgun Gothic" w:hAnsi="Times New Roman" w:cs="Times New Roman"/>
          <w:b/>
          <w:bCs/>
          <w:iCs/>
          <w:sz w:val="24"/>
          <w:szCs w:val="24"/>
          <w:lang w:eastAsia="ko-KR"/>
        </w:rPr>
        <w:t>Table S1</w:t>
      </w:r>
      <w:r w:rsidR="00540558" w:rsidRPr="006745F4">
        <w:rPr>
          <w:rFonts w:ascii="Times New Roman" w:eastAsia="Malgun Gothic" w:hAnsi="Times New Roman" w:cs="Times New Roman"/>
          <w:iCs/>
          <w:sz w:val="24"/>
          <w:szCs w:val="24"/>
          <w:lang w:eastAsia="ko-KR"/>
        </w:rPr>
        <w:t xml:space="preserve">, </w:t>
      </w:r>
      <w:r w:rsidR="00540558" w:rsidRPr="006745F4">
        <w:rPr>
          <w:rFonts w:ascii="Times New Roman" w:eastAsia="Malgun Gothic" w:hAnsi="Times New Roman" w:cs="Times New Roman"/>
          <w:b/>
          <w:bCs/>
          <w:iCs/>
          <w:sz w:val="24"/>
          <w:szCs w:val="24"/>
          <w:lang w:eastAsia="ko-KR"/>
        </w:rPr>
        <w:t>Table S2</w:t>
      </w:r>
      <w:r w:rsidR="00540558" w:rsidRPr="006745F4">
        <w:rPr>
          <w:rFonts w:ascii="Times New Roman" w:eastAsia="Malgun Gothic" w:hAnsi="Times New Roman" w:cs="Times New Roman"/>
          <w:iCs/>
          <w:sz w:val="24"/>
          <w:szCs w:val="24"/>
          <w:lang w:eastAsia="ko-KR"/>
        </w:rPr>
        <w:t>,</w:t>
      </w:r>
      <w:r w:rsidRPr="006745F4">
        <w:rPr>
          <w:rFonts w:ascii="Times New Roman" w:eastAsia="Malgun Gothic" w:hAnsi="Times New Roman" w:cs="Times New Roman"/>
          <w:iCs/>
          <w:sz w:val="24"/>
          <w:szCs w:val="24"/>
          <w:lang w:eastAsia="ko-KR"/>
        </w:rPr>
        <w:t xml:space="preserve"> and </w:t>
      </w:r>
      <w:r w:rsidRPr="006745F4">
        <w:rPr>
          <w:rFonts w:ascii="Times New Roman" w:eastAsia="Malgun Gothic" w:hAnsi="Times New Roman" w:cs="Times New Roman"/>
          <w:b/>
          <w:bCs/>
          <w:iCs/>
          <w:sz w:val="24"/>
          <w:szCs w:val="24"/>
          <w:lang w:eastAsia="ko-KR"/>
        </w:rPr>
        <w:t>Figure S1</w:t>
      </w:r>
      <w:r w:rsidRPr="006745F4">
        <w:rPr>
          <w:rFonts w:ascii="Times New Roman" w:eastAsia="Malgun Gothic" w:hAnsi="Times New Roman" w:cs="Times New Roman"/>
          <w:iCs/>
          <w:sz w:val="24"/>
          <w:szCs w:val="24"/>
          <w:lang w:eastAsia="ko-KR"/>
        </w:rPr>
        <w:t>.</w:t>
      </w:r>
    </w:p>
    <w:p w14:paraId="51468136" w14:textId="700EEB43" w:rsidR="00B64840" w:rsidRPr="00B64840" w:rsidRDefault="006D5A82" w:rsidP="006D5A82">
      <w:pPr>
        <w:spacing w:after="0" w:line="240" w:lineRule="auto"/>
        <w:ind w:firstLine="360"/>
        <w:jc w:val="both"/>
        <w:rPr>
          <w:rFonts w:ascii="Times New Roman" w:eastAsia="Malgun Gothic" w:hAnsi="Times New Roman" w:cs="Times New Roman"/>
          <w:iCs/>
          <w:sz w:val="24"/>
          <w:szCs w:val="24"/>
          <w:lang w:eastAsia="ko-KR"/>
        </w:rPr>
      </w:pPr>
      <w:r w:rsidRPr="006D5A82">
        <w:rPr>
          <w:rFonts w:ascii="Times New Roman" w:eastAsia="Calibri" w:hAnsi="Times New Roman" w:cs="Times New Roman"/>
          <w:sz w:val="24"/>
          <w:szCs w:val="24"/>
        </w:rPr>
        <w:t xml:space="preserve">In the model 2 we </w:t>
      </w:r>
      <w:r w:rsidR="002E5BCB">
        <w:rPr>
          <w:rFonts w:ascii="Times New Roman" w:eastAsia="Calibri" w:hAnsi="Times New Roman" w:cs="Times New Roman"/>
          <w:sz w:val="24"/>
          <w:szCs w:val="24"/>
        </w:rPr>
        <w:t xml:space="preserve">further </w:t>
      </w:r>
      <w:r w:rsidRPr="006D5A82">
        <w:rPr>
          <w:rFonts w:ascii="Times New Roman" w:eastAsia="Calibri" w:hAnsi="Times New Roman" w:cs="Times New Roman"/>
          <w:sz w:val="24"/>
          <w:szCs w:val="24"/>
        </w:rPr>
        <w:t>investigate the specific role of ECA as driver of adult BMI in recent years incorporating a vector of controls for the changes in the food environment (i.e., income, rural population, health expenditure, etc.).</w:t>
      </w:r>
      <w:r>
        <w:rPr>
          <w:rFonts w:ascii="Times New Roman" w:eastAsia="Calibri" w:hAnsi="Times New Roman" w:cs="Times New Roman"/>
          <w:sz w:val="24"/>
          <w:szCs w:val="24"/>
        </w:rPr>
        <w:t xml:space="preserve"> </w:t>
      </w:r>
      <w:r w:rsidR="00B64840" w:rsidRPr="00B64840">
        <w:rPr>
          <w:rFonts w:ascii="Times New Roman" w:eastAsia="Calibri" w:hAnsi="Times New Roman" w:cs="Times New Roman"/>
          <w:sz w:val="24"/>
          <w:szCs w:val="24"/>
        </w:rPr>
        <w:t xml:space="preserve">Data for variables related to the changes in the food environment by country and year for the period 2000 2015, that is used in the different specifications of the models 4 and 5, come from the World Bank’s </w:t>
      </w:r>
      <w:proofErr w:type="spellStart"/>
      <w:r w:rsidR="00B64840" w:rsidRPr="00B64840">
        <w:rPr>
          <w:rFonts w:ascii="Times New Roman" w:eastAsia="Calibri" w:hAnsi="Times New Roman" w:cs="Times New Roman"/>
          <w:sz w:val="24"/>
          <w:szCs w:val="24"/>
        </w:rPr>
        <w:t>DataBank</w:t>
      </w:r>
      <w:proofErr w:type="spellEnd"/>
      <w:r w:rsidR="00B64840" w:rsidRPr="00B64840">
        <w:rPr>
          <w:rFonts w:ascii="Times New Roman" w:eastAsia="Calibri" w:hAnsi="Times New Roman" w:cs="Times New Roman"/>
          <w:sz w:val="24"/>
          <w:szCs w:val="24"/>
        </w:rPr>
        <w:t xml:space="preserve"> (</w:t>
      </w:r>
      <w:hyperlink r:id="rId11" w:history="1">
        <w:r w:rsidR="00B64840" w:rsidRPr="00B64840">
          <w:rPr>
            <w:rFonts w:ascii="Times New Roman" w:eastAsia="Calibri" w:hAnsi="Times New Roman" w:cs="Times New Roman"/>
            <w:color w:val="0563C1"/>
            <w:sz w:val="24"/>
            <w:szCs w:val="24"/>
            <w:u w:val="single"/>
          </w:rPr>
          <w:t>https://databank.worldbank.org/home.aspx</w:t>
        </w:r>
      </w:hyperlink>
      <w:r w:rsidR="00B64840" w:rsidRPr="00B64840">
        <w:rPr>
          <w:rFonts w:ascii="Times New Roman" w:eastAsia="Calibri" w:hAnsi="Times New Roman" w:cs="Times New Roman"/>
          <w:sz w:val="24"/>
          <w:szCs w:val="24"/>
        </w:rPr>
        <w:t xml:space="preserve">). </w:t>
      </w:r>
      <w:proofErr w:type="spellStart"/>
      <w:r w:rsidR="00B64840" w:rsidRPr="00B64840">
        <w:rPr>
          <w:rFonts w:ascii="Times New Roman" w:eastAsia="Calibri" w:hAnsi="Times New Roman" w:cs="Times New Roman"/>
          <w:sz w:val="24"/>
          <w:szCs w:val="24"/>
        </w:rPr>
        <w:t>DataBank</w:t>
      </w:r>
      <w:proofErr w:type="spellEnd"/>
      <w:r w:rsidR="00B64840" w:rsidRPr="00B64840">
        <w:rPr>
          <w:rFonts w:ascii="Times New Roman" w:eastAsia="Calibri" w:hAnsi="Times New Roman" w:cs="Times New Roman"/>
          <w:sz w:val="24"/>
          <w:szCs w:val="24"/>
        </w:rPr>
        <w:t xml:space="preserve"> is an analysis and visualization tool that contains collections of time series data on a variety of topics. This online web resource provides easy and quick access to collections of time series data for most countries in the world. In addition, it has advanced functions for selecting and displaying data, performing customized queries, downloading data, and creating charts and maps which makes this web platform an ideal tool to create dynamic custom reports based on a selection of countries, indicators, and years.</w:t>
      </w:r>
    </w:p>
    <w:p w14:paraId="389AC2FF" w14:textId="77777777" w:rsidR="00CA655C" w:rsidRPr="006745F4" w:rsidRDefault="00CA655C" w:rsidP="006745F4">
      <w:pPr>
        <w:spacing w:after="0" w:line="240" w:lineRule="auto"/>
        <w:ind w:firstLine="360"/>
        <w:jc w:val="both"/>
        <w:rPr>
          <w:rFonts w:ascii="Times New Roman" w:eastAsia="Malgun Gothic" w:hAnsi="Times New Roman" w:cs="Times New Roman"/>
          <w:iCs/>
          <w:sz w:val="24"/>
          <w:szCs w:val="24"/>
          <w:lang w:eastAsia="ko-KR"/>
        </w:rPr>
      </w:pPr>
    </w:p>
    <w:p w14:paraId="32F8E7ED" w14:textId="77777777" w:rsidR="00D3605A" w:rsidRPr="00D3605A" w:rsidRDefault="00D3605A" w:rsidP="00D3605A">
      <w:pPr>
        <w:spacing w:after="0" w:line="360" w:lineRule="auto"/>
        <w:ind w:firstLine="576"/>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br w:type="page"/>
      </w:r>
    </w:p>
    <w:p w14:paraId="49D3F002" w14:textId="61562773" w:rsidR="00D3605A" w:rsidRPr="00D3605A" w:rsidRDefault="00D3605A" w:rsidP="001645F6">
      <w:pPr>
        <w:pStyle w:val="Descripcin"/>
        <w:rPr>
          <w:rFonts w:ascii="Times New Roman" w:eastAsia="Malgun Gothic" w:hAnsi="Times New Roman" w:cs="Times New Roman"/>
          <w:b/>
          <w:i w:val="0"/>
          <w:iCs w:val="0"/>
          <w:color w:val="auto"/>
          <w:sz w:val="24"/>
          <w:szCs w:val="24"/>
          <w:lang w:eastAsia="ko-KR"/>
        </w:rPr>
      </w:pPr>
      <w:bookmarkStart w:id="4" w:name="_Ref75608021"/>
      <w:bookmarkStart w:id="5" w:name="_Toc97739553"/>
      <w:r w:rsidRPr="00D3605A">
        <w:rPr>
          <w:rFonts w:ascii="Times New Roman" w:eastAsia="Malgun Gothic" w:hAnsi="Times New Roman" w:cs="Times New Roman"/>
          <w:b/>
          <w:i w:val="0"/>
          <w:iCs w:val="0"/>
          <w:color w:val="auto"/>
          <w:sz w:val="24"/>
          <w:szCs w:val="24"/>
          <w:lang w:eastAsia="ko-KR"/>
        </w:rPr>
        <w:lastRenderedPageBreak/>
        <w:t xml:space="preserve">Table </w:t>
      </w:r>
      <w:bookmarkEnd w:id="4"/>
      <w:r w:rsidR="00670F02" w:rsidRPr="001645F6">
        <w:rPr>
          <w:rFonts w:ascii="Times New Roman" w:eastAsia="Malgun Gothic" w:hAnsi="Times New Roman" w:cs="Times New Roman"/>
          <w:b/>
          <w:i w:val="0"/>
          <w:iCs w:val="0"/>
          <w:color w:val="auto"/>
          <w:sz w:val="24"/>
          <w:szCs w:val="24"/>
          <w:lang w:eastAsia="ko-KR"/>
        </w:rPr>
        <w:t>S</w:t>
      </w:r>
      <w:r w:rsidR="001645F6" w:rsidRPr="001645F6">
        <w:rPr>
          <w:rFonts w:ascii="Times New Roman" w:hAnsi="Times New Roman" w:cs="Times New Roman"/>
          <w:b/>
          <w:i w:val="0"/>
          <w:iCs w:val="0"/>
          <w:color w:val="auto"/>
          <w:sz w:val="24"/>
          <w:szCs w:val="24"/>
        </w:rPr>
        <w:fldChar w:fldCharType="begin"/>
      </w:r>
      <w:r w:rsidR="001645F6" w:rsidRPr="001645F6">
        <w:rPr>
          <w:rFonts w:ascii="Times New Roman" w:hAnsi="Times New Roman" w:cs="Times New Roman"/>
          <w:b/>
          <w:i w:val="0"/>
          <w:iCs w:val="0"/>
          <w:color w:val="auto"/>
          <w:sz w:val="24"/>
          <w:szCs w:val="24"/>
        </w:rPr>
        <w:instrText xml:space="preserve"> SEQ Table_S \* ARABIC </w:instrText>
      </w:r>
      <w:r w:rsidR="001645F6" w:rsidRPr="001645F6">
        <w:rPr>
          <w:rFonts w:ascii="Times New Roman" w:hAnsi="Times New Roman" w:cs="Times New Roman"/>
          <w:b/>
          <w:i w:val="0"/>
          <w:iCs w:val="0"/>
          <w:color w:val="auto"/>
          <w:sz w:val="24"/>
          <w:szCs w:val="24"/>
        </w:rPr>
        <w:fldChar w:fldCharType="separate"/>
      </w:r>
      <w:r w:rsidR="00473FA6">
        <w:rPr>
          <w:rFonts w:ascii="Times New Roman" w:hAnsi="Times New Roman" w:cs="Times New Roman"/>
          <w:b/>
          <w:i w:val="0"/>
          <w:iCs w:val="0"/>
          <w:noProof/>
          <w:color w:val="auto"/>
          <w:sz w:val="24"/>
          <w:szCs w:val="24"/>
        </w:rPr>
        <w:t>1</w:t>
      </w:r>
      <w:r w:rsidR="001645F6" w:rsidRPr="001645F6">
        <w:rPr>
          <w:rFonts w:ascii="Times New Roman" w:hAnsi="Times New Roman" w:cs="Times New Roman"/>
          <w:b/>
          <w:i w:val="0"/>
          <w:iCs w:val="0"/>
          <w:color w:val="auto"/>
          <w:sz w:val="24"/>
          <w:szCs w:val="24"/>
        </w:rPr>
        <w:fldChar w:fldCharType="end"/>
      </w:r>
      <w:r w:rsidR="00670F02" w:rsidRPr="001645F6">
        <w:rPr>
          <w:rFonts w:ascii="Times New Roman" w:eastAsia="Malgun Gothic" w:hAnsi="Times New Roman" w:cs="Times New Roman"/>
          <w:b/>
          <w:i w:val="0"/>
          <w:iCs w:val="0"/>
          <w:color w:val="auto"/>
          <w:sz w:val="24"/>
          <w:szCs w:val="24"/>
          <w:lang w:eastAsia="ko-KR"/>
        </w:rPr>
        <w:t>.</w:t>
      </w:r>
      <w:r w:rsidRPr="00D3605A">
        <w:rPr>
          <w:rFonts w:ascii="Times New Roman" w:eastAsia="Malgun Gothic" w:hAnsi="Times New Roman" w:cs="Times New Roman"/>
          <w:b/>
          <w:i w:val="0"/>
          <w:iCs w:val="0"/>
          <w:color w:val="auto"/>
          <w:sz w:val="24"/>
          <w:szCs w:val="24"/>
          <w:lang w:eastAsia="ko-KR"/>
        </w:rPr>
        <w:t xml:space="preserve"> Results for LSDV regressions on Model 1 for adult women and men.</w:t>
      </w:r>
      <w:bookmarkEnd w:id="5"/>
    </w:p>
    <w:tbl>
      <w:tblPr>
        <w:tblW w:w="9304" w:type="dxa"/>
        <w:tblLook w:val="04A0" w:firstRow="1" w:lastRow="0" w:firstColumn="1" w:lastColumn="0" w:noHBand="0" w:noVBand="1"/>
      </w:tblPr>
      <w:tblGrid>
        <w:gridCol w:w="1510"/>
        <w:gridCol w:w="1513"/>
        <w:gridCol w:w="1856"/>
        <w:gridCol w:w="1146"/>
        <w:gridCol w:w="292"/>
        <w:gridCol w:w="1939"/>
        <w:gridCol w:w="1048"/>
      </w:tblGrid>
      <w:tr w:rsidR="00D3605A" w:rsidRPr="00D3605A" w14:paraId="6B5D1A5B" w14:textId="77777777" w:rsidTr="00994AE3">
        <w:trPr>
          <w:trHeight w:val="256"/>
        </w:trPr>
        <w:tc>
          <w:tcPr>
            <w:tcW w:w="1510" w:type="dxa"/>
            <w:vMerge w:val="restart"/>
            <w:tcBorders>
              <w:top w:val="nil"/>
              <w:left w:val="nil"/>
              <w:bottom w:val="single" w:sz="8" w:space="0" w:color="000000"/>
              <w:right w:val="nil"/>
            </w:tcBorders>
            <w:shd w:val="clear" w:color="auto" w:fill="auto"/>
            <w:noWrap/>
            <w:vAlign w:val="center"/>
            <w:hideMark/>
          </w:tcPr>
          <w:p w14:paraId="62AB6A7F"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Variable</w:t>
            </w:r>
          </w:p>
        </w:tc>
        <w:tc>
          <w:tcPr>
            <w:tcW w:w="1513" w:type="dxa"/>
            <w:tcBorders>
              <w:top w:val="nil"/>
              <w:left w:val="nil"/>
              <w:bottom w:val="nil"/>
              <w:right w:val="nil"/>
            </w:tcBorders>
            <w:shd w:val="clear" w:color="auto" w:fill="auto"/>
            <w:noWrap/>
            <w:vAlign w:val="bottom"/>
            <w:hideMark/>
          </w:tcPr>
          <w:p w14:paraId="652167F2"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3002" w:type="dxa"/>
            <w:gridSpan w:val="2"/>
            <w:tcBorders>
              <w:top w:val="nil"/>
              <w:left w:val="nil"/>
              <w:bottom w:val="single" w:sz="8" w:space="0" w:color="auto"/>
              <w:right w:val="nil"/>
            </w:tcBorders>
            <w:shd w:val="clear" w:color="auto" w:fill="auto"/>
            <w:noWrap/>
            <w:vAlign w:val="bottom"/>
            <w:hideMark/>
          </w:tcPr>
          <w:p w14:paraId="4D9D98A3"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women</w:t>
            </w:r>
          </w:p>
        </w:tc>
        <w:tc>
          <w:tcPr>
            <w:tcW w:w="292" w:type="dxa"/>
            <w:tcBorders>
              <w:top w:val="nil"/>
              <w:left w:val="nil"/>
              <w:bottom w:val="nil"/>
              <w:right w:val="nil"/>
            </w:tcBorders>
            <w:shd w:val="clear" w:color="auto" w:fill="auto"/>
            <w:noWrap/>
            <w:vAlign w:val="bottom"/>
            <w:hideMark/>
          </w:tcPr>
          <w:p w14:paraId="31F58A5F"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2987" w:type="dxa"/>
            <w:gridSpan w:val="2"/>
            <w:tcBorders>
              <w:top w:val="nil"/>
              <w:left w:val="nil"/>
              <w:bottom w:val="single" w:sz="8" w:space="0" w:color="auto"/>
              <w:right w:val="nil"/>
            </w:tcBorders>
            <w:shd w:val="clear" w:color="auto" w:fill="auto"/>
            <w:noWrap/>
            <w:vAlign w:val="bottom"/>
            <w:hideMark/>
          </w:tcPr>
          <w:p w14:paraId="33CA1A3B"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men</w:t>
            </w:r>
          </w:p>
        </w:tc>
      </w:tr>
      <w:tr w:rsidR="00D3605A" w:rsidRPr="00D3605A" w14:paraId="37033491" w14:textId="77777777" w:rsidTr="00994AE3">
        <w:trPr>
          <w:trHeight w:val="256"/>
        </w:trPr>
        <w:tc>
          <w:tcPr>
            <w:tcW w:w="1510" w:type="dxa"/>
            <w:vMerge/>
            <w:tcBorders>
              <w:top w:val="nil"/>
              <w:left w:val="nil"/>
              <w:bottom w:val="single" w:sz="8" w:space="0" w:color="000000"/>
              <w:right w:val="nil"/>
            </w:tcBorders>
            <w:vAlign w:val="center"/>
            <w:hideMark/>
          </w:tcPr>
          <w:p w14:paraId="6DC8F57D"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517EB3EC"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856" w:type="dxa"/>
            <w:tcBorders>
              <w:top w:val="nil"/>
              <w:left w:val="nil"/>
              <w:bottom w:val="nil"/>
              <w:right w:val="nil"/>
            </w:tcBorders>
            <w:shd w:val="clear" w:color="auto" w:fill="auto"/>
            <w:noWrap/>
            <w:vAlign w:val="bottom"/>
            <w:hideMark/>
          </w:tcPr>
          <w:p w14:paraId="04C933C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coefficient</w:t>
            </w:r>
          </w:p>
        </w:tc>
        <w:tc>
          <w:tcPr>
            <w:tcW w:w="1146" w:type="dxa"/>
            <w:tcBorders>
              <w:top w:val="nil"/>
              <w:left w:val="nil"/>
              <w:bottom w:val="nil"/>
              <w:right w:val="nil"/>
            </w:tcBorders>
            <w:shd w:val="clear" w:color="auto" w:fill="auto"/>
            <w:noWrap/>
            <w:vAlign w:val="bottom"/>
            <w:hideMark/>
          </w:tcPr>
          <w:p w14:paraId="35D471B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roofErr w:type="spellStart"/>
            <w:r w:rsidRPr="00D3605A">
              <w:rPr>
                <w:rFonts w:ascii="Times New Roman" w:eastAsia="Malgun Gothic" w:hAnsi="Times New Roman" w:cs="Times New Roman"/>
                <w:color w:val="000000"/>
                <w:sz w:val="24"/>
                <w:szCs w:val="24"/>
                <w:lang w:eastAsia="ko-KR"/>
              </w:rPr>
              <w:t>p_value</w:t>
            </w:r>
            <w:proofErr w:type="spellEnd"/>
          </w:p>
        </w:tc>
        <w:tc>
          <w:tcPr>
            <w:tcW w:w="292" w:type="dxa"/>
            <w:tcBorders>
              <w:top w:val="nil"/>
              <w:left w:val="nil"/>
              <w:bottom w:val="nil"/>
              <w:right w:val="nil"/>
            </w:tcBorders>
            <w:shd w:val="clear" w:color="auto" w:fill="auto"/>
            <w:noWrap/>
            <w:vAlign w:val="bottom"/>
            <w:hideMark/>
          </w:tcPr>
          <w:p w14:paraId="321AA50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433A2F46"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coefficient</w:t>
            </w:r>
          </w:p>
        </w:tc>
        <w:tc>
          <w:tcPr>
            <w:tcW w:w="1048" w:type="dxa"/>
            <w:tcBorders>
              <w:top w:val="nil"/>
              <w:left w:val="nil"/>
              <w:bottom w:val="nil"/>
              <w:right w:val="nil"/>
            </w:tcBorders>
            <w:shd w:val="clear" w:color="auto" w:fill="auto"/>
            <w:noWrap/>
            <w:vAlign w:val="bottom"/>
            <w:hideMark/>
          </w:tcPr>
          <w:p w14:paraId="2A34649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p-value</w:t>
            </w:r>
          </w:p>
        </w:tc>
      </w:tr>
      <w:tr w:rsidR="00D3605A" w:rsidRPr="00D3605A" w14:paraId="6BE6539A" w14:textId="77777777" w:rsidTr="00994AE3">
        <w:trPr>
          <w:trHeight w:val="256"/>
        </w:trPr>
        <w:tc>
          <w:tcPr>
            <w:tcW w:w="1510" w:type="dxa"/>
            <w:tcBorders>
              <w:top w:val="nil"/>
              <w:left w:val="nil"/>
              <w:bottom w:val="single" w:sz="8" w:space="0" w:color="auto"/>
              <w:right w:val="nil"/>
            </w:tcBorders>
            <w:shd w:val="clear" w:color="auto" w:fill="auto"/>
            <w:noWrap/>
            <w:vAlign w:val="bottom"/>
            <w:hideMark/>
          </w:tcPr>
          <w:p w14:paraId="11047E5D" w14:textId="377722F4"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EC</w:t>
            </w:r>
          </w:p>
        </w:tc>
        <w:tc>
          <w:tcPr>
            <w:tcW w:w="1513" w:type="dxa"/>
            <w:tcBorders>
              <w:top w:val="single" w:sz="8" w:space="0" w:color="auto"/>
              <w:left w:val="nil"/>
              <w:bottom w:val="single" w:sz="8" w:space="0" w:color="auto"/>
              <w:right w:val="nil"/>
            </w:tcBorders>
            <w:shd w:val="clear" w:color="auto" w:fill="auto"/>
            <w:noWrap/>
            <w:vAlign w:val="bottom"/>
            <w:hideMark/>
          </w:tcPr>
          <w:p w14:paraId="7470678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1856" w:type="dxa"/>
            <w:tcBorders>
              <w:top w:val="single" w:sz="8" w:space="0" w:color="auto"/>
              <w:left w:val="nil"/>
              <w:bottom w:val="single" w:sz="8" w:space="0" w:color="auto"/>
              <w:right w:val="nil"/>
            </w:tcBorders>
            <w:shd w:val="clear" w:color="auto" w:fill="auto"/>
            <w:noWrap/>
            <w:vAlign w:val="bottom"/>
            <w:hideMark/>
          </w:tcPr>
          <w:p w14:paraId="1740E3F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0.0002158*</w:t>
            </w:r>
          </w:p>
        </w:tc>
        <w:tc>
          <w:tcPr>
            <w:tcW w:w="1146" w:type="dxa"/>
            <w:tcBorders>
              <w:top w:val="single" w:sz="8" w:space="0" w:color="auto"/>
              <w:left w:val="nil"/>
              <w:bottom w:val="single" w:sz="8" w:space="0" w:color="auto"/>
              <w:right w:val="nil"/>
            </w:tcBorders>
            <w:shd w:val="clear" w:color="auto" w:fill="auto"/>
            <w:noWrap/>
            <w:vAlign w:val="bottom"/>
            <w:hideMark/>
          </w:tcPr>
          <w:p w14:paraId="2F77261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0.055</w:t>
            </w:r>
          </w:p>
        </w:tc>
        <w:tc>
          <w:tcPr>
            <w:tcW w:w="292" w:type="dxa"/>
            <w:tcBorders>
              <w:top w:val="single" w:sz="8" w:space="0" w:color="auto"/>
              <w:left w:val="nil"/>
              <w:bottom w:val="single" w:sz="8" w:space="0" w:color="auto"/>
              <w:right w:val="nil"/>
            </w:tcBorders>
            <w:shd w:val="clear" w:color="auto" w:fill="auto"/>
            <w:noWrap/>
            <w:vAlign w:val="bottom"/>
            <w:hideMark/>
          </w:tcPr>
          <w:p w14:paraId="08FC4D1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1939" w:type="dxa"/>
            <w:tcBorders>
              <w:top w:val="single" w:sz="8" w:space="0" w:color="auto"/>
              <w:left w:val="nil"/>
              <w:bottom w:val="single" w:sz="8" w:space="0" w:color="auto"/>
              <w:right w:val="nil"/>
            </w:tcBorders>
            <w:shd w:val="clear" w:color="auto" w:fill="auto"/>
            <w:noWrap/>
            <w:vAlign w:val="bottom"/>
            <w:hideMark/>
          </w:tcPr>
          <w:p w14:paraId="522743C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0.0003725***</w:t>
            </w:r>
          </w:p>
        </w:tc>
        <w:tc>
          <w:tcPr>
            <w:tcW w:w="1048" w:type="dxa"/>
            <w:tcBorders>
              <w:top w:val="single" w:sz="8" w:space="0" w:color="auto"/>
              <w:left w:val="nil"/>
              <w:bottom w:val="single" w:sz="8" w:space="0" w:color="auto"/>
              <w:right w:val="nil"/>
            </w:tcBorders>
            <w:shd w:val="clear" w:color="auto" w:fill="auto"/>
            <w:noWrap/>
            <w:vAlign w:val="bottom"/>
            <w:hideMark/>
          </w:tcPr>
          <w:p w14:paraId="4760E96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406F3F74" w14:textId="77777777" w:rsidTr="00994AE3">
        <w:trPr>
          <w:trHeight w:val="244"/>
        </w:trPr>
        <w:tc>
          <w:tcPr>
            <w:tcW w:w="1510" w:type="dxa"/>
            <w:vMerge w:val="restart"/>
            <w:tcBorders>
              <w:top w:val="nil"/>
              <w:left w:val="nil"/>
              <w:bottom w:val="single" w:sz="8" w:space="0" w:color="000000"/>
              <w:right w:val="nil"/>
            </w:tcBorders>
            <w:shd w:val="clear" w:color="auto" w:fill="auto"/>
            <w:noWrap/>
            <w:vAlign w:val="center"/>
            <w:hideMark/>
          </w:tcPr>
          <w:p w14:paraId="7E223693"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Age group</w:t>
            </w:r>
          </w:p>
        </w:tc>
        <w:tc>
          <w:tcPr>
            <w:tcW w:w="1513" w:type="dxa"/>
            <w:tcBorders>
              <w:top w:val="nil"/>
              <w:left w:val="nil"/>
              <w:bottom w:val="nil"/>
              <w:right w:val="nil"/>
            </w:tcBorders>
            <w:shd w:val="clear" w:color="auto" w:fill="auto"/>
            <w:noWrap/>
            <w:vAlign w:val="bottom"/>
            <w:hideMark/>
          </w:tcPr>
          <w:p w14:paraId="01949A8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25</w:t>
            </w:r>
          </w:p>
        </w:tc>
        <w:tc>
          <w:tcPr>
            <w:tcW w:w="1856" w:type="dxa"/>
            <w:tcBorders>
              <w:top w:val="nil"/>
              <w:left w:val="nil"/>
              <w:bottom w:val="nil"/>
              <w:right w:val="nil"/>
            </w:tcBorders>
            <w:shd w:val="clear" w:color="auto" w:fill="auto"/>
            <w:noWrap/>
            <w:vAlign w:val="bottom"/>
            <w:hideMark/>
          </w:tcPr>
          <w:p w14:paraId="3CF8903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1.102923***</w:t>
            </w:r>
          </w:p>
        </w:tc>
        <w:tc>
          <w:tcPr>
            <w:tcW w:w="1146" w:type="dxa"/>
            <w:tcBorders>
              <w:top w:val="nil"/>
              <w:left w:val="nil"/>
              <w:bottom w:val="nil"/>
              <w:right w:val="nil"/>
            </w:tcBorders>
            <w:shd w:val="clear" w:color="auto" w:fill="auto"/>
            <w:noWrap/>
            <w:vAlign w:val="bottom"/>
            <w:hideMark/>
          </w:tcPr>
          <w:p w14:paraId="26C0AAA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485EA6F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1939" w:type="dxa"/>
            <w:tcBorders>
              <w:top w:val="nil"/>
              <w:left w:val="nil"/>
              <w:bottom w:val="nil"/>
              <w:right w:val="nil"/>
            </w:tcBorders>
            <w:shd w:val="clear" w:color="auto" w:fill="auto"/>
            <w:noWrap/>
            <w:vAlign w:val="bottom"/>
            <w:hideMark/>
          </w:tcPr>
          <w:p w14:paraId="7238790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1.195964***</w:t>
            </w:r>
          </w:p>
        </w:tc>
        <w:tc>
          <w:tcPr>
            <w:tcW w:w="1048" w:type="dxa"/>
            <w:tcBorders>
              <w:top w:val="nil"/>
              <w:left w:val="nil"/>
              <w:bottom w:val="nil"/>
              <w:right w:val="nil"/>
            </w:tcBorders>
            <w:shd w:val="clear" w:color="auto" w:fill="auto"/>
            <w:noWrap/>
            <w:vAlign w:val="bottom"/>
            <w:hideMark/>
          </w:tcPr>
          <w:p w14:paraId="7B888BF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6433ACBB" w14:textId="77777777" w:rsidTr="00994AE3">
        <w:trPr>
          <w:trHeight w:val="244"/>
        </w:trPr>
        <w:tc>
          <w:tcPr>
            <w:tcW w:w="1510" w:type="dxa"/>
            <w:vMerge/>
            <w:tcBorders>
              <w:top w:val="nil"/>
              <w:left w:val="nil"/>
              <w:bottom w:val="single" w:sz="8" w:space="0" w:color="000000"/>
              <w:right w:val="nil"/>
            </w:tcBorders>
            <w:vAlign w:val="center"/>
            <w:hideMark/>
          </w:tcPr>
          <w:p w14:paraId="06E21731"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2AA0624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30</w:t>
            </w:r>
          </w:p>
        </w:tc>
        <w:tc>
          <w:tcPr>
            <w:tcW w:w="1856" w:type="dxa"/>
            <w:tcBorders>
              <w:top w:val="nil"/>
              <w:left w:val="nil"/>
              <w:bottom w:val="nil"/>
              <w:right w:val="nil"/>
            </w:tcBorders>
            <w:shd w:val="clear" w:color="auto" w:fill="auto"/>
            <w:noWrap/>
            <w:vAlign w:val="bottom"/>
            <w:hideMark/>
          </w:tcPr>
          <w:p w14:paraId="65E82A5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2.198653***</w:t>
            </w:r>
          </w:p>
        </w:tc>
        <w:tc>
          <w:tcPr>
            <w:tcW w:w="1146" w:type="dxa"/>
            <w:tcBorders>
              <w:top w:val="nil"/>
              <w:left w:val="nil"/>
              <w:bottom w:val="nil"/>
              <w:right w:val="nil"/>
            </w:tcBorders>
            <w:shd w:val="clear" w:color="auto" w:fill="auto"/>
            <w:noWrap/>
            <w:vAlign w:val="bottom"/>
            <w:hideMark/>
          </w:tcPr>
          <w:p w14:paraId="16AC596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6CEF183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2B81C91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2.182427***</w:t>
            </w:r>
          </w:p>
        </w:tc>
        <w:tc>
          <w:tcPr>
            <w:tcW w:w="1048" w:type="dxa"/>
            <w:tcBorders>
              <w:top w:val="nil"/>
              <w:left w:val="nil"/>
              <w:bottom w:val="nil"/>
              <w:right w:val="nil"/>
            </w:tcBorders>
            <w:shd w:val="clear" w:color="auto" w:fill="auto"/>
            <w:noWrap/>
            <w:vAlign w:val="bottom"/>
            <w:hideMark/>
          </w:tcPr>
          <w:p w14:paraId="2D0CEED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3876325B" w14:textId="77777777" w:rsidTr="00994AE3">
        <w:trPr>
          <w:trHeight w:val="244"/>
        </w:trPr>
        <w:tc>
          <w:tcPr>
            <w:tcW w:w="1510" w:type="dxa"/>
            <w:vMerge/>
            <w:tcBorders>
              <w:top w:val="nil"/>
              <w:left w:val="nil"/>
              <w:bottom w:val="single" w:sz="8" w:space="0" w:color="000000"/>
              <w:right w:val="nil"/>
            </w:tcBorders>
            <w:vAlign w:val="center"/>
            <w:hideMark/>
          </w:tcPr>
          <w:p w14:paraId="2D768117"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36430C3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35</w:t>
            </w:r>
          </w:p>
        </w:tc>
        <w:tc>
          <w:tcPr>
            <w:tcW w:w="1856" w:type="dxa"/>
            <w:tcBorders>
              <w:top w:val="nil"/>
              <w:left w:val="nil"/>
              <w:bottom w:val="nil"/>
              <w:right w:val="nil"/>
            </w:tcBorders>
            <w:shd w:val="clear" w:color="auto" w:fill="auto"/>
            <w:noWrap/>
            <w:vAlign w:val="bottom"/>
            <w:hideMark/>
          </w:tcPr>
          <w:p w14:paraId="4537C6E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3.249096***</w:t>
            </w:r>
          </w:p>
        </w:tc>
        <w:tc>
          <w:tcPr>
            <w:tcW w:w="1146" w:type="dxa"/>
            <w:tcBorders>
              <w:top w:val="nil"/>
              <w:left w:val="nil"/>
              <w:bottom w:val="nil"/>
              <w:right w:val="nil"/>
            </w:tcBorders>
            <w:shd w:val="clear" w:color="auto" w:fill="auto"/>
            <w:noWrap/>
            <w:vAlign w:val="bottom"/>
            <w:hideMark/>
          </w:tcPr>
          <w:p w14:paraId="07D5BB7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2D84DB1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5CD67AB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2.992504***</w:t>
            </w:r>
          </w:p>
        </w:tc>
        <w:tc>
          <w:tcPr>
            <w:tcW w:w="1048" w:type="dxa"/>
            <w:tcBorders>
              <w:top w:val="nil"/>
              <w:left w:val="nil"/>
              <w:bottom w:val="nil"/>
              <w:right w:val="nil"/>
            </w:tcBorders>
            <w:shd w:val="clear" w:color="auto" w:fill="auto"/>
            <w:noWrap/>
            <w:vAlign w:val="bottom"/>
            <w:hideMark/>
          </w:tcPr>
          <w:p w14:paraId="2B2EAB8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5521DE6B" w14:textId="77777777" w:rsidTr="00994AE3">
        <w:trPr>
          <w:trHeight w:val="244"/>
        </w:trPr>
        <w:tc>
          <w:tcPr>
            <w:tcW w:w="1510" w:type="dxa"/>
            <w:vMerge/>
            <w:tcBorders>
              <w:top w:val="nil"/>
              <w:left w:val="nil"/>
              <w:bottom w:val="single" w:sz="8" w:space="0" w:color="000000"/>
              <w:right w:val="nil"/>
            </w:tcBorders>
            <w:vAlign w:val="center"/>
            <w:hideMark/>
          </w:tcPr>
          <w:p w14:paraId="29769345"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44FC791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40</w:t>
            </w:r>
          </w:p>
        </w:tc>
        <w:tc>
          <w:tcPr>
            <w:tcW w:w="1856" w:type="dxa"/>
            <w:tcBorders>
              <w:top w:val="nil"/>
              <w:left w:val="nil"/>
              <w:bottom w:val="nil"/>
              <w:right w:val="nil"/>
            </w:tcBorders>
            <w:shd w:val="clear" w:color="auto" w:fill="auto"/>
            <w:noWrap/>
            <w:vAlign w:val="bottom"/>
            <w:hideMark/>
          </w:tcPr>
          <w:p w14:paraId="24BF061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4.216125***</w:t>
            </w:r>
          </w:p>
        </w:tc>
        <w:tc>
          <w:tcPr>
            <w:tcW w:w="1146" w:type="dxa"/>
            <w:tcBorders>
              <w:top w:val="nil"/>
              <w:left w:val="nil"/>
              <w:bottom w:val="nil"/>
              <w:right w:val="nil"/>
            </w:tcBorders>
            <w:shd w:val="clear" w:color="auto" w:fill="auto"/>
            <w:noWrap/>
            <w:vAlign w:val="bottom"/>
            <w:hideMark/>
          </w:tcPr>
          <w:p w14:paraId="4F5A18F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4E7CAFC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2070E67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3.660322***</w:t>
            </w:r>
          </w:p>
        </w:tc>
        <w:tc>
          <w:tcPr>
            <w:tcW w:w="1048" w:type="dxa"/>
            <w:tcBorders>
              <w:top w:val="nil"/>
              <w:left w:val="nil"/>
              <w:bottom w:val="nil"/>
              <w:right w:val="nil"/>
            </w:tcBorders>
            <w:shd w:val="clear" w:color="auto" w:fill="auto"/>
            <w:noWrap/>
            <w:vAlign w:val="bottom"/>
            <w:hideMark/>
          </w:tcPr>
          <w:p w14:paraId="26458C3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6FADD47E" w14:textId="77777777" w:rsidTr="00994AE3">
        <w:trPr>
          <w:trHeight w:val="244"/>
        </w:trPr>
        <w:tc>
          <w:tcPr>
            <w:tcW w:w="1510" w:type="dxa"/>
            <w:vMerge/>
            <w:tcBorders>
              <w:top w:val="nil"/>
              <w:left w:val="nil"/>
              <w:bottom w:val="single" w:sz="8" w:space="0" w:color="000000"/>
              <w:right w:val="nil"/>
            </w:tcBorders>
            <w:vAlign w:val="center"/>
            <w:hideMark/>
          </w:tcPr>
          <w:p w14:paraId="0F5E9C0B"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3B951E6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45</w:t>
            </w:r>
          </w:p>
        </w:tc>
        <w:tc>
          <w:tcPr>
            <w:tcW w:w="1856" w:type="dxa"/>
            <w:tcBorders>
              <w:top w:val="nil"/>
              <w:left w:val="nil"/>
              <w:bottom w:val="nil"/>
              <w:right w:val="nil"/>
            </w:tcBorders>
            <w:shd w:val="clear" w:color="auto" w:fill="auto"/>
            <w:noWrap/>
            <w:vAlign w:val="bottom"/>
            <w:hideMark/>
          </w:tcPr>
          <w:p w14:paraId="62BCF990"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5.062172***</w:t>
            </w:r>
          </w:p>
        </w:tc>
        <w:tc>
          <w:tcPr>
            <w:tcW w:w="1146" w:type="dxa"/>
            <w:tcBorders>
              <w:top w:val="nil"/>
              <w:left w:val="nil"/>
              <w:bottom w:val="nil"/>
              <w:right w:val="nil"/>
            </w:tcBorders>
            <w:shd w:val="clear" w:color="auto" w:fill="auto"/>
            <w:noWrap/>
            <w:vAlign w:val="bottom"/>
            <w:hideMark/>
          </w:tcPr>
          <w:p w14:paraId="06BEEB7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655C327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1D099B5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4.220509***</w:t>
            </w:r>
          </w:p>
        </w:tc>
        <w:tc>
          <w:tcPr>
            <w:tcW w:w="1048" w:type="dxa"/>
            <w:tcBorders>
              <w:top w:val="nil"/>
              <w:left w:val="nil"/>
              <w:bottom w:val="nil"/>
              <w:right w:val="nil"/>
            </w:tcBorders>
            <w:shd w:val="clear" w:color="auto" w:fill="auto"/>
            <w:noWrap/>
            <w:vAlign w:val="bottom"/>
            <w:hideMark/>
          </w:tcPr>
          <w:p w14:paraId="1499E9D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2CDA5F19" w14:textId="77777777" w:rsidTr="00994AE3">
        <w:trPr>
          <w:trHeight w:val="244"/>
        </w:trPr>
        <w:tc>
          <w:tcPr>
            <w:tcW w:w="1510" w:type="dxa"/>
            <w:vMerge/>
            <w:tcBorders>
              <w:top w:val="nil"/>
              <w:left w:val="nil"/>
              <w:bottom w:val="single" w:sz="8" w:space="0" w:color="000000"/>
              <w:right w:val="nil"/>
            </w:tcBorders>
            <w:vAlign w:val="center"/>
            <w:hideMark/>
          </w:tcPr>
          <w:p w14:paraId="7ABDE6B9"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62493846"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50</w:t>
            </w:r>
          </w:p>
        </w:tc>
        <w:tc>
          <w:tcPr>
            <w:tcW w:w="1856" w:type="dxa"/>
            <w:tcBorders>
              <w:top w:val="nil"/>
              <w:left w:val="nil"/>
              <w:bottom w:val="nil"/>
              <w:right w:val="nil"/>
            </w:tcBorders>
            <w:shd w:val="clear" w:color="auto" w:fill="auto"/>
            <w:noWrap/>
            <w:vAlign w:val="bottom"/>
            <w:hideMark/>
          </w:tcPr>
          <w:p w14:paraId="2E00B30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5.759925***</w:t>
            </w:r>
          </w:p>
        </w:tc>
        <w:tc>
          <w:tcPr>
            <w:tcW w:w="1146" w:type="dxa"/>
            <w:tcBorders>
              <w:top w:val="nil"/>
              <w:left w:val="nil"/>
              <w:bottom w:val="nil"/>
              <w:right w:val="nil"/>
            </w:tcBorders>
            <w:shd w:val="clear" w:color="auto" w:fill="auto"/>
            <w:noWrap/>
            <w:vAlign w:val="bottom"/>
            <w:hideMark/>
          </w:tcPr>
          <w:p w14:paraId="6BE0754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1CFFC996"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1BE53A2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4.686155***</w:t>
            </w:r>
          </w:p>
        </w:tc>
        <w:tc>
          <w:tcPr>
            <w:tcW w:w="1048" w:type="dxa"/>
            <w:tcBorders>
              <w:top w:val="nil"/>
              <w:left w:val="nil"/>
              <w:bottom w:val="nil"/>
              <w:right w:val="nil"/>
            </w:tcBorders>
            <w:shd w:val="clear" w:color="auto" w:fill="auto"/>
            <w:noWrap/>
            <w:vAlign w:val="bottom"/>
            <w:hideMark/>
          </w:tcPr>
          <w:p w14:paraId="43F5195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1B87FB26" w14:textId="77777777" w:rsidTr="00994AE3">
        <w:trPr>
          <w:trHeight w:val="244"/>
        </w:trPr>
        <w:tc>
          <w:tcPr>
            <w:tcW w:w="1510" w:type="dxa"/>
            <w:vMerge/>
            <w:tcBorders>
              <w:top w:val="nil"/>
              <w:left w:val="nil"/>
              <w:bottom w:val="single" w:sz="8" w:space="0" w:color="000000"/>
              <w:right w:val="nil"/>
            </w:tcBorders>
            <w:vAlign w:val="center"/>
            <w:hideMark/>
          </w:tcPr>
          <w:p w14:paraId="507F0DE9"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3545769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55</w:t>
            </w:r>
          </w:p>
        </w:tc>
        <w:tc>
          <w:tcPr>
            <w:tcW w:w="1856" w:type="dxa"/>
            <w:tcBorders>
              <w:top w:val="nil"/>
              <w:left w:val="nil"/>
              <w:bottom w:val="nil"/>
              <w:right w:val="nil"/>
            </w:tcBorders>
            <w:shd w:val="clear" w:color="auto" w:fill="auto"/>
            <w:noWrap/>
            <w:vAlign w:val="bottom"/>
            <w:hideMark/>
          </w:tcPr>
          <w:p w14:paraId="44E35B9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6.302513***</w:t>
            </w:r>
          </w:p>
        </w:tc>
        <w:tc>
          <w:tcPr>
            <w:tcW w:w="1146" w:type="dxa"/>
            <w:tcBorders>
              <w:top w:val="nil"/>
              <w:left w:val="nil"/>
              <w:bottom w:val="nil"/>
              <w:right w:val="nil"/>
            </w:tcBorders>
            <w:shd w:val="clear" w:color="auto" w:fill="auto"/>
            <w:noWrap/>
            <w:vAlign w:val="bottom"/>
            <w:hideMark/>
          </w:tcPr>
          <w:p w14:paraId="613E914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3858BC5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3F3F3EF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5.0587***</w:t>
            </w:r>
          </w:p>
        </w:tc>
        <w:tc>
          <w:tcPr>
            <w:tcW w:w="1048" w:type="dxa"/>
            <w:tcBorders>
              <w:top w:val="nil"/>
              <w:left w:val="nil"/>
              <w:bottom w:val="nil"/>
              <w:right w:val="nil"/>
            </w:tcBorders>
            <w:shd w:val="clear" w:color="auto" w:fill="auto"/>
            <w:noWrap/>
            <w:vAlign w:val="bottom"/>
            <w:hideMark/>
          </w:tcPr>
          <w:p w14:paraId="7860256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3E727925" w14:textId="77777777" w:rsidTr="00994AE3">
        <w:trPr>
          <w:trHeight w:val="244"/>
        </w:trPr>
        <w:tc>
          <w:tcPr>
            <w:tcW w:w="1510" w:type="dxa"/>
            <w:vMerge/>
            <w:tcBorders>
              <w:top w:val="nil"/>
              <w:left w:val="nil"/>
              <w:bottom w:val="single" w:sz="8" w:space="0" w:color="000000"/>
              <w:right w:val="nil"/>
            </w:tcBorders>
            <w:vAlign w:val="center"/>
            <w:hideMark/>
          </w:tcPr>
          <w:p w14:paraId="4ABA97BA"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735B99E0"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60</w:t>
            </w:r>
          </w:p>
        </w:tc>
        <w:tc>
          <w:tcPr>
            <w:tcW w:w="1856" w:type="dxa"/>
            <w:tcBorders>
              <w:top w:val="nil"/>
              <w:left w:val="nil"/>
              <w:bottom w:val="nil"/>
              <w:right w:val="nil"/>
            </w:tcBorders>
            <w:shd w:val="clear" w:color="auto" w:fill="auto"/>
            <w:noWrap/>
            <w:vAlign w:val="bottom"/>
            <w:hideMark/>
          </w:tcPr>
          <w:p w14:paraId="1C2B286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6.684201***</w:t>
            </w:r>
          </w:p>
        </w:tc>
        <w:tc>
          <w:tcPr>
            <w:tcW w:w="1146" w:type="dxa"/>
            <w:tcBorders>
              <w:top w:val="nil"/>
              <w:left w:val="nil"/>
              <w:bottom w:val="nil"/>
              <w:right w:val="nil"/>
            </w:tcBorders>
            <w:shd w:val="clear" w:color="auto" w:fill="auto"/>
            <w:noWrap/>
            <w:vAlign w:val="bottom"/>
            <w:hideMark/>
          </w:tcPr>
          <w:p w14:paraId="3EB8CA6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5239E85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12928B40"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5.338898***</w:t>
            </w:r>
          </w:p>
        </w:tc>
        <w:tc>
          <w:tcPr>
            <w:tcW w:w="1048" w:type="dxa"/>
            <w:tcBorders>
              <w:top w:val="nil"/>
              <w:left w:val="nil"/>
              <w:bottom w:val="nil"/>
              <w:right w:val="nil"/>
            </w:tcBorders>
            <w:shd w:val="clear" w:color="auto" w:fill="auto"/>
            <w:noWrap/>
            <w:vAlign w:val="bottom"/>
            <w:hideMark/>
          </w:tcPr>
          <w:p w14:paraId="1AF4DA96"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17644BAB" w14:textId="77777777" w:rsidTr="00994AE3">
        <w:trPr>
          <w:trHeight w:val="244"/>
        </w:trPr>
        <w:tc>
          <w:tcPr>
            <w:tcW w:w="1510" w:type="dxa"/>
            <w:vMerge/>
            <w:tcBorders>
              <w:top w:val="nil"/>
              <w:left w:val="nil"/>
              <w:bottom w:val="single" w:sz="8" w:space="0" w:color="000000"/>
              <w:right w:val="nil"/>
            </w:tcBorders>
            <w:vAlign w:val="center"/>
            <w:hideMark/>
          </w:tcPr>
          <w:p w14:paraId="489E5350"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7CEEF9D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65</w:t>
            </w:r>
          </w:p>
        </w:tc>
        <w:tc>
          <w:tcPr>
            <w:tcW w:w="1856" w:type="dxa"/>
            <w:tcBorders>
              <w:top w:val="nil"/>
              <w:left w:val="nil"/>
              <w:bottom w:val="nil"/>
              <w:right w:val="nil"/>
            </w:tcBorders>
            <w:shd w:val="clear" w:color="auto" w:fill="auto"/>
            <w:noWrap/>
            <w:vAlign w:val="bottom"/>
            <w:hideMark/>
          </w:tcPr>
          <w:p w14:paraId="76F41F9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6.908474***</w:t>
            </w:r>
          </w:p>
        </w:tc>
        <w:tc>
          <w:tcPr>
            <w:tcW w:w="1146" w:type="dxa"/>
            <w:tcBorders>
              <w:top w:val="nil"/>
              <w:left w:val="nil"/>
              <w:bottom w:val="nil"/>
              <w:right w:val="nil"/>
            </w:tcBorders>
            <w:shd w:val="clear" w:color="auto" w:fill="auto"/>
            <w:noWrap/>
            <w:vAlign w:val="bottom"/>
            <w:hideMark/>
          </w:tcPr>
          <w:p w14:paraId="0E6C1C2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6480BE3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3A0EFB3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5.533227***</w:t>
            </w:r>
          </w:p>
        </w:tc>
        <w:tc>
          <w:tcPr>
            <w:tcW w:w="1048" w:type="dxa"/>
            <w:tcBorders>
              <w:top w:val="nil"/>
              <w:left w:val="nil"/>
              <w:bottom w:val="nil"/>
              <w:right w:val="nil"/>
            </w:tcBorders>
            <w:shd w:val="clear" w:color="auto" w:fill="auto"/>
            <w:noWrap/>
            <w:vAlign w:val="bottom"/>
            <w:hideMark/>
          </w:tcPr>
          <w:p w14:paraId="6BC8F4C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73ECC6EE" w14:textId="77777777" w:rsidTr="00994AE3">
        <w:trPr>
          <w:trHeight w:val="244"/>
        </w:trPr>
        <w:tc>
          <w:tcPr>
            <w:tcW w:w="1510" w:type="dxa"/>
            <w:vMerge/>
            <w:tcBorders>
              <w:top w:val="nil"/>
              <w:left w:val="nil"/>
              <w:bottom w:val="single" w:sz="8" w:space="0" w:color="000000"/>
              <w:right w:val="nil"/>
            </w:tcBorders>
            <w:vAlign w:val="center"/>
            <w:hideMark/>
          </w:tcPr>
          <w:p w14:paraId="7DB7A7DF"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09B0248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70</w:t>
            </w:r>
          </w:p>
        </w:tc>
        <w:tc>
          <w:tcPr>
            <w:tcW w:w="1856" w:type="dxa"/>
            <w:tcBorders>
              <w:top w:val="nil"/>
              <w:left w:val="nil"/>
              <w:bottom w:val="nil"/>
              <w:right w:val="nil"/>
            </w:tcBorders>
            <w:shd w:val="clear" w:color="auto" w:fill="auto"/>
            <w:noWrap/>
            <w:vAlign w:val="bottom"/>
            <w:hideMark/>
          </w:tcPr>
          <w:p w14:paraId="4576151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6.981457***</w:t>
            </w:r>
          </w:p>
        </w:tc>
        <w:tc>
          <w:tcPr>
            <w:tcW w:w="1146" w:type="dxa"/>
            <w:tcBorders>
              <w:top w:val="nil"/>
              <w:left w:val="nil"/>
              <w:bottom w:val="nil"/>
              <w:right w:val="nil"/>
            </w:tcBorders>
            <w:shd w:val="clear" w:color="auto" w:fill="auto"/>
            <w:noWrap/>
            <w:vAlign w:val="bottom"/>
            <w:hideMark/>
          </w:tcPr>
          <w:p w14:paraId="5E1459E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4DCA4D2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64FFE27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5.649988***</w:t>
            </w:r>
          </w:p>
        </w:tc>
        <w:tc>
          <w:tcPr>
            <w:tcW w:w="1048" w:type="dxa"/>
            <w:tcBorders>
              <w:top w:val="nil"/>
              <w:left w:val="nil"/>
              <w:bottom w:val="nil"/>
              <w:right w:val="nil"/>
            </w:tcBorders>
            <w:shd w:val="clear" w:color="auto" w:fill="auto"/>
            <w:noWrap/>
            <w:vAlign w:val="bottom"/>
            <w:hideMark/>
          </w:tcPr>
          <w:p w14:paraId="47A083C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610B16FE" w14:textId="77777777" w:rsidTr="00994AE3">
        <w:trPr>
          <w:trHeight w:val="244"/>
        </w:trPr>
        <w:tc>
          <w:tcPr>
            <w:tcW w:w="1510" w:type="dxa"/>
            <w:vMerge/>
            <w:tcBorders>
              <w:top w:val="nil"/>
              <w:left w:val="nil"/>
              <w:bottom w:val="single" w:sz="8" w:space="0" w:color="000000"/>
              <w:right w:val="nil"/>
            </w:tcBorders>
            <w:vAlign w:val="center"/>
            <w:hideMark/>
          </w:tcPr>
          <w:p w14:paraId="5D987D8A"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3E14F25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75</w:t>
            </w:r>
          </w:p>
        </w:tc>
        <w:tc>
          <w:tcPr>
            <w:tcW w:w="1856" w:type="dxa"/>
            <w:tcBorders>
              <w:top w:val="nil"/>
              <w:left w:val="nil"/>
              <w:bottom w:val="nil"/>
              <w:right w:val="nil"/>
            </w:tcBorders>
            <w:shd w:val="clear" w:color="auto" w:fill="auto"/>
            <w:noWrap/>
            <w:vAlign w:val="bottom"/>
            <w:hideMark/>
          </w:tcPr>
          <w:p w14:paraId="44A10FC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6.918327***</w:t>
            </w:r>
          </w:p>
        </w:tc>
        <w:tc>
          <w:tcPr>
            <w:tcW w:w="1146" w:type="dxa"/>
            <w:tcBorders>
              <w:top w:val="nil"/>
              <w:left w:val="nil"/>
              <w:bottom w:val="nil"/>
              <w:right w:val="nil"/>
            </w:tcBorders>
            <w:shd w:val="clear" w:color="auto" w:fill="auto"/>
            <w:noWrap/>
            <w:vAlign w:val="bottom"/>
            <w:hideMark/>
          </w:tcPr>
          <w:p w14:paraId="71E8076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6D711C1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27505DC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5.700924***</w:t>
            </w:r>
          </w:p>
        </w:tc>
        <w:tc>
          <w:tcPr>
            <w:tcW w:w="1048" w:type="dxa"/>
            <w:tcBorders>
              <w:top w:val="nil"/>
              <w:left w:val="nil"/>
              <w:bottom w:val="nil"/>
              <w:right w:val="nil"/>
            </w:tcBorders>
            <w:shd w:val="clear" w:color="auto" w:fill="auto"/>
            <w:noWrap/>
            <w:vAlign w:val="bottom"/>
            <w:hideMark/>
          </w:tcPr>
          <w:p w14:paraId="512A5BA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4F90DC18" w14:textId="77777777" w:rsidTr="00994AE3">
        <w:trPr>
          <w:trHeight w:val="244"/>
        </w:trPr>
        <w:tc>
          <w:tcPr>
            <w:tcW w:w="1510" w:type="dxa"/>
            <w:vMerge/>
            <w:tcBorders>
              <w:top w:val="nil"/>
              <w:left w:val="nil"/>
              <w:bottom w:val="single" w:sz="8" w:space="0" w:color="000000"/>
              <w:right w:val="nil"/>
            </w:tcBorders>
            <w:vAlign w:val="center"/>
            <w:hideMark/>
          </w:tcPr>
          <w:p w14:paraId="017DFBBF"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592F905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80</w:t>
            </w:r>
          </w:p>
        </w:tc>
        <w:tc>
          <w:tcPr>
            <w:tcW w:w="1856" w:type="dxa"/>
            <w:tcBorders>
              <w:top w:val="nil"/>
              <w:left w:val="nil"/>
              <w:bottom w:val="nil"/>
              <w:right w:val="nil"/>
            </w:tcBorders>
            <w:shd w:val="clear" w:color="auto" w:fill="auto"/>
            <w:noWrap/>
            <w:vAlign w:val="bottom"/>
            <w:hideMark/>
          </w:tcPr>
          <w:p w14:paraId="10C09400"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6.734975***</w:t>
            </w:r>
          </w:p>
        </w:tc>
        <w:tc>
          <w:tcPr>
            <w:tcW w:w="1146" w:type="dxa"/>
            <w:tcBorders>
              <w:top w:val="nil"/>
              <w:left w:val="nil"/>
              <w:bottom w:val="nil"/>
              <w:right w:val="nil"/>
            </w:tcBorders>
            <w:shd w:val="clear" w:color="auto" w:fill="auto"/>
            <w:noWrap/>
            <w:vAlign w:val="bottom"/>
            <w:hideMark/>
          </w:tcPr>
          <w:p w14:paraId="46FA8CC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14F6B04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56D4E69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5.696918***</w:t>
            </w:r>
          </w:p>
        </w:tc>
        <w:tc>
          <w:tcPr>
            <w:tcW w:w="1048" w:type="dxa"/>
            <w:tcBorders>
              <w:top w:val="nil"/>
              <w:left w:val="nil"/>
              <w:bottom w:val="nil"/>
              <w:right w:val="nil"/>
            </w:tcBorders>
            <w:shd w:val="clear" w:color="auto" w:fill="auto"/>
            <w:noWrap/>
            <w:vAlign w:val="bottom"/>
            <w:hideMark/>
          </w:tcPr>
          <w:p w14:paraId="409FDA9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07FD8338" w14:textId="77777777" w:rsidTr="00994AE3">
        <w:trPr>
          <w:trHeight w:val="256"/>
        </w:trPr>
        <w:tc>
          <w:tcPr>
            <w:tcW w:w="1510" w:type="dxa"/>
            <w:vMerge/>
            <w:tcBorders>
              <w:top w:val="nil"/>
              <w:left w:val="nil"/>
              <w:bottom w:val="single" w:sz="8" w:space="0" w:color="000000"/>
              <w:right w:val="nil"/>
            </w:tcBorders>
            <w:vAlign w:val="center"/>
            <w:hideMark/>
          </w:tcPr>
          <w:p w14:paraId="03586262"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single" w:sz="8" w:space="0" w:color="auto"/>
              <w:right w:val="nil"/>
            </w:tcBorders>
            <w:shd w:val="clear" w:color="auto" w:fill="auto"/>
            <w:noWrap/>
            <w:vAlign w:val="bottom"/>
            <w:hideMark/>
          </w:tcPr>
          <w:p w14:paraId="70C2FF06"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85</w:t>
            </w:r>
          </w:p>
        </w:tc>
        <w:tc>
          <w:tcPr>
            <w:tcW w:w="1856" w:type="dxa"/>
            <w:tcBorders>
              <w:top w:val="nil"/>
              <w:left w:val="nil"/>
              <w:bottom w:val="single" w:sz="8" w:space="0" w:color="auto"/>
              <w:right w:val="nil"/>
            </w:tcBorders>
            <w:shd w:val="clear" w:color="auto" w:fill="auto"/>
            <w:noWrap/>
            <w:vAlign w:val="bottom"/>
            <w:hideMark/>
          </w:tcPr>
          <w:p w14:paraId="03BE769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6.240975***</w:t>
            </w:r>
          </w:p>
        </w:tc>
        <w:tc>
          <w:tcPr>
            <w:tcW w:w="1146" w:type="dxa"/>
            <w:tcBorders>
              <w:top w:val="nil"/>
              <w:left w:val="nil"/>
              <w:bottom w:val="single" w:sz="8" w:space="0" w:color="auto"/>
              <w:right w:val="nil"/>
            </w:tcBorders>
            <w:shd w:val="clear" w:color="auto" w:fill="auto"/>
            <w:noWrap/>
            <w:vAlign w:val="bottom"/>
            <w:hideMark/>
          </w:tcPr>
          <w:p w14:paraId="3CD7C6B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single" w:sz="8" w:space="0" w:color="auto"/>
              <w:right w:val="nil"/>
            </w:tcBorders>
            <w:shd w:val="clear" w:color="auto" w:fill="auto"/>
            <w:noWrap/>
            <w:vAlign w:val="bottom"/>
            <w:hideMark/>
          </w:tcPr>
          <w:p w14:paraId="3CEFF24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1939" w:type="dxa"/>
            <w:tcBorders>
              <w:top w:val="nil"/>
              <w:left w:val="nil"/>
              <w:bottom w:val="single" w:sz="8" w:space="0" w:color="auto"/>
              <w:right w:val="nil"/>
            </w:tcBorders>
            <w:shd w:val="clear" w:color="auto" w:fill="auto"/>
            <w:noWrap/>
            <w:vAlign w:val="bottom"/>
            <w:hideMark/>
          </w:tcPr>
          <w:p w14:paraId="5C2DD79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5.521108***</w:t>
            </w:r>
          </w:p>
        </w:tc>
        <w:tc>
          <w:tcPr>
            <w:tcW w:w="1048" w:type="dxa"/>
            <w:tcBorders>
              <w:top w:val="nil"/>
              <w:left w:val="nil"/>
              <w:bottom w:val="single" w:sz="8" w:space="0" w:color="auto"/>
              <w:right w:val="nil"/>
            </w:tcBorders>
            <w:shd w:val="clear" w:color="auto" w:fill="auto"/>
            <w:noWrap/>
            <w:vAlign w:val="bottom"/>
            <w:hideMark/>
          </w:tcPr>
          <w:p w14:paraId="65B5BC16"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3EBB3459" w14:textId="77777777" w:rsidTr="00994AE3">
        <w:trPr>
          <w:trHeight w:val="244"/>
        </w:trPr>
        <w:tc>
          <w:tcPr>
            <w:tcW w:w="1510" w:type="dxa"/>
            <w:vMerge w:val="restart"/>
            <w:tcBorders>
              <w:top w:val="nil"/>
              <w:left w:val="nil"/>
              <w:bottom w:val="single" w:sz="8" w:space="0" w:color="000000"/>
              <w:right w:val="nil"/>
            </w:tcBorders>
            <w:shd w:val="clear" w:color="auto" w:fill="auto"/>
            <w:noWrap/>
            <w:vAlign w:val="center"/>
            <w:hideMark/>
          </w:tcPr>
          <w:p w14:paraId="239FAC0D" w14:textId="315D60F6" w:rsidR="00D3605A" w:rsidRPr="00D3605A" w:rsidRDefault="00D3605A" w:rsidP="000A4650">
            <w:pPr>
              <w:spacing w:after="0" w:line="240" w:lineRule="auto"/>
              <w:jc w:val="center"/>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Year</w:t>
            </w:r>
            <w:r w:rsidR="000A4650">
              <w:rPr>
                <w:rFonts w:ascii="Times New Roman" w:eastAsia="Malgun Gothic" w:hAnsi="Times New Roman" w:cs="Times New Roman"/>
                <w:b/>
                <w:bCs/>
                <w:color w:val="000000"/>
                <w:sz w:val="24"/>
                <w:szCs w:val="24"/>
                <w:lang w:eastAsia="ko-KR"/>
              </w:rPr>
              <w:t xml:space="preserve"> </w:t>
            </w:r>
            <w:r w:rsidRPr="00D3605A">
              <w:rPr>
                <w:rFonts w:ascii="Times New Roman" w:eastAsia="Malgun Gothic" w:hAnsi="Times New Roman" w:cs="Times New Roman"/>
                <w:b/>
                <w:bCs/>
                <w:color w:val="000000"/>
                <w:sz w:val="24"/>
                <w:szCs w:val="24"/>
                <w:lang w:eastAsia="ko-KR"/>
              </w:rPr>
              <w:t>of birth</w:t>
            </w:r>
          </w:p>
        </w:tc>
        <w:tc>
          <w:tcPr>
            <w:tcW w:w="1513" w:type="dxa"/>
            <w:tcBorders>
              <w:top w:val="nil"/>
              <w:left w:val="nil"/>
              <w:bottom w:val="nil"/>
              <w:right w:val="nil"/>
            </w:tcBorders>
            <w:shd w:val="clear" w:color="auto" w:fill="auto"/>
            <w:noWrap/>
            <w:vAlign w:val="bottom"/>
            <w:hideMark/>
          </w:tcPr>
          <w:p w14:paraId="3F9824B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1895</w:t>
            </w:r>
          </w:p>
        </w:tc>
        <w:tc>
          <w:tcPr>
            <w:tcW w:w="1856" w:type="dxa"/>
            <w:tcBorders>
              <w:top w:val="nil"/>
              <w:left w:val="nil"/>
              <w:bottom w:val="nil"/>
              <w:right w:val="nil"/>
            </w:tcBorders>
            <w:shd w:val="clear" w:color="auto" w:fill="auto"/>
            <w:noWrap/>
            <w:vAlign w:val="bottom"/>
            <w:hideMark/>
          </w:tcPr>
          <w:p w14:paraId="4AC68BC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0.3308762</w:t>
            </w:r>
          </w:p>
        </w:tc>
        <w:tc>
          <w:tcPr>
            <w:tcW w:w="1146" w:type="dxa"/>
            <w:tcBorders>
              <w:top w:val="nil"/>
              <w:left w:val="nil"/>
              <w:bottom w:val="nil"/>
              <w:right w:val="nil"/>
            </w:tcBorders>
            <w:shd w:val="clear" w:color="auto" w:fill="auto"/>
            <w:noWrap/>
            <w:vAlign w:val="bottom"/>
            <w:hideMark/>
          </w:tcPr>
          <w:p w14:paraId="3DEE1E3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0.264</w:t>
            </w:r>
          </w:p>
        </w:tc>
        <w:tc>
          <w:tcPr>
            <w:tcW w:w="292" w:type="dxa"/>
            <w:tcBorders>
              <w:top w:val="nil"/>
              <w:left w:val="nil"/>
              <w:bottom w:val="nil"/>
              <w:right w:val="nil"/>
            </w:tcBorders>
            <w:shd w:val="clear" w:color="auto" w:fill="auto"/>
            <w:noWrap/>
            <w:vAlign w:val="bottom"/>
            <w:hideMark/>
          </w:tcPr>
          <w:p w14:paraId="7309657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1939" w:type="dxa"/>
            <w:tcBorders>
              <w:top w:val="nil"/>
              <w:left w:val="nil"/>
              <w:bottom w:val="nil"/>
              <w:right w:val="nil"/>
            </w:tcBorders>
            <w:shd w:val="clear" w:color="auto" w:fill="auto"/>
            <w:noWrap/>
            <w:vAlign w:val="bottom"/>
            <w:hideMark/>
          </w:tcPr>
          <w:p w14:paraId="4A8759E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0.2753695*</w:t>
            </w:r>
          </w:p>
        </w:tc>
        <w:tc>
          <w:tcPr>
            <w:tcW w:w="1048" w:type="dxa"/>
            <w:tcBorders>
              <w:top w:val="nil"/>
              <w:left w:val="nil"/>
              <w:bottom w:val="nil"/>
              <w:right w:val="nil"/>
            </w:tcBorders>
            <w:shd w:val="clear" w:color="auto" w:fill="auto"/>
            <w:noWrap/>
            <w:vAlign w:val="bottom"/>
            <w:hideMark/>
          </w:tcPr>
          <w:p w14:paraId="458FF51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0.063</w:t>
            </w:r>
          </w:p>
        </w:tc>
      </w:tr>
      <w:tr w:rsidR="00D3605A" w:rsidRPr="00D3605A" w14:paraId="0E36BF2D" w14:textId="77777777" w:rsidTr="00994AE3">
        <w:trPr>
          <w:trHeight w:val="244"/>
        </w:trPr>
        <w:tc>
          <w:tcPr>
            <w:tcW w:w="1510" w:type="dxa"/>
            <w:vMerge/>
            <w:tcBorders>
              <w:top w:val="nil"/>
              <w:left w:val="nil"/>
              <w:bottom w:val="single" w:sz="8" w:space="0" w:color="000000"/>
              <w:right w:val="nil"/>
            </w:tcBorders>
            <w:vAlign w:val="center"/>
            <w:hideMark/>
          </w:tcPr>
          <w:p w14:paraId="2ED419DE"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19F123D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1900</w:t>
            </w:r>
          </w:p>
        </w:tc>
        <w:tc>
          <w:tcPr>
            <w:tcW w:w="1856" w:type="dxa"/>
            <w:tcBorders>
              <w:top w:val="nil"/>
              <w:left w:val="nil"/>
              <w:bottom w:val="nil"/>
              <w:right w:val="nil"/>
            </w:tcBorders>
            <w:shd w:val="clear" w:color="auto" w:fill="auto"/>
            <w:noWrap/>
            <w:vAlign w:val="bottom"/>
            <w:hideMark/>
          </w:tcPr>
          <w:p w14:paraId="52F84F1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0.6829636**</w:t>
            </w:r>
          </w:p>
        </w:tc>
        <w:tc>
          <w:tcPr>
            <w:tcW w:w="1146" w:type="dxa"/>
            <w:tcBorders>
              <w:top w:val="nil"/>
              <w:left w:val="nil"/>
              <w:bottom w:val="nil"/>
              <w:right w:val="nil"/>
            </w:tcBorders>
            <w:shd w:val="clear" w:color="auto" w:fill="auto"/>
            <w:noWrap/>
            <w:vAlign w:val="bottom"/>
            <w:hideMark/>
          </w:tcPr>
          <w:p w14:paraId="1AFFCFD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0.016</w:t>
            </w:r>
          </w:p>
        </w:tc>
        <w:tc>
          <w:tcPr>
            <w:tcW w:w="292" w:type="dxa"/>
            <w:tcBorders>
              <w:top w:val="nil"/>
              <w:left w:val="nil"/>
              <w:bottom w:val="nil"/>
              <w:right w:val="nil"/>
            </w:tcBorders>
            <w:shd w:val="clear" w:color="auto" w:fill="auto"/>
            <w:noWrap/>
            <w:vAlign w:val="bottom"/>
            <w:hideMark/>
          </w:tcPr>
          <w:p w14:paraId="62D66AA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56C6CEA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0.6058509***</w:t>
            </w:r>
          </w:p>
        </w:tc>
        <w:tc>
          <w:tcPr>
            <w:tcW w:w="1048" w:type="dxa"/>
            <w:tcBorders>
              <w:top w:val="nil"/>
              <w:left w:val="nil"/>
              <w:bottom w:val="nil"/>
              <w:right w:val="nil"/>
            </w:tcBorders>
            <w:shd w:val="clear" w:color="auto" w:fill="auto"/>
            <w:noWrap/>
            <w:vAlign w:val="bottom"/>
            <w:hideMark/>
          </w:tcPr>
          <w:p w14:paraId="23F1CC4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2521CC05" w14:textId="77777777" w:rsidTr="00994AE3">
        <w:trPr>
          <w:trHeight w:val="244"/>
        </w:trPr>
        <w:tc>
          <w:tcPr>
            <w:tcW w:w="1510" w:type="dxa"/>
            <w:vMerge/>
            <w:tcBorders>
              <w:top w:val="nil"/>
              <w:left w:val="nil"/>
              <w:bottom w:val="single" w:sz="8" w:space="0" w:color="000000"/>
              <w:right w:val="nil"/>
            </w:tcBorders>
            <w:vAlign w:val="center"/>
            <w:hideMark/>
          </w:tcPr>
          <w:p w14:paraId="6550CCBB"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67CB024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1905</w:t>
            </w:r>
          </w:p>
        </w:tc>
        <w:tc>
          <w:tcPr>
            <w:tcW w:w="1856" w:type="dxa"/>
            <w:tcBorders>
              <w:top w:val="nil"/>
              <w:left w:val="nil"/>
              <w:bottom w:val="nil"/>
              <w:right w:val="nil"/>
            </w:tcBorders>
            <w:shd w:val="clear" w:color="auto" w:fill="auto"/>
            <w:noWrap/>
            <w:vAlign w:val="bottom"/>
            <w:hideMark/>
          </w:tcPr>
          <w:p w14:paraId="7223C15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1.050823***</w:t>
            </w:r>
          </w:p>
        </w:tc>
        <w:tc>
          <w:tcPr>
            <w:tcW w:w="1146" w:type="dxa"/>
            <w:tcBorders>
              <w:top w:val="nil"/>
              <w:left w:val="nil"/>
              <w:bottom w:val="nil"/>
              <w:right w:val="nil"/>
            </w:tcBorders>
            <w:shd w:val="clear" w:color="auto" w:fill="auto"/>
            <w:noWrap/>
            <w:vAlign w:val="bottom"/>
            <w:hideMark/>
          </w:tcPr>
          <w:p w14:paraId="60BD65D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5CF8181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34C1B67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0.9673373***</w:t>
            </w:r>
          </w:p>
        </w:tc>
        <w:tc>
          <w:tcPr>
            <w:tcW w:w="1048" w:type="dxa"/>
            <w:tcBorders>
              <w:top w:val="nil"/>
              <w:left w:val="nil"/>
              <w:bottom w:val="nil"/>
              <w:right w:val="nil"/>
            </w:tcBorders>
            <w:shd w:val="clear" w:color="auto" w:fill="auto"/>
            <w:noWrap/>
            <w:vAlign w:val="bottom"/>
            <w:hideMark/>
          </w:tcPr>
          <w:p w14:paraId="0681302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2AEC04D9" w14:textId="77777777" w:rsidTr="00994AE3">
        <w:trPr>
          <w:trHeight w:val="244"/>
        </w:trPr>
        <w:tc>
          <w:tcPr>
            <w:tcW w:w="1510" w:type="dxa"/>
            <w:vMerge/>
            <w:tcBorders>
              <w:top w:val="nil"/>
              <w:left w:val="nil"/>
              <w:bottom w:val="single" w:sz="8" w:space="0" w:color="000000"/>
              <w:right w:val="nil"/>
            </w:tcBorders>
            <w:vAlign w:val="center"/>
            <w:hideMark/>
          </w:tcPr>
          <w:p w14:paraId="1C9CB2F6"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428A445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1910</w:t>
            </w:r>
          </w:p>
        </w:tc>
        <w:tc>
          <w:tcPr>
            <w:tcW w:w="1856" w:type="dxa"/>
            <w:tcBorders>
              <w:top w:val="nil"/>
              <w:left w:val="nil"/>
              <w:bottom w:val="nil"/>
              <w:right w:val="nil"/>
            </w:tcBorders>
            <w:shd w:val="clear" w:color="auto" w:fill="auto"/>
            <w:noWrap/>
            <w:vAlign w:val="bottom"/>
            <w:hideMark/>
          </w:tcPr>
          <w:p w14:paraId="4D6D51B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1.434808***</w:t>
            </w:r>
          </w:p>
        </w:tc>
        <w:tc>
          <w:tcPr>
            <w:tcW w:w="1146" w:type="dxa"/>
            <w:tcBorders>
              <w:top w:val="nil"/>
              <w:left w:val="nil"/>
              <w:bottom w:val="nil"/>
              <w:right w:val="nil"/>
            </w:tcBorders>
            <w:shd w:val="clear" w:color="auto" w:fill="auto"/>
            <w:noWrap/>
            <w:vAlign w:val="bottom"/>
            <w:hideMark/>
          </w:tcPr>
          <w:p w14:paraId="75E4C09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63BCEB9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61A618F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1.35364***</w:t>
            </w:r>
          </w:p>
        </w:tc>
        <w:tc>
          <w:tcPr>
            <w:tcW w:w="1048" w:type="dxa"/>
            <w:tcBorders>
              <w:top w:val="nil"/>
              <w:left w:val="nil"/>
              <w:bottom w:val="nil"/>
              <w:right w:val="nil"/>
            </w:tcBorders>
            <w:shd w:val="clear" w:color="auto" w:fill="auto"/>
            <w:noWrap/>
            <w:vAlign w:val="bottom"/>
            <w:hideMark/>
          </w:tcPr>
          <w:p w14:paraId="3C191FF6"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72844F0C" w14:textId="77777777" w:rsidTr="00994AE3">
        <w:trPr>
          <w:trHeight w:val="244"/>
        </w:trPr>
        <w:tc>
          <w:tcPr>
            <w:tcW w:w="1510" w:type="dxa"/>
            <w:vMerge/>
            <w:tcBorders>
              <w:top w:val="nil"/>
              <w:left w:val="nil"/>
              <w:bottom w:val="single" w:sz="8" w:space="0" w:color="000000"/>
              <w:right w:val="nil"/>
            </w:tcBorders>
            <w:vAlign w:val="center"/>
            <w:hideMark/>
          </w:tcPr>
          <w:p w14:paraId="3B82C290"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226EDDF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1915</w:t>
            </w:r>
          </w:p>
        </w:tc>
        <w:tc>
          <w:tcPr>
            <w:tcW w:w="1856" w:type="dxa"/>
            <w:tcBorders>
              <w:top w:val="nil"/>
              <w:left w:val="nil"/>
              <w:bottom w:val="nil"/>
              <w:right w:val="nil"/>
            </w:tcBorders>
            <w:shd w:val="clear" w:color="auto" w:fill="auto"/>
            <w:noWrap/>
            <w:vAlign w:val="bottom"/>
            <w:hideMark/>
          </w:tcPr>
          <w:p w14:paraId="1246036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1.83895***</w:t>
            </w:r>
          </w:p>
        </w:tc>
        <w:tc>
          <w:tcPr>
            <w:tcW w:w="1146" w:type="dxa"/>
            <w:tcBorders>
              <w:top w:val="nil"/>
              <w:left w:val="nil"/>
              <w:bottom w:val="nil"/>
              <w:right w:val="nil"/>
            </w:tcBorders>
            <w:shd w:val="clear" w:color="auto" w:fill="auto"/>
            <w:noWrap/>
            <w:vAlign w:val="bottom"/>
            <w:hideMark/>
          </w:tcPr>
          <w:p w14:paraId="22FE5D5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1350A0C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17351D5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1.755655***</w:t>
            </w:r>
          </w:p>
        </w:tc>
        <w:tc>
          <w:tcPr>
            <w:tcW w:w="1048" w:type="dxa"/>
            <w:tcBorders>
              <w:top w:val="nil"/>
              <w:left w:val="nil"/>
              <w:bottom w:val="nil"/>
              <w:right w:val="nil"/>
            </w:tcBorders>
            <w:shd w:val="clear" w:color="auto" w:fill="auto"/>
            <w:noWrap/>
            <w:vAlign w:val="bottom"/>
            <w:hideMark/>
          </w:tcPr>
          <w:p w14:paraId="6BB3F9D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4822AA76" w14:textId="77777777" w:rsidTr="00994AE3">
        <w:trPr>
          <w:trHeight w:val="244"/>
        </w:trPr>
        <w:tc>
          <w:tcPr>
            <w:tcW w:w="1510" w:type="dxa"/>
            <w:vMerge/>
            <w:tcBorders>
              <w:top w:val="nil"/>
              <w:left w:val="nil"/>
              <w:bottom w:val="single" w:sz="8" w:space="0" w:color="000000"/>
              <w:right w:val="nil"/>
            </w:tcBorders>
            <w:vAlign w:val="center"/>
            <w:hideMark/>
          </w:tcPr>
          <w:p w14:paraId="58D96423"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26E3786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1920</w:t>
            </w:r>
          </w:p>
        </w:tc>
        <w:tc>
          <w:tcPr>
            <w:tcW w:w="1856" w:type="dxa"/>
            <w:tcBorders>
              <w:top w:val="nil"/>
              <w:left w:val="nil"/>
              <w:bottom w:val="nil"/>
              <w:right w:val="nil"/>
            </w:tcBorders>
            <w:shd w:val="clear" w:color="auto" w:fill="auto"/>
            <w:noWrap/>
            <w:vAlign w:val="bottom"/>
            <w:hideMark/>
          </w:tcPr>
          <w:p w14:paraId="7F8E80D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2.260583***</w:t>
            </w:r>
          </w:p>
        </w:tc>
        <w:tc>
          <w:tcPr>
            <w:tcW w:w="1146" w:type="dxa"/>
            <w:tcBorders>
              <w:top w:val="nil"/>
              <w:left w:val="nil"/>
              <w:bottom w:val="nil"/>
              <w:right w:val="nil"/>
            </w:tcBorders>
            <w:shd w:val="clear" w:color="auto" w:fill="auto"/>
            <w:noWrap/>
            <w:vAlign w:val="bottom"/>
            <w:hideMark/>
          </w:tcPr>
          <w:p w14:paraId="18F0F91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6F90CA7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20B4DCC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2.168493***</w:t>
            </w:r>
          </w:p>
        </w:tc>
        <w:tc>
          <w:tcPr>
            <w:tcW w:w="1048" w:type="dxa"/>
            <w:tcBorders>
              <w:top w:val="nil"/>
              <w:left w:val="nil"/>
              <w:bottom w:val="nil"/>
              <w:right w:val="nil"/>
            </w:tcBorders>
            <w:shd w:val="clear" w:color="auto" w:fill="auto"/>
            <w:noWrap/>
            <w:vAlign w:val="bottom"/>
            <w:hideMark/>
          </w:tcPr>
          <w:p w14:paraId="558771B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557851DE" w14:textId="77777777" w:rsidTr="00994AE3">
        <w:trPr>
          <w:trHeight w:val="244"/>
        </w:trPr>
        <w:tc>
          <w:tcPr>
            <w:tcW w:w="1510" w:type="dxa"/>
            <w:vMerge/>
            <w:tcBorders>
              <w:top w:val="nil"/>
              <w:left w:val="nil"/>
              <w:bottom w:val="single" w:sz="8" w:space="0" w:color="000000"/>
              <w:right w:val="nil"/>
            </w:tcBorders>
            <w:vAlign w:val="center"/>
            <w:hideMark/>
          </w:tcPr>
          <w:p w14:paraId="74F24C0D"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0E5C911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1925</w:t>
            </w:r>
          </w:p>
        </w:tc>
        <w:tc>
          <w:tcPr>
            <w:tcW w:w="1856" w:type="dxa"/>
            <w:tcBorders>
              <w:top w:val="nil"/>
              <w:left w:val="nil"/>
              <w:bottom w:val="nil"/>
              <w:right w:val="nil"/>
            </w:tcBorders>
            <w:shd w:val="clear" w:color="auto" w:fill="auto"/>
            <w:noWrap/>
            <w:vAlign w:val="bottom"/>
            <w:hideMark/>
          </w:tcPr>
          <w:p w14:paraId="10374806"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2.697693***</w:t>
            </w:r>
          </w:p>
        </w:tc>
        <w:tc>
          <w:tcPr>
            <w:tcW w:w="1146" w:type="dxa"/>
            <w:tcBorders>
              <w:top w:val="nil"/>
              <w:left w:val="nil"/>
              <w:bottom w:val="nil"/>
              <w:right w:val="nil"/>
            </w:tcBorders>
            <w:shd w:val="clear" w:color="auto" w:fill="auto"/>
            <w:noWrap/>
            <w:vAlign w:val="bottom"/>
            <w:hideMark/>
          </w:tcPr>
          <w:p w14:paraId="33D2BCC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36A1441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63BEBEE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2.587819***</w:t>
            </w:r>
          </w:p>
        </w:tc>
        <w:tc>
          <w:tcPr>
            <w:tcW w:w="1048" w:type="dxa"/>
            <w:tcBorders>
              <w:top w:val="nil"/>
              <w:left w:val="nil"/>
              <w:bottom w:val="nil"/>
              <w:right w:val="nil"/>
            </w:tcBorders>
            <w:shd w:val="clear" w:color="auto" w:fill="auto"/>
            <w:noWrap/>
            <w:vAlign w:val="bottom"/>
            <w:hideMark/>
          </w:tcPr>
          <w:p w14:paraId="27ADE6B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30E8ADFA" w14:textId="77777777" w:rsidTr="00994AE3">
        <w:trPr>
          <w:trHeight w:val="244"/>
        </w:trPr>
        <w:tc>
          <w:tcPr>
            <w:tcW w:w="1510" w:type="dxa"/>
            <w:vMerge/>
            <w:tcBorders>
              <w:top w:val="nil"/>
              <w:left w:val="nil"/>
              <w:bottom w:val="single" w:sz="8" w:space="0" w:color="000000"/>
              <w:right w:val="nil"/>
            </w:tcBorders>
            <w:vAlign w:val="center"/>
            <w:hideMark/>
          </w:tcPr>
          <w:p w14:paraId="03E9A09F"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34C3A79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1930</w:t>
            </w:r>
          </w:p>
        </w:tc>
        <w:tc>
          <w:tcPr>
            <w:tcW w:w="1856" w:type="dxa"/>
            <w:tcBorders>
              <w:top w:val="nil"/>
              <w:left w:val="nil"/>
              <w:bottom w:val="nil"/>
              <w:right w:val="nil"/>
            </w:tcBorders>
            <w:shd w:val="clear" w:color="auto" w:fill="auto"/>
            <w:noWrap/>
            <w:vAlign w:val="bottom"/>
            <w:hideMark/>
          </w:tcPr>
          <w:p w14:paraId="5102002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3.146643***</w:t>
            </w:r>
          </w:p>
        </w:tc>
        <w:tc>
          <w:tcPr>
            <w:tcW w:w="1146" w:type="dxa"/>
            <w:tcBorders>
              <w:top w:val="nil"/>
              <w:left w:val="nil"/>
              <w:bottom w:val="nil"/>
              <w:right w:val="nil"/>
            </w:tcBorders>
            <w:shd w:val="clear" w:color="auto" w:fill="auto"/>
            <w:noWrap/>
            <w:vAlign w:val="bottom"/>
            <w:hideMark/>
          </w:tcPr>
          <w:p w14:paraId="54CDF63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7C6BB8C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4B9D975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3.009341***</w:t>
            </w:r>
          </w:p>
        </w:tc>
        <w:tc>
          <w:tcPr>
            <w:tcW w:w="1048" w:type="dxa"/>
            <w:tcBorders>
              <w:top w:val="nil"/>
              <w:left w:val="nil"/>
              <w:bottom w:val="nil"/>
              <w:right w:val="nil"/>
            </w:tcBorders>
            <w:shd w:val="clear" w:color="auto" w:fill="auto"/>
            <w:noWrap/>
            <w:vAlign w:val="bottom"/>
            <w:hideMark/>
          </w:tcPr>
          <w:p w14:paraId="77C3E30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39492430" w14:textId="77777777" w:rsidTr="00994AE3">
        <w:trPr>
          <w:trHeight w:val="244"/>
        </w:trPr>
        <w:tc>
          <w:tcPr>
            <w:tcW w:w="1510" w:type="dxa"/>
            <w:vMerge/>
            <w:tcBorders>
              <w:top w:val="nil"/>
              <w:left w:val="nil"/>
              <w:bottom w:val="single" w:sz="8" w:space="0" w:color="000000"/>
              <w:right w:val="nil"/>
            </w:tcBorders>
            <w:vAlign w:val="center"/>
            <w:hideMark/>
          </w:tcPr>
          <w:p w14:paraId="6967192C"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333DA68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1935</w:t>
            </w:r>
          </w:p>
        </w:tc>
        <w:tc>
          <w:tcPr>
            <w:tcW w:w="1856" w:type="dxa"/>
            <w:tcBorders>
              <w:top w:val="nil"/>
              <w:left w:val="nil"/>
              <w:bottom w:val="nil"/>
              <w:right w:val="nil"/>
            </w:tcBorders>
            <w:shd w:val="clear" w:color="auto" w:fill="auto"/>
            <w:noWrap/>
            <w:vAlign w:val="bottom"/>
            <w:hideMark/>
          </w:tcPr>
          <w:p w14:paraId="5F2A079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3.652658***</w:t>
            </w:r>
          </w:p>
        </w:tc>
        <w:tc>
          <w:tcPr>
            <w:tcW w:w="1146" w:type="dxa"/>
            <w:tcBorders>
              <w:top w:val="nil"/>
              <w:left w:val="nil"/>
              <w:bottom w:val="nil"/>
              <w:right w:val="nil"/>
            </w:tcBorders>
            <w:shd w:val="clear" w:color="auto" w:fill="auto"/>
            <w:noWrap/>
            <w:vAlign w:val="bottom"/>
            <w:hideMark/>
          </w:tcPr>
          <w:p w14:paraId="6A73274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5EB73B7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3672230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3.46876***</w:t>
            </w:r>
          </w:p>
        </w:tc>
        <w:tc>
          <w:tcPr>
            <w:tcW w:w="1048" w:type="dxa"/>
            <w:tcBorders>
              <w:top w:val="nil"/>
              <w:left w:val="nil"/>
              <w:bottom w:val="nil"/>
              <w:right w:val="nil"/>
            </w:tcBorders>
            <w:shd w:val="clear" w:color="auto" w:fill="auto"/>
            <w:noWrap/>
            <w:vAlign w:val="bottom"/>
            <w:hideMark/>
          </w:tcPr>
          <w:p w14:paraId="53B747C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0F261881" w14:textId="77777777" w:rsidTr="00994AE3">
        <w:trPr>
          <w:trHeight w:val="244"/>
        </w:trPr>
        <w:tc>
          <w:tcPr>
            <w:tcW w:w="1510" w:type="dxa"/>
            <w:vMerge/>
            <w:tcBorders>
              <w:top w:val="nil"/>
              <w:left w:val="nil"/>
              <w:bottom w:val="single" w:sz="8" w:space="0" w:color="000000"/>
              <w:right w:val="nil"/>
            </w:tcBorders>
            <w:vAlign w:val="center"/>
            <w:hideMark/>
          </w:tcPr>
          <w:p w14:paraId="45FE1430"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3F594B9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1940</w:t>
            </w:r>
          </w:p>
        </w:tc>
        <w:tc>
          <w:tcPr>
            <w:tcW w:w="1856" w:type="dxa"/>
            <w:tcBorders>
              <w:top w:val="nil"/>
              <w:left w:val="nil"/>
              <w:bottom w:val="nil"/>
              <w:right w:val="nil"/>
            </w:tcBorders>
            <w:shd w:val="clear" w:color="auto" w:fill="auto"/>
            <w:noWrap/>
            <w:vAlign w:val="bottom"/>
            <w:hideMark/>
          </w:tcPr>
          <w:p w14:paraId="5FB64EC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4.171914***</w:t>
            </w:r>
          </w:p>
        </w:tc>
        <w:tc>
          <w:tcPr>
            <w:tcW w:w="1146" w:type="dxa"/>
            <w:tcBorders>
              <w:top w:val="nil"/>
              <w:left w:val="nil"/>
              <w:bottom w:val="nil"/>
              <w:right w:val="nil"/>
            </w:tcBorders>
            <w:shd w:val="clear" w:color="auto" w:fill="auto"/>
            <w:noWrap/>
            <w:vAlign w:val="bottom"/>
            <w:hideMark/>
          </w:tcPr>
          <w:p w14:paraId="6FF9F1F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62C4E60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36BA5FA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3.918437***</w:t>
            </w:r>
          </w:p>
        </w:tc>
        <w:tc>
          <w:tcPr>
            <w:tcW w:w="1048" w:type="dxa"/>
            <w:tcBorders>
              <w:top w:val="nil"/>
              <w:left w:val="nil"/>
              <w:bottom w:val="nil"/>
              <w:right w:val="nil"/>
            </w:tcBorders>
            <w:shd w:val="clear" w:color="auto" w:fill="auto"/>
            <w:noWrap/>
            <w:vAlign w:val="bottom"/>
            <w:hideMark/>
          </w:tcPr>
          <w:p w14:paraId="26F48F3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522CC477" w14:textId="77777777" w:rsidTr="00994AE3">
        <w:trPr>
          <w:trHeight w:val="244"/>
        </w:trPr>
        <w:tc>
          <w:tcPr>
            <w:tcW w:w="1510" w:type="dxa"/>
            <w:vMerge/>
            <w:tcBorders>
              <w:top w:val="nil"/>
              <w:left w:val="nil"/>
              <w:bottom w:val="single" w:sz="8" w:space="0" w:color="000000"/>
              <w:right w:val="nil"/>
            </w:tcBorders>
            <w:vAlign w:val="center"/>
            <w:hideMark/>
          </w:tcPr>
          <w:p w14:paraId="4386CE33"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25A1635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1945</w:t>
            </w:r>
          </w:p>
        </w:tc>
        <w:tc>
          <w:tcPr>
            <w:tcW w:w="1856" w:type="dxa"/>
            <w:tcBorders>
              <w:top w:val="nil"/>
              <w:left w:val="nil"/>
              <w:bottom w:val="nil"/>
              <w:right w:val="nil"/>
            </w:tcBorders>
            <w:shd w:val="clear" w:color="auto" w:fill="auto"/>
            <w:noWrap/>
            <w:vAlign w:val="bottom"/>
            <w:hideMark/>
          </w:tcPr>
          <w:p w14:paraId="3B6D51F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4.69702***</w:t>
            </w:r>
          </w:p>
        </w:tc>
        <w:tc>
          <w:tcPr>
            <w:tcW w:w="1146" w:type="dxa"/>
            <w:tcBorders>
              <w:top w:val="nil"/>
              <w:left w:val="nil"/>
              <w:bottom w:val="nil"/>
              <w:right w:val="nil"/>
            </w:tcBorders>
            <w:shd w:val="clear" w:color="auto" w:fill="auto"/>
            <w:noWrap/>
            <w:vAlign w:val="bottom"/>
            <w:hideMark/>
          </w:tcPr>
          <w:p w14:paraId="6BEDEAC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2155F9F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7A64433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4.361493***</w:t>
            </w:r>
          </w:p>
        </w:tc>
        <w:tc>
          <w:tcPr>
            <w:tcW w:w="1048" w:type="dxa"/>
            <w:tcBorders>
              <w:top w:val="nil"/>
              <w:left w:val="nil"/>
              <w:bottom w:val="nil"/>
              <w:right w:val="nil"/>
            </w:tcBorders>
            <w:shd w:val="clear" w:color="auto" w:fill="auto"/>
            <w:noWrap/>
            <w:vAlign w:val="bottom"/>
            <w:hideMark/>
          </w:tcPr>
          <w:p w14:paraId="73745D50"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0F7AF6F9" w14:textId="77777777" w:rsidTr="00994AE3">
        <w:trPr>
          <w:trHeight w:val="244"/>
        </w:trPr>
        <w:tc>
          <w:tcPr>
            <w:tcW w:w="1510" w:type="dxa"/>
            <w:vMerge/>
            <w:tcBorders>
              <w:top w:val="nil"/>
              <w:left w:val="nil"/>
              <w:bottom w:val="single" w:sz="8" w:space="0" w:color="000000"/>
              <w:right w:val="nil"/>
            </w:tcBorders>
            <w:vAlign w:val="center"/>
            <w:hideMark/>
          </w:tcPr>
          <w:p w14:paraId="1A79F38E"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53815EC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1950</w:t>
            </w:r>
          </w:p>
        </w:tc>
        <w:tc>
          <w:tcPr>
            <w:tcW w:w="1856" w:type="dxa"/>
            <w:tcBorders>
              <w:top w:val="nil"/>
              <w:left w:val="nil"/>
              <w:bottom w:val="nil"/>
              <w:right w:val="nil"/>
            </w:tcBorders>
            <w:shd w:val="clear" w:color="auto" w:fill="auto"/>
            <w:noWrap/>
            <w:vAlign w:val="bottom"/>
            <w:hideMark/>
          </w:tcPr>
          <w:p w14:paraId="251D1FF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5.220159***</w:t>
            </w:r>
          </w:p>
        </w:tc>
        <w:tc>
          <w:tcPr>
            <w:tcW w:w="1146" w:type="dxa"/>
            <w:tcBorders>
              <w:top w:val="nil"/>
              <w:left w:val="nil"/>
              <w:bottom w:val="nil"/>
              <w:right w:val="nil"/>
            </w:tcBorders>
            <w:shd w:val="clear" w:color="auto" w:fill="auto"/>
            <w:noWrap/>
            <w:vAlign w:val="bottom"/>
            <w:hideMark/>
          </w:tcPr>
          <w:p w14:paraId="695FA78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15AC039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0311E41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4.798399***</w:t>
            </w:r>
          </w:p>
        </w:tc>
        <w:tc>
          <w:tcPr>
            <w:tcW w:w="1048" w:type="dxa"/>
            <w:tcBorders>
              <w:top w:val="nil"/>
              <w:left w:val="nil"/>
              <w:bottom w:val="nil"/>
              <w:right w:val="nil"/>
            </w:tcBorders>
            <w:shd w:val="clear" w:color="auto" w:fill="auto"/>
            <w:noWrap/>
            <w:vAlign w:val="bottom"/>
            <w:hideMark/>
          </w:tcPr>
          <w:p w14:paraId="6067F6F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7FB311E9" w14:textId="77777777" w:rsidTr="00994AE3">
        <w:trPr>
          <w:trHeight w:val="244"/>
        </w:trPr>
        <w:tc>
          <w:tcPr>
            <w:tcW w:w="1510" w:type="dxa"/>
            <w:vMerge/>
            <w:tcBorders>
              <w:top w:val="nil"/>
              <w:left w:val="nil"/>
              <w:bottom w:val="single" w:sz="8" w:space="0" w:color="000000"/>
              <w:right w:val="nil"/>
            </w:tcBorders>
            <w:vAlign w:val="center"/>
            <w:hideMark/>
          </w:tcPr>
          <w:p w14:paraId="7B615544"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6011155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1955</w:t>
            </w:r>
          </w:p>
        </w:tc>
        <w:tc>
          <w:tcPr>
            <w:tcW w:w="1856" w:type="dxa"/>
            <w:tcBorders>
              <w:top w:val="nil"/>
              <w:left w:val="nil"/>
              <w:bottom w:val="nil"/>
              <w:right w:val="nil"/>
            </w:tcBorders>
            <w:shd w:val="clear" w:color="auto" w:fill="auto"/>
            <w:noWrap/>
            <w:vAlign w:val="bottom"/>
            <w:hideMark/>
          </w:tcPr>
          <w:p w14:paraId="0A6CFD1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5.735278***</w:t>
            </w:r>
          </w:p>
        </w:tc>
        <w:tc>
          <w:tcPr>
            <w:tcW w:w="1146" w:type="dxa"/>
            <w:tcBorders>
              <w:top w:val="nil"/>
              <w:left w:val="nil"/>
              <w:bottom w:val="nil"/>
              <w:right w:val="nil"/>
            </w:tcBorders>
            <w:shd w:val="clear" w:color="auto" w:fill="auto"/>
            <w:noWrap/>
            <w:vAlign w:val="bottom"/>
            <w:hideMark/>
          </w:tcPr>
          <w:p w14:paraId="1235CAE0"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34B4A85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11AB484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5.230721***</w:t>
            </w:r>
          </w:p>
        </w:tc>
        <w:tc>
          <w:tcPr>
            <w:tcW w:w="1048" w:type="dxa"/>
            <w:tcBorders>
              <w:top w:val="nil"/>
              <w:left w:val="nil"/>
              <w:bottom w:val="nil"/>
              <w:right w:val="nil"/>
            </w:tcBorders>
            <w:shd w:val="clear" w:color="auto" w:fill="auto"/>
            <w:noWrap/>
            <w:vAlign w:val="bottom"/>
            <w:hideMark/>
          </w:tcPr>
          <w:p w14:paraId="7300C5D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5783995B" w14:textId="77777777" w:rsidTr="00994AE3">
        <w:trPr>
          <w:trHeight w:val="244"/>
        </w:trPr>
        <w:tc>
          <w:tcPr>
            <w:tcW w:w="1510" w:type="dxa"/>
            <w:vMerge/>
            <w:tcBorders>
              <w:top w:val="nil"/>
              <w:left w:val="nil"/>
              <w:bottom w:val="single" w:sz="8" w:space="0" w:color="000000"/>
              <w:right w:val="nil"/>
            </w:tcBorders>
            <w:vAlign w:val="center"/>
            <w:hideMark/>
          </w:tcPr>
          <w:p w14:paraId="13C3100F"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3D4BBF0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1960</w:t>
            </w:r>
          </w:p>
        </w:tc>
        <w:tc>
          <w:tcPr>
            <w:tcW w:w="1856" w:type="dxa"/>
            <w:tcBorders>
              <w:top w:val="nil"/>
              <w:left w:val="nil"/>
              <w:bottom w:val="nil"/>
              <w:right w:val="nil"/>
            </w:tcBorders>
            <w:shd w:val="clear" w:color="auto" w:fill="auto"/>
            <w:noWrap/>
            <w:vAlign w:val="bottom"/>
            <w:hideMark/>
          </w:tcPr>
          <w:p w14:paraId="1DEC567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6.168471***</w:t>
            </w:r>
          </w:p>
        </w:tc>
        <w:tc>
          <w:tcPr>
            <w:tcW w:w="1146" w:type="dxa"/>
            <w:tcBorders>
              <w:top w:val="nil"/>
              <w:left w:val="nil"/>
              <w:bottom w:val="nil"/>
              <w:right w:val="nil"/>
            </w:tcBorders>
            <w:shd w:val="clear" w:color="auto" w:fill="auto"/>
            <w:noWrap/>
            <w:vAlign w:val="bottom"/>
            <w:hideMark/>
          </w:tcPr>
          <w:p w14:paraId="0EBF0FA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52C7E7A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5A100DF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5.620699***</w:t>
            </w:r>
          </w:p>
        </w:tc>
        <w:tc>
          <w:tcPr>
            <w:tcW w:w="1048" w:type="dxa"/>
            <w:tcBorders>
              <w:top w:val="nil"/>
              <w:left w:val="nil"/>
              <w:bottom w:val="nil"/>
              <w:right w:val="nil"/>
            </w:tcBorders>
            <w:shd w:val="clear" w:color="auto" w:fill="auto"/>
            <w:noWrap/>
            <w:vAlign w:val="bottom"/>
            <w:hideMark/>
          </w:tcPr>
          <w:p w14:paraId="34F5DF4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7960ADDD" w14:textId="77777777" w:rsidTr="00994AE3">
        <w:trPr>
          <w:trHeight w:val="244"/>
        </w:trPr>
        <w:tc>
          <w:tcPr>
            <w:tcW w:w="1510" w:type="dxa"/>
            <w:vMerge/>
            <w:tcBorders>
              <w:top w:val="nil"/>
              <w:left w:val="nil"/>
              <w:bottom w:val="single" w:sz="8" w:space="0" w:color="000000"/>
              <w:right w:val="nil"/>
            </w:tcBorders>
            <w:vAlign w:val="center"/>
            <w:hideMark/>
          </w:tcPr>
          <w:p w14:paraId="6E9F2DD8"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6BAEA5F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1965</w:t>
            </w:r>
          </w:p>
        </w:tc>
        <w:tc>
          <w:tcPr>
            <w:tcW w:w="1856" w:type="dxa"/>
            <w:tcBorders>
              <w:top w:val="nil"/>
              <w:left w:val="nil"/>
              <w:bottom w:val="nil"/>
              <w:right w:val="nil"/>
            </w:tcBorders>
            <w:shd w:val="clear" w:color="auto" w:fill="auto"/>
            <w:noWrap/>
            <w:vAlign w:val="bottom"/>
            <w:hideMark/>
          </w:tcPr>
          <w:p w14:paraId="2622B1C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6.575035***</w:t>
            </w:r>
          </w:p>
        </w:tc>
        <w:tc>
          <w:tcPr>
            <w:tcW w:w="1146" w:type="dxa"/>
            <w:tcBorders>
              <w:top w:val="nil"/>
              <w:left w:val="nil"/>
              <w:bottom w:val="nil"/>
              <w:right w:val="nil"/>
            </w:tcBorders>
            <w:shd w:val="clear" w:color="auto" w:fill="auto"/>
            <w:noWrap/>
            <w:vAlign w:val="bottom"/>
            <w:hideMark/>
          </w:tcPr>
          <w:p w14:paraId="1C0A00A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46C88BD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16AAA522"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6.000606***</w:t>
            </w:r>
          </w:p>
        </w:tc>
        <w:tc>
          <w:tcPr>
            <w:tcW w:w="1048" w:type="dxa"/>
            <w:tcBorders>
              <w:top w:val="nil"/>
              <w:left w:val="nil"/>
              <w:bottom w:val="nil"/>
              <w:right w:val="nil"/>
            </w:tcBorders>
            <w:shd w:val="clear" w:color="auto" w:fill="auto"/>
            <w:noWrap/>
            <w:vAlign w:val="bottom"/>
            <w:hideMark/>
          </w:tcPr>
          <w:p w14:paraId="2B8DC8E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0DF2810B" w14:textId="77777777" w:rsidTr="00994AE3">
        <w:trPr>
          <w:trHeight w:val="244"/>
        </w:trPr>
        <w:tc>
          <w:tcPr>
            <w:tcW w:w="1510" w:type="dxa"/>
            <w:vMerge/>
            <w:tcBorders>
              <w:top w:val="nil"/>
              <w:left w:val="nil"/>
              <w:bottom w:val="single" w:sz="8" w:space="0" w:color="000000"/>
              <w:right w:val="nil"/>
            </w:tcBorders>
            <w:vAlign w:val="center"/>
            <w:hideMark/>
          </w:tcPr>
          <w:p w14:paraId="0CFAEBBA"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1131FC8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1970</w:t>
            </w:r>
          </w:p>
        </w:tc>
        <w:tc>
          <w:tcPr>
            <w:tcW w:w="1856" w:type="dxa"/>
            <w:tcBorders>
              <w:top w:val="nil"/>
              <w:left w:val="nil"/>
              <w:bottom w:val="nil"/>
              <w:right w:val="nil"/>
            </w:tcBorders>
            <w:shd w:val="clear" w:color="auto" w:fill="auto"/>
            <w:noWrap/>
            <w:vAlign w:val="bottom"/>
            <w:hideMark/>
          </w:tcPr>
          <w:p w14:paraId="45B1F5E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6.951683***</w:t>
            </w:r>
          </w:p>
        </w:tc>
        <w:tc>
          <w:tcPr>
            <w:tcW w:w="1146" w:type="dxa"/>
            <w:tcBorders>
              <w:top w:val="nil"/>
              <w:left w:val="nil"/>
              <w:bottom w:val="nil"/>
              <w:right w:val="nil"/>
            </w:tcBorders>
            <w:shd w:val="clear" w:color="auto" w:fill="auto"/>
            <w:noWrap/>
            <w:vAlign w:val="bottom"/>
            <w:hideMark/>
          </w:tcPr>
          <w:p w14:paraId="57345CF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0EE0323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49F3862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6.368141***</w:t>
            </w:r>
          </w:p>
        </w:tc>
        <w:tc>
          <w:tcPr>
            <w:tcW w:w="1048" w:type="dxa"/>
            <w:tcBorders>
              <w:top w:val="nil"/>
              <w:left w:val="nil"/>
              <w:bottom w:val="nil"/>
              <w:right w:val="nil"/>
            </w:tcBorders>
            <w:shd w:val="clear" w:color="auto" w:fill="auto"/>
            <w:noWrap/>
            <w:vAlign w:val="bottom"/>
            <w:hideMark/>
          </w:tcPr>
          <w:p w14:paraId="1E6E7105"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75CD05C5" w14:textId="77777777" w:rsidTr="00994AE3">
        <w:trPr>
          <w:trHeight w:val="244"/>
        </w:trPr>
        <w:tc>
          <w:tcPr>
            <w:tcW w:w="1510" w:type="dxa"/>
            <w:vMerge/>
            <w:tcBorders>
              <w:top w:val="nil"/>
              <w:left w:val="nil"/>
              <w:bottom w:val="single" w:sz="8" w:space="0" w:color="000000"/>
              <w:right w:val="nil"/>
            </w:tcBorders>
            <w:vAlign w:val="center"/>
            <w:hideMark/>
          </w:tcPr>
          <w:p w14:paraId="2B4D4DA0"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4FA7C9A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1975</w:t>
            </w:r>
          </w:p>
        </w:tc>
        <w:tc>
          <w:tcPr>
            <w:tcW w:w="1856" w:type="dxa"/>
            <w:tcBorders>
              <w:top w:val="nil"/>
              <w:left w:val="nil"/>
              <w:bottom w:val="nil"/>
              <w:right w:val="nil"/>
            </w:tcBorders>
            <w:shd w:val="clear" w:color="auto" w:fill="auto"/>
            <w:noWrap/>
            <w:vAlign w:val="bottom"/>
            <w:hideMark/>
          </w:tcPr>
          <w:p w14:paraId="72F0771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7.293686***</w:t>
            </w:r>
          </w:p>
        </w:tc>
        <w:tc>
          <w:tcPr>
            <w:tcW w:w="1146" w:type="dxa"/>
            <w:tcBorders>
              <w:top w:val="nil"/>
              <w:left w:val="nil"/>
              <w:bottom w:val="nil"/>
              <w:right w:val="nil"/>
            </w:tcBorders>
            <w:shd w:val="clear" w:color="auto" w:fill="auto"/>
            <w:noWrap/>
            <w:vAlign w:val="bottom"/>
            <w:hideMark/>
          </w:tcPr>
          <w:p w14:paraId="0E15A29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6F0C6B9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4A87E0F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6.720973***</w:t>
            </w:r>
          </w:p>
        </w:tc>
        <w:tc>
          <w:tcPr>
            <w:tcW w:w="1048" w:type="dxa"/>
            <w:tcBorders>
              <w:top w:val="nil"/>
              <w:left w:val="nil"/>
              <w:bottom w:val="nil"/>
              <w:right w:val="nil"/>
            </w:tcBorders>
            <w:shd w:val="clear" w:color="auto" w:fill="auto"/>
            <w:noWrap/>
            <w:vAlign w:val="bottom"/>
            <w:hideMark/>
          </w:tcPr>
          <w:p w14:paraId="59CF03A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2657AE1B" w14:textId="77777777" w:rsidTr="00994AE3">
        <w:trPr>
          <w:trHeight w:val="244"/>
        </w:trPr>
        <w:tc>
          <w:tcPr>
            <w:tcW w:w="1510" w:type="dxa"/>
            <w:vMerge/>
            <w:tcBorders>
              <w:top w:val="nil"/>
              <w:left w:val="nil"/>
              <w:bottom w:val="single" w:sz="8" w:space="0" w:color="000000"/>
              <w:right w:val="nil"/>
            </w:tcBorders>
            <w:vAlign w:val="center"/>
            <w:hideMark/>
          </w:tcPr>
          <w:p w14:paraId="5563556B"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5ED0D7A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1980</w:t>
            </w:r>
          </w:p>
        </w:tc>
        <w:tc>
          <w:tcPr>
            <w:tcW w:w="1856" w:type="dxa"/>
            <w:tcBorders>
              <w:top w:val="nil"/>
              <w:left w:val="nil"/>
              <w:bottom w:val="nil"/>
              <w:right w:val="nil"/>
            </w:tcBorders>
            <w:shd w:val="clear" w:color="auto" w:fill="auto"/>
            <w:noWrap/>
            <w:vAlign w:val="bottom"/>
            <w:hideMark/>
          </w:tcPr>
          <w:p w14:paraId="0CED8C6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7.590093***</w:t>
            </w:r>
          </w:p>
        </w:tc>
        <w:tc>
          <w:tcPr>
            <w:tcW w:w="1146" w:type="dxa"/>
            <w:tcBorders>
              <w:top w:val="nil"/>
              <w:left w:val="nil"/>
              <w:bottom w:val="nil"/>
              <w:right w:val="nil"/>
            </w:tcBorders>
            <w:shd w:val="clear" w:color="auto" w:fill="auto"/>
            <w:noWrap/>
            <w:vAlign w:val="bottom"/>
            <w:hideMark/>
          </w:tcPr>
          <w:p w14:paraId="102F9BB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0D74941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4C621870"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7.049327***</w:t>
            </w:r>
          </w:p>
        </w:tc>
        <w:tc>
          <w:tcPr>
            <w:tcW w:w="1048" w:type="dxa"/>
            <w:tcBorders>
              <w:top w:val="nil"/>
              <w:left w:val="nil"/>
              <w:bottom w:val="nil"/>
              <w:right w:val="nil"/>
            </w:tcBorders>
            <w:shd w:val="clear" w:color="auto" w:fill="auto"/>
            <w:noWrap/>
            <w:vAlign w:val="bottom"/>
            <w:hideMark/>
          </w:tcPr>
          <w:p w14:paraId="6A50519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568877CD" w14:textId="77777777" w:rsidTr="00994AE3">
        <w:trPr>
          <w:trHeight w:val="244"/>
        </w:trPr>
        <w:tc>
          <w:tcPr>
            <w:tcW w:w="1510" w:type="dxa"/>
            <w:vMerge/>
            <w:tcBorders>
              <w:top w:val="nil"/>
              <w:left w:val="nil"/>
              <w:bottom w:val="single" w:sz="8" w:space="0" w:color="000000"/>
              <w:right w:val="nil"/>
            </w:tcBorders>
            <w:vAlign w:val="center"/>
            <w:hideMark/>
          </w:tcPr>
          <w:p w14:paraId="0CBF12E2"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1944301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1985</w:t>
            </w:r>
          </w:p>
        </w:tc>
        <w:tc>
          <w:tcPr>
            <w:tcW w:w="1856" w:type="dxa"/>
            <w:tcBorders>
              <w:top w:val="nil"/>
              <w:left w:val="nil"/>
              <w:bottom w:val="nil"/>
              <w:right w:val="nil"/>
            </w:tcBorders>
            <w:shd w:val="clear" w:color="auto" w:fill="auto"/>
            <w:noWrap/>
            <w:vAlign w:val="bottom"/>
            <w:hideMark/>
          </w:tcPr>
          <w:p w14:paraId="67F66B00"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7.832624***</w:t>
            </w:r>
          </w:p>
        </w:tc>
        <w:tc>
          <w:tcPr>
            <w:tcW w:w="1146" w:type="dxa"/>
            <w:tcBorders>
              <w:top w:val="nil"/>
              <w:left w:val="nil"/>
              <w:bottom w:val="nil"/>
              <w:right w:val="nil"/>
            </w:tcBorders>
            <w:shd w:val="clear" w:color="auto" w:fill="auto"/>
            <w:noWrap/>
            <w:vAlign w:val="bottom"/>
            <w:hideMark/>
          </w:tcPr>
          <w:p w14:paraId="7373CE1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3CB73D0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5CADE1C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7.349038***</w:t>
            </w:r>
          </w:p>
        </w:tc>
        <w:tc>
          <w:tcPr>
            <w:tcW w:w="1048" w:type="dxa"/>
            <w:tcBorders>
              <w:top w:val="nil"/>
              <w:left w:val="nil"/>
              <w:bottom w:val="nil"/>
              <w:right w:val="nil"/>
            </w:tcBorders>
            <w:shd w:val="clear" w:color="auto" w:fill="auto"/>
            <w:noWrap/>
            <w:vAlign w:val="bottom"/>
            <w:hideMark/>
          </w:tcPr>
          <w:p w14:paraId="15BB892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3A6F6BCC" w14:textId="77777777" w:rsidTr="00994AE3">
        <w:trPr>
          <w:trHeight w:val="244"/>
        </w:trPr>
        <w:tc>
          <w:tcPr>
            <w:tcW w:w="1510" w:type="dxa"/>
            <w:vMerge/>
            <w:tcBorders>
              <w:top w:val="nil"/>
              <w:left w:val="nil"/>
              <w:bottom w:val="single" w:sz="8" w:space="0" w:color="000000"/>
              <w:right w:val="nil"/>
            </w:tcBorders>
            <w:vAlign w:val="center"/>
            <w:hideMark/>
          </w:tcPr>
          <w:p w14:paraId="4C68D1E2"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nil"/>
              <w:right w:val="nil"/>
            </w:tcBorders>
            <w:shd w:val="clear" w:color="auto" w:fill="auto"/>
            <w:noWrap/>
            <w:vAlign w:val="bottom"/>
            <w:hideMark/>
          </w:tcPr>
          <w:p w14:paraId="6C489FD8"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1990</w:t>
            </w:r>
          </w:p>
        </w:tc>
        <w:tc>
          <w:tcPr>
            <w:tcW w:w="1856" w:type="dxa"/>
            <w:tcBorders>
              <w:top w:val="nil"/>
              <w:left w:val="nil"/>
              <w:bottom w:val="nil"/>
              <w:right w:val="nil"/>
            </w:tcBorders>
            <w:shd w:val="clear" w:color="auto" w:fill="auto"/>
            <w:noWrap/>
            <w:vAlign w:val="bottom"/>
            <w:hideMark/>
          </w:tcPr>
          <w:p w14:paraId="39290C0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8.014414***</w:t>
            </w:r>
          </w:p>
        </w:tc>
        <w:tc>
          <w:tcPr>
            <w:tcW w:w="1146" w:type="dxa"/>
            <w:tcBorders>
              <w:top w:val="nil"/>
              <w:left w:val="nil"/>
              <w:bottom w:val="nil"/>
              <w:right w:val="nil"/>
            </w:tcBorders>
            <w:shd w:val="clear" w:color="auto" w:fill="auto"/>
            <w:noWrap/>
            <w:vAlign w:val="bottom"/>
            <w:hideMark/>
          </w:tcPr>
          <w:p w14:paraId="76BEDAAE"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nil"/>
              <w:right w:val="nil"/>
            </w:tcBorders>
            <w:shd w:val="clear" w:color="auto" w:fill="auto"/>
            <w:noWrap/>
            <w:vAlign w:val="bottom"/>
            <w:hideMark/>
          </w:tcPr>
          <w:p w14:paraId="12D82E4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p>
        </w:tc>
        <w:tc>
          <w:tcPr>
            <w:tcW w:w="1939" w:type="dxa"/>
            <w:tcBorders>
              <w:top w:val="nil"/>
              <w:left w:val="nil"/>
              <w:bottom w:val="nil"/>
              <w:right w:val="nil"/>
            </w:tcBorders>
            <w:shd w:val="clear" w:color="auto" w:fill="auto"/>
            <w:noWrap/>
            <w:vAlign w:val="bottom"/>
            <w:hideMark/>
          </w:tcPr>
          <w:p w14:paraId="0A738D4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7.612211***</w:t>
            </w:r>
          </w:p>
        </w:tc>
        <w:tc>
          <w:tcPr>
            <w:tcW w:w="1048" w:type="dxa"/>
            <w:tcBorders>
              <w:top w:val="nil"/>
              <w:left w:val="nil"/>
              <w:bottom w:val="nil"/>
              <w:right w:val="nil"/>
            </w:tcBorders>
            <w:shd w:val="clear" w:color="auto" w:fill="auto"/>
            <w:noWrap/>
            <w:vAlign w:val="bottom"/>
            <w:hideMark/>
          </w:tcPr>
          <w:p w14:paraId="0E003EA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783764A5" w14:textId="77777777" w:rsidTr="00994AE3">
        <w:trPr>
          <w:trHeight w:val="256"/>
        </w:trPr>
        <w:tc>
          <w:tcPr>
            <w:tcW w:w="1510" w:type="dxa"/>
            <w:vMerge/>
            <w:tcBorders>
              <w:top w:val="nil"/>
              <w:left w:val="nil"/>
              <w:bottom w:val="single" w:sz="8" w:space="0" w:color="000000"/>
              <w:right w:val="nil"/>
            </w:tcBorders>
            <w:vAlign w:val="center"/>
            <w:hideMark/>
          </w:tcPr>
          <w:p w14:paraId="5F874B9F"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p>
        </w:tc>
        <w:tc>
          <w:tcPr>
            <w:tcW w:w="1513" w:type="dxa"/>
            <w:tcBorders>
              <w:top w:val="nil"/>
              <w:left w:val="nil"/>
              <w:bottom w:val="single" w:sz="8" w:space="0" w:color="auto"/>
              <w:right w:val="nil"/>
            </w:tcBorders>
            <w:shd w:val="clear" w:color="auto" w:fill="auto"/>
            <w:noWrap/>
            <w:vAlign w:val="bottom"/>
            <w:hideMark/>
          </w:tcPr>
          <w:p w14:paraId="646CFCC9"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1995</w:t>
            </w:r>
          </w:p>
        </w:tc>
        <w:tc>
          <w:tcPr>
            <w:tcW w:w="1856" w:type="dxa"/>
            <w:tcBorders>
              <w:top w:val="nil"/>
              <w:left w:val="nil"/>
              <w:bottom w:val="single" w:sz="8" w:space="0" w:color="auto"/>
              <w:right w:val="nil"/>
            </w:tcBorders>
            <w:shd w:val="clear" w:color="auto" w:fill="auto"/>
            <w:noWrap/>
            <w:vAlign w:val="bottom"/>
            <w:hideMark/>
          </w:tcPr>
          <w:p w14:paraId="442A85A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8.127946***</w:t>
            </w:r>
          </w:p>
        </w:tc>
        <w:tc>
          <w:tcPr>
            <w:tcW w:w="1146" w:type="dxa"/>
            <w:tcBorders>
              <w:top w:val="nil"/>
              <w:left w:val="nil"/>
              <w:bottom w:val="single" w:sz="8" w:space="0" w:color="auto"/>
              <w:right w:val="nil"/>
            </w:tcBorders>
            <w:shd w:val="clear" w:color="auto" w:fill="auto"/>
            <w:noWrap/>
            <w:vAlign w:val="bottom"/>
            <w:hideMark/>
          </w:tcPr>
          <w:p w14:paraId="2E575C2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single" w:sz="8" w:space="0" w:color="auto"/>
              <w:right w:val="nil"/>
            </w:tcBorders>
            <w:shd w:val="clear" w:color="auto" w:fill="auto"/>
            <w:noWrap/>
            <w:vAlign w:val="bottom"/>
            <w:hideMark/>
          </w:tcPr>
          <w:p w14:paraId="6877D66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1939" w:type="dxa"/>
            <w:tcBorders>
              <w:top w:val="nil"/>
              <w:left w:val="nil"/>
              <w:bottom w:val="single" w:sz="8" w:space="0" w:color="auto"/>
              <w:right w:val="nil"/>
            </w:tcBorders>
            <w:shd w:val="clear" w:color="auto" w:fill="auto"/>
            <w:noWrap/>
            <w:vAlign w:val="bottom"/>
            <w:hideMark/>
          </w:tcPr>
          <w:p w14:paraId="58692620"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7.83018***</w:t>
            </w:r>
          </w:p>
        </w:tc>
        <w:tc>
          <w:tcPr>
            <w:tcW w:w="1048" w:type="dxa"/>
            <w:tcBorders>
              <w:top w:val="nil"/>
              <w:left w:val="nil"/>
              <w:bottom w:val="single" w:sz="8" w:space="0" w:color="auto"/>
              <w:right w:val="nil"/>
            </w:tcBorders>
            <w:shd w:val="clear" w:color="auto" w:fill="auto"/>
            <w:noWrap/>
            <w:vAlign w:val="bottom"/>
            <w:hideMark/>
          </w:tcPr>
          <w:p w14:paraId="54E88B5D"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5E0FB048" w14:textId="77777777" w:rsidTr="00994AE3">
        <w:trPr>
          <w:trHeight w:val="256"/>
        </w:trPr>
        <w:tc>
          <w:tcPr>
            <w:tcW w:w="1510" w:type="dxa"/>
            <w:tcBorders>
              <w:top w:val="nil"/>
              <w:left w:val="nil"/>
              <w:bottom w:val="single" w:sz="8" w:space="0" w:color="auto"/>
              <w:right w:val="nil"/>
            </w:tcBorders>
            <w:shd w:val="clear" w:color="auto" w:fill="auto"/>
            <w:noWrap/>
            <w:vAlign w:val="bottom"/>
            <w:hideMark/>
          </w:tcPr>
          <w:p w14:paraId="001D036F"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Constant</w:t>
            </w:r>
          </w:p>
        </w:tc>
        <w:tc>
          <w:tcPr>
            <w:tcW w:w="1513" w:type="dxa"/>
            <w:tcBorders>
              <w:top w:val="nil"/>
              <w:left w:val="nil"/>
              <w:bottom w:val="single" w:sz="8" w:space="0" w:color="auto"/>
              <w:right w:val="nil"/>
            </w:tcBorders>
            <w:shd w:val="clear" w:color="auto" w:fill="auto"/>
            <w:noWrap/>
            <w:vAlign w:val="bottom"/>
            <w:hideMark/>
          </w:tcPr>
          <w:p w14:paraId="7419659B"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1856" w:type="dxa"/>
            <w:tcBorders>
              <w:top w:val="nil"/>
              <w:left w:val="nil"/>
              <w:bottom w:val="single" w:sz="8" w:space="0" w:color="auto"/>
              <w:right w:val="nil"/>
            </w:tcBorders>
            <w:shd w:val="clear" w:color="auto" w:fill="auto"/>
            <w:noWrap/>
            <w:vAlign w:val="bottom"/>
            <w:hideMark/>
          </w:tcPr>
          <w:p w14:paraId="0D5BD291"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17.27239***</w:t>
            </w:r>
          </w:p>
        </w:tc>
        <w:tc>
          <w:tcPr>
            <w:tcW w:w="1146" w:type="dxa"/>
            <w:tcBorders>
              <w:top w:val="nil"/>
              <w:left w:val="nil"/>
              <w:bottom w:val="single" w:sz="8" w:space="0" w:color="auto"/>
              <w:right w:val="nil"/>
            </w:tcBorders>
            <w:shd w:val="clear" w:color="auto" w:fill="auto"/>
            <w:noWrap/>
            <w:vAlign w:val="bottom"/>
            <w:hideMark/>
          </w:tcPr>
          <w:p w14:paraId="16A9ABB7"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c>
          <w:tcPr>
            <w:tcW w:w="292" w:type="dxa"/>
            <w:tcBorders>
              <w:top w:val="nil"/>
              <w:left w:val="nil"/>
              <w:bottom w:val="single" w:sz="8" w:space="0" w:color="auto"/>
              <w:right w:val="nil"/>
            </w:tcBorders>
            <w:shd w:val="clear" w:color="auto" w:fill="auto"/>
            <w:noWrap/>
            <w:vAlign w:val="bottom"/>
            <w:hideMark/>
          </w:tcPr>
          <w:p w14:paraId="062D5750"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1939" w:type="dxa"/>
            <w:tcBorders>
              <w:top w:val="nil"/>
              <w:left w:val="nil"/>
              <w:bottom w:val="single" w:sz="8" w:space="0" w:color="auto"/>
              <w:right w:val="nil"/>
            </w:tcBorders>
            <w:shd w:val="clear" w:color="auto" w:fill="auto"/>
            <w:noWrap/>
            <w:vAlign w:val="bottom"/>
            <w:hideMark/>
          </w:tcPr>
          <w:p w14:paraId="147B44A6"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18.41231***</w:t>
            </w:r>
          </w:p>
        </w:tc>
        <w:tc>
          <w:tcPr>
            <w:tcW w:w="1048" w:type="dxa"/>
            <w:tcBorders>
              <w:top w:val="nil"/>
              <w:left w:val="nil"/>
              <w:bottom w:val="single" w:sz="8" w:space="0" w:color="auto"/>
              <w:right w:val="nil"/>
            </w:tcBorders>
            <w:shd w:val="clear" w:color="auto" w:fill="auto"/>
            <w:noWrap/>
            <w:vAlign w:val="bottom"/>
            <w:hideMark/>
          </w:tcPr>
          <w:p w14:paraId="58054AB4"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0.000</w:t>
            </w:r>
          </w:p>
        </w:tc>
      </w:tr>
      <w:tr w:rsidR="00D3605A" w:rsidRPr="00D3605A" w14:paraId="0EE920D1" w14:textId="77777777" w:rsidTr="00994AE3">
        <w:trPr>
          <w:trHeight w:val="244"/>
        </w:trPr>
        <w:tc>
          <w:tcPr>
            <w:tcW w:w="1510" w:type="dxa"/>
            <w:tcBorders>
              <w:top w:val="nil"/>
              <w:left w:val="nil"/>
              <w:bottom w:val="nil"/>
              <w:right w:val="nil"/>
            </w:tcBorders>
            <w:shd w:val="clear" w:color="auto" w:fill="auto"/>
            <w:noWrap/>
            <w:vAlign w:val="bottom"/>
            <w:hideMark/>
          </w:tcPr>
          <w:p w14:paraId="1AEAB2A5"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R-squared</w:t>
            </w:r>
          </w:p>
        </w:tc>
        <w:tc>
          <w:tcPr>
            <w:tcW w:w="1513" w:type="dxa"/>
            <w:tcBorders>
              <w:top w:val="nil"/>
              <w:left w:val="nil"/>
              <w:bottom w:val="nil"/>
              <w:right w:val="nil"/>
            </w:tcBorders>
            <w:shd w:val="clear" w:color="auto" w:fill="auto"/>
            <w:noWrap/>
            <w:vAlign w:val="bottom"/>
            <w:hideMark/>
          </w:tcPr>
          <w:p w14:paraId="38D41A6A"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3002" w:type="dxa"/>
            <w:gridSpan w:val="2"/>
            <w:tcBorders>
              <w:top w:val="single" w:sz="8" w:space="0" w:color="auto"/>
              <w:left w:val="nil"/>
              <w:bottom w:val="nil"/>
              <w:right w:val="nil"/>
            </w:tcBorders>
            <w:shd w:val="clear" w:color="auto" w:fill="auto"/>
            <w:noWrap/>
            <w:vAlign w:val="bottom"/>
            <w:hideMark/>
          </w:tcPr>
          <w:p w14:paraId="3C06305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0.9041</w:t>
            </w:r>
          </w:p>
        </w:tc>
        <w:tc>
          <w:tcPr>
            <w:tcW w:w="292" w:type="dxa"/>
            <w:tcBorders>
              <w:top w:val="nil"/>
              <w:left w:val="nil"/>
              <w:bottom w:val="nil"/>
              <w:right w:val="nil"/>
            </w:tcBorders>
            <w:shd w:val="clear" w:color="auto" w:fill="auto"/>
            <w:noWrap/>
            <w:vAlign w:val="bottom"/>
            <w:hideMark/>
          </w:tcPr>
          <w:p w14:paraId="547A7A83"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2987" w:type="dxa"/>
            <w:gridSpan w:val="2"/>
            <w:tcBorders>
              <w:top w:val="single" w:sz="8" w:space="0" w:color="auto"/>
              <w:left w:val="nil"/>
              <w:bottom w:val="nil"/>
              <w:right w:val="nil"/>
            </w:tcBorders>
            <w:shd w:val="clear" w:color="auto" w:fill="auto"/>
            <w:noWrap/>
            <w:vAlign w:val="bottom"/>
            <w:hideMark/>
          </w:tcPr>
          <w:p w14:paraId="79BAD0CC"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0.9672</w:t>
            </w:r>
          </w:p>
        </w:tc>
      </w:tr>
      <w:tr w:rsidR="00D3605A" w:rsidRPr="00D3605A" w14:paraId="6167164E" w14:textId="77777777" w:rsidTr="00994AE3">
        <w:trPr>
          <w:trHeight w:val="256"/>
        </w:trPr>
        <w:tc>
          <w:tcPr>
            <w:tcW w:w="3023" w:type="dxa"/>
            <w:gridSpan w:val="2"/>
            <w:tcBorders>
              <w:top w:val="nil"/>
              <w:left w:val="nil"/>
              <w:bottom w:val="single" w:sz="8" w:space="0" w:color="auto"/>
              <w:right w:val="nil"/>
            </w:tcBorders>
            <w:shd w:val="clear" w:color="auto" w:fill="auto"/>
            <w:noWrap/>
            <w:vAlign w:val="bottom"/>
            <w:hideMark/>
          </w:tcPr>
          <w:p w14:paraId="209CAB66" w14:textId="77777777" w:rsidR="00D3605A" w:rsidRPr="00D3605A" w:rsidRDefault="00D3605A" w:rsidP="00D3605A">
            <w:pPr>
              <w:spacing w:after="0" w:line="240" w:lineRule="auto"/>
              <w:jc w:val="both"/>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 xml:space="preserve">Observations </w:t>
            </w:r>
          </w:p>
        </w:tc>
        <w:tc>
          <w:tcPr>
            <w:tcW w:w="3002" w:type="dxa"/>
            <w:gridSpan w:val="2"/>
            <w:tcBorders>
              <w:top w:val="nil"/>
              <w:left w:val="nil"/>
              <w:bottom w:val="single" w:sz="8" w:space="0" w:color="auto"/>
              <w:right w:val="nil"/>
            </w:tcBorders>
            <w:shd w:val="clear" w:color="auto" w:fill="auto"/>
            <w:noWrap/>
            <w:vAlign w:val="bottom"/>
            <w:hideMark/>
          </w:tcPr>
          <w:p w14:paraId="356827B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1,890</w:t>
            </w:r>
          </w:p>
        </w:tc>
        <w:tc>
          <w:tcPr>
            <w:tcW w:w="292" w:type="dxa"/>
            <w:tcBorders>
              <w:top w:val="nil"/>
              <w:left w:val="nil"/>
              <w:bottom w:val="single" w:sz="8" w:space="0" w:color="auto"/>
              <w:right w:val="nil"/>
            </w:tcBorders>
            <w:shd w:val="clear" w:color="auto" w:fill="auto"/>
            <w:noWrap/>
            <w:vAlign w:val="bottom"/>
            <w:hideMark/>
          </w:tcPr>
          <w:p w14:paraId="77C98CFF"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w:t>
            </w:r>
          </w:p>
        </w:tc>
        <w:tc>
          <w:tcPr>
            <w:tcW w:w="2987" w:type="dxa"/>
            <w:gridSpan w:val="2"/>
            <w:tcBorders>
              <w:top w:val="nil"/>
              <w:left w:val="nil"/>
              <w:bottom w:val="single" w:sz="8" w:space="0" w:color="auto"/>
              <w:right w:val="nil"/>
            </w:tcBorders>
            <w:shd w:val="clear" w:color="auto" w:fill="auto"/>
            <w:noWrap/>
            <w:vAlign w:val="bottom"/>
            <w:hideMark/>
          </w:tcPr>
          <w:p w14:paraId="0A32FED6" w14:textId="77777777" w:rsidR="00D3605A" w:rsidRPr="00D3605A" w:rsidRDefault="00D3605A" w:rsidP="00D3605A">
            <w:pPr>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1,890</w:t>
            </w:r>
          </w:p>
        </w:tc>
      </w:tr>
    </w:tbl>
    <w:p w14:paraId="44AB2880" w14:textId="5C0FF4A3" w:rsidR="004B3CCD" w:rsidRDefault="00D3605A" w:rsidP="004B3CCD">
      <w:pPr>
        <w:spacing w:after="0" w:line="240" w:lineRule="auto"/>
        <w:jc w:val="both"/>
        <w:rPr>
          <w:rFonts w:ascii="Times New Roman" w:eastAsia="Malgun Gothic" w:hAnsi="Times New Roman" w:cs="Times New Roman"/>
          <w:color w:val="000000"/>
          <w:sz w:val="24"/>
          <w:szCs w:val="24"/>
          <w:lang w:eastAsia="ko-KR"/>
        </w:rPr>
      </w:pPr>
      <w:r w:rsidRPr="006745F4">
        <w:rPr>
          <w:rFonts w:ascii="Times New Roman" w:eastAsia="Malgun Gothic" w:hAnsi="Times New Roman" w:cs="Times New Roman"/>
          <w:color w:val="000000"/>
          <w:sz w:val="20"/>
          <w:szCs w:val="20"/>
          <w:lang w:eastAsia="ko-KR"/>
        </w:rPr>
        <w:t>Note: All regressions include country fixed effects. *** Significantly different from zero at the 1% level, ** Significantly different from zero at the 5% level, * Significantly different from zero at the 10% level P-values within parentheses. Values for the “Year of birth” variables represent changes with respect to 1890 (omitted). For the EC imputation we assumed moderate physical activity levels.</w:t>
      </w:r>
      <w:bookmarkStart w:id="6" w:name="_Ref75684807"/>
      <w:r w:rsidR="004B3CCD">
        <w:rPr>
          <w:rFonts w:ascii="Times New Roman" w:eastAsia="Malgun Gothic" w:hAnsi="Times New Roman" w:cs="Times New Roman"/>
          <w:color w:val="000000"/>
          <w:sz w:val="24"/>
          <w:szCs w:val="24"/>
          <w:lang w:eastAsia="ko-KR"/>
        </w:rPr>
        <w:br w:type="page"/>
      </w:r>
    </w:p>
    <w:p w14:paraId="04924562" w14:textId="01229158" w:rsidR="00D3605A" w:rsidRPr="00D3605A" w:rsidRDefault="00D3605A" w:rsidP="001645F6">
      <w:pPr>
        <w:pStyle w:val="Descripcin"/>
        <w:rPr>
          <w:rFonts w:ascii="Times New Roman" w:eastAsia="Malgun Gothic" w:hAnsi="Times New Roman" w:cs="Times New Roman"/>
          <w:b/>
          <w:i w:val="0"/>
          <w:iCs w:val="0"/>
          <w:color w:val="auto"/>
          <w:sz w:val="24"/>
          <w:szCs w:val="24"/>
          <w:lang w:eastAsia="ko-KR"/>
        </w:rPr>
      </w:pPr>
      <w:bookmarkStart w:id="7" w:name="_Toc97739554"/>
      <w:r w:rsidRPr="00D3605A">
        <w:rPr>
          <w:rFonts w:ascii="Times New Roman" w:eastAsia="Malgun Gothic" w:hAnsi="Times New Roman" w:cs="Times New Roman"/>
          <w:b/>
          <w:i w:val="0"/>
          <w:iCs w:val="0"/>
          <w:color w:val="auto"/>
          <w:sz w:val="24"/>
          <w:szCs w:val="24"/>
          <w:lang w:eastAsia="ko-KR"/>
        </w:rPr>
        <w:lastRenderedPageBreak/>
        <w:t xml:space="preserve">Table </w:t>
      </w:r>
      <w:bookmarkEnd w:id="6"/>
      <w:r w:rsidR="00670F02" w:rsidRPr="001645F6">
        <w:rPr>
          <w:rFonts w:ascii="Times New Roman" w:eastAsia="Malgun Gothic" w:hAnsi="Times New Roman" w:cs="Times New Roman"/>
          <w:b/>
          <w:i w:val="0"/>
          <w:iCs w:val="0"/>
          <w:color w:val="auto"/>
          <w:sz w:val="24"/>
          <w:szCs w:val="24"/>
          <w:lang w:eastAsia="ko-KR"/>
        </w:rPr>
        <w:t>S</w:t>
      </w:r>
      <w:r w:rsidR="001645F6" w:rsidRPr="001645F6">
        <w:rPr>
          <w:rFonts w:ascii="Times New Roman" w:hAnsi="Times New Roman" w:cs="Times New Roman"/>
          <w:b/>
          <w:i w:val="0"/>
          <w:iCs w:val="0"/>
          <w:color w:val="auto"/>
          <w:sz w:val="24"/>
          <w:szCs w:val="24"/>
        </w:rPr>
        <w:fldChar w:fldCharType="begin"/>
      </w:r>
      <w:r w:rsidR="001645F6" w:rsidRPr="001645F6">
        <w:rPr>
          <w:rFonts w:ascii="Times New Roman" w:hAnsi="Times New Roman" w:cs="Times New Roman"/>
          <w:b/>
          <w:i w:val="0"/>
          <w:iCs w:val="0"/>
          <w:color w:val="auto"/>
          <w:sz w:val="24"/>
          <w:szCs w:val="24"/>
        </w:rPr>
        <w:instrText xml:space="preserve"> SEQ Table_S \* ARABIC </w:instrText>
      </w:r>
      <w:r w:rsidR="001645F6" w:rsidRPr="001645F6">
        <w:rPr>
          <w:rFonts w:ascii="Times New Roman" w:hAnsi="Times New Roman" w:cs="Times New Roman"/>
          <w:b/>
          <w:i w:val="0"/>
          <w:iCs w:val="0"/>
          <w:color w:val="auto"/>
          <w:sz w:val="24"/>
          <w:szCs w:val="24"/>
        </w:rPr>
        <w:fldChar w:fldCharType="separate"/>
      </w:r>
      <w:r w:rsidR="00473FA6">
        <w:rPr>
          <w:rFonts w:ascii="Times New Roman" w:hAnsi="Times New Roman" w:cs="Times New Roman"/>
          <w:b/>
          <w:i w:val="0"/>
          <w:iCs w:val="0"/>
          <w:noProof/>
          <w:color w:val="auto"/>
          <w:sz w:val="24"/>
          <w:szCs w:val="24"/>
        </w:rPr>
        <w:t>2</w:t>
      </w:r>
      <w:r w:rsidR="001645F6" w:rsidRPr="001645F6">
        <w:rPr>
          <w:rFonts w:ascii="Times New Roman" w:hAnsi="Times New Roman" w:cs="Times New Roman"/>
          <w:b/>
          <w:i w:val="0"/>
          <w:iCs w:val="0"/>
          <w:color w:val="auto"/>
          <w:sz w:val="24"/>
          <w:szCs w:val="24"/>
        </w:rPr>
        <w:fldChar w:fldCharType="end"/>
      </w:r>
      <w:r w:rsidR="00670F02" w:rsidRPr="001645F6">
        <w:rPr>
          <w:rFonts w:ascii="Times New Roman" w:eastAsia="Malgun Gothic" w:hAnsi="Times New Roman" w:cs="Times New Roman"/>
          <w:b/>
          <w:i w:val="0"/>
          <w:iCs w:val="0"/>
          <w:color w:val="auto"/>
          <w:sz w:val="24"/>
          <w:szCs w:val="24"/>
          <w:lang w:eastAsia="ko-KR"/>
        </w:rPr>
        <w:t xml:space="preserve">. </w:t>
      </w:r>
      <w:r w:rsidRPr="00D3605A">
        <w:rPr>
          <w:rFonts w:ascii="Times New Roman" w:eastAsia="Malgun Gothic" w:hAnsi="Times New Roman" w:cs="Times New Roman"/>
          <w:b/>
          <w:i w:val="0"/>
          <w:iCs w:val="0"/>
          <w:color w:val="auto"/>
          <w:sz w:val="24"/>
          <w:szCs w:val="24"/>
          <w:lang w:eastAsia="ko-KR"/>
        </w:rPr>
        <w:t>Sensitivity of ECA and BMI correlation under different scenarios of PAL.</w:t>
      </w:r>
      <w:bookmarkEnd w:id="7"/>
    </w:p>
    <w:tbl>
      <w:tblPr>
        <w:tblStyle w:val="Tablaconcuadrcula"/>
        <w:tblW w:w="710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2"/>
        <w:gridCol w:w="1686"/>
        <w:gridCol w:w="1852"/>
        <w:gridCol w:w="1852"/>
      </w:tblGrid>
      <w:tr w:rsidR="00D3605A" w:rsidRPr="00D3605A" w14:paraId="6A0824E4" w14:textId="77777777" w:rsidTr="00994AE3">
        <w:trPr>
          <w:trHeight w:val="20"/>
          <w:jc w:val="center"/>
        </w:trPr>
        <w:tc>
          <w:tcPr>
            <w:tcW w:w="1712" w:type="dxa"/>
          </w:tcPr>
          <w:p w14:paraId="7A7C81B6" w14:textId="77777777" w:rsidR="00D3605A" w:rsidRPr="00D3605A" w:rsidRDefault="00D3605A" w:rsidP="00D3605A">
            <w:pPr>
              <w:jc w:val="both"/>
              <w:rPr>
                <w:rFonts w:cs="Times New Roman"/>
              </w:rPr>
            </w:pPr>
          </w:p>
        </w:tc>
        <w:tc>
          <w:tcPr>
            <w:tcW w:w="1686" w:type="dxa"/>
            <w:tcBorders>
              <w:right w:val="nil"/>
            </w:tcBorders>
          </w:tcPr>
          <w:p w14:paraId="15891D67" w14:textId="77777777" w:rsidR="00D3605A" w:rsidRPr="00D3605A" w:rsidRDefault="00D3605A" w:rsidP="00D3605A">
            <w:pPr>
              <w:jc w:val="both"/>
              <w:rPr>
                <w:rFonts w:cs="Times New Roman"/>
              </w:rPr>
            </w:pPr>
          </w:p>
        </w:tc>
        <w:tc>
          <w:tcPr>
            <w:tcW w:w="3704" w:type="dxa"/>
            <w:gridSpan w:val="2"/>
            <w:tcBorders>
              <w:left w:val="nil"/>
              <w:bottom w:val="single" w:sz="4" w:space="0" w:color="auto"/>
            </w:tcBorders>
          </w:tcPr>
          <w:p w14:paraId="4839BCAD" w14:textId="3F3B3873" w:rsidR="00D3605A" w:rsidRPr="00D3605A" w:rsidRDefault="00D3605A" w:rsidP="00D3605A">
            <w:pPr>
              <w:jc w:val="both"/>
              <w:rPr>
                <w:rFonts w:cs="Times New Roman"/>
                <w:b/>
                <w:bCs/>
              </w:rPr>
            </w:pPr>
            <w:r w:rsidRPr="00D3605A">
              <w:rPr>
                <w:rFonts w:cs="Times New Roman"/>
                <w:b/>
                <w:bCs/>
              </w:rPr>
              <w:t>Model 1</w:t>
            </w:r>
          </w:p>
        </w:tc>
      </w:tr>
      <w:tr w:rsidR="00D3605A" w:rsidRPr="00D3605A" w14:paraId="1140045C" w14:textId="77777777" w:rsidTr="00994AE3">
        <w:trPr>
          <w:trHeight w:val="20"/>
          <w:jc w:val="center"/>
        </w:trPr>
        <w:tc>
          <w:tcPr>
            <w:tcW w:w="1712" w:type="dxa"/>
            <w:tcBorders>
              <w:bottom w:val="single" w:sz="4" w:space="0" w:color="auto"/>
            </w:tcBorders>
            <w:vAlign w:val="center"/>
          </w:tcPr>
          <w:p w14:paraId="557C3C2F" w14:textId="77777777" w:rsidR="00D3605A" w:rsidRPr="00D3605A" w:rsidRDefault="00D3605A" w:rsidP="00D3605A">
            <w:pPr>
              <w:jc w:val="both"/>
              <w:rPr>
                <w:rFonts w:cs="Times New Roman"/>
                <w:b/>
                <w:bCs/>
              </w:rPr>
            </w:pPr>
            <w:r w:rsidRPr="00D3605A">
              <w:rPr>
                <w:rFonts w:cs="Times New Roman"/>
                <w:b/>
                <w:bCs/>
              </w:rPr>
              <w:t>PAL</w:t>
            </w:r>
          </w:p>
        </w:tc>
        <w:tc>
          <w:tcPr>
            <w:tcW w:w="1686" w:type="dxa"/>
            <w:tcBorders>
              <w:bottom w:val="single" w:sz="4" w:space="0" w:color="auto"/>
            </w:tcBorders>
            <w:vAlign w:val="center"/>
          </w:tcPr>
          <w:p w14:paraId="1A1DAC7F" w14:textId="77777777" w:rsidR="00D3605A" w:rsidRPr="00D3605A" w:rsidRDefault="00D3605A" w:rsidP="00D3605A">
            <w:pPr>
              <w:jc w:val="both"/>
              <w:rPr>
                <w:rFonts w:cs="Times New Roman"/>
                <w:b/>
                <w:bCs/>
              </w:rPr>
            </w:pPr>
            <w:r w:rsidRPr="00D3605A">
              <w:rPr>
                <w:rFonts w:cs="Times New Roman"/>
                <w:b/>
                <w:bCs/>
              </w:rPr>
              <w:t>Variable</w:t>
            </w:r>
          </w:p>
        </w:tc>
        <w:tc>
          <w:tcPr>
            <w:tcW w:w="1852" w:type="dxa"/>
            <w:tcBorders>
              <w:top w:val="single" w:sz="4" w:space="0" w:color="auto"/>
              <w:bottom w:val="single" w:sz="4" w:space="0" w:color="auto"/>
            </w:tcBorders>
            <w:vAlign w:val="center"/>
          </w:tcPr>
          <w:p w14:paraId="7F6F3A4E" w14:textId="77777777" w:rsidR="00D3605A" w:rsidRPr="00D3605A" w:rsidRDefault="00D3605A" w:rsidP="00D3605A">
            <w:pPr>
              <w:jc w:val="both"/>
              <w:rPr>
                <w:rFonts w:cs="Times New Roman"/>
              </w:rPr>
            </w:pPr>
            <w:r w:rsidRPr="00D3605A">
              <w:rPr>
                <w:rFonts w:cs="Times New Roman"/>
              </w:rPr>
              <w:t>women</w:t>
            </w:r>
          </w:p>
        </w:tc>
        <w:tc>
          <w:tcPr>
            <w:tcW w:w="1852" w:type="dxa"/>
            <w:tcBorders>
              <w:top w:val="single" w:sz="4" w:space="0" w:color="auto"/>
              <w:bottom w:val="single" w:sz="4" w:space="0" w:color="auto"/>
            </w:tcBorders>
            <w:vAlign w:val="center"/>
          </w:tcPr>
          <w:p w14:paraId="691CCF0D" w14:textId="77777777" w:rsidR="00D3605A" w:rsidRPr="00D3605A" w:rsidRDefault="00D3605A" w:rsidP="00D3605A">
            <w:pPr>
              <w:jc w:val="both"/>
              <w:rPr>
                <w:rFonts w:cs="Times New Roman"/>
              </w:rPr>
            </w:pPr>
            <w:r w:rsidRPr="00D3605A">
              <w:rPr>
                <w:rFonts w:cs="Times New Roman"/>
              </w:rPr>
              <w:t>men</w:t>
            </w:r>
          </w:p>
        </w:tc>
      </w:tr>
      <w:tr w:rsidR="00D3605A" w:rsidRPr="00D3605A" w14:paraId="32BA0755" w14:textId="77777777" w:rsidTr="00994AE3">
        <w:trPr>
          <w:trHeight w:val="20"/>
          <w:jc w:val="center"/>
        </w:trPr>
        <w:tc>
          <w:tcPr>
            <w:tcW w:w="1712" w:type="dxa"/>
            <w:vMerge w:val="restart"/>
            <w:tcBorders>
              <w:top w:val="single" w:sz="4" w:space="0" w:color="auto"/>
              <w:bottom w:val="single" w:sz="4" w:space="0" w:color="auto"/>
            </w:tcBorders>
            <w:vAlign w:val="center"/>
          </w:tcPr>
          <w:p w14:paraId="5FF400B5" w14:textId="77777777" w:rsidR="00D3605A" w:rsidRPr="00D3605A" w:rsidRDefault="00D3605A" w:rsidP="00D3605A">
            <w:pPr>
              <w:jc w:val="both"/>
              <w:rPr>
                <w:rFonts w:cs="Times New Roman"/>
              </w:rPr>
            </w:pPr>
            <w:r w:rsidRPr="00D3605A">
              <w:rPr>
                <w:rFonts w:cs="Times New Roman"/>
              </w:rPr>
              <w:t>Light</w:t>
            </w:r>
          </w:p>
        </w:tc>
        <w:tc>
          <w:tcPr>
            <w:tcW w:w="1686" w:type="dxa"/>
            <w:vMerge w:val="restart"/>
            <w:tcBorders>
              <w:top w:val="single" w:sz="4" w:space="0" w:color="auto"/>
            </w:tcBorders>
            <w:vAlign w:val="center"/>
          </w:tcPr>
          <w:p w14:paraId="2ECBFDF1" w14:textId="218C6131" w:rsidR="00D3605A" w:rsidRPr="00D3605A" w:rsidRDefault="00D3605A" w:rsidP="00D3605A">
            <w:pPr>
              <w:jc w:val="both"/>
              <w:rPr>
                <w:rFonts w:cs="Times New Roman"/>
              </w:rPr>
            </w:pPr>
            <w:r w:rsidRPr="00D3605A">
              <w:rPr>
                <w:rFonts w:cs="Times New Roman"/>
              </w:rPr>
              <w:t>EC</w:t>
            </w:r>
          </w:p>
        </w:tc>
        <w:tc>
          <w:tcPr>
            <w:tcW w:w="1852" w:type="dxa"/>
            <w:tcBorders>
              <w:top w:val="single" w:sz="4" w:space="0" w:color="auto"/>
            </w:tcBorders>
            <w:vAlign w:val="center"/>
          </w:tcPr>
          <w:p w14:paraId="62D9C663" w14:textId="77777777" w:rsidR="00D3605A" w:rsidRPr="00D3605A" w:rsidRDefault="00D3605A" w:rsidP="00D3605A">
            <w:pPr>
              <w:jc w:val="both"/>
              <w:rPr>
                <w:rFonts w:cs="Times New Roman"/>
              </w:rPr>
            </w:pPr>
            <w:r w:rsidRPr="00D3605A">
              <w:rPr>
                <w:rFonts w:cs="Times New Roman"/>
              </w:rPr>
              <w:t>0.0002419</w:t>
            </w:r>
          </w:p>
        </w:tc>
        <w:tc>
          <w:tcPr>
            <w:tcW w:w="1852" w:type="dxa"/>
            <w:tcBorders>
              <w:top w:val="single" w:sz="4" w:space="0" w:color="auto"/>
            </w:tcBorders>
            <w:vAlign w:val="center"/>
          </w:tcPr>
          <w:p w14:paraId="579CBAE0" w14:textId="77777777" w:rsidR="00D3605A" w:rsidRPr="00D3605A" w:rsidRDefault="00D3605A" w:rsidP="00D3605A">
            <w:pPr>
              <w:jc w:val="both"/>
              <w:rPr>
                <w:rFonts w:cs="Times New Roman"/>
              </w:rPr>
            </w:pPr>
            <w:r w:rsidRPr="00D3605A">
              <w:rPr>
                <w:rFonts w:cs="Times New Roman"/>
              </w:rPr>
              <w:t>0.0003787</w:t>
            </w:r>
          </w:p>
        </w:tc>
      </w:tr>
      <w:tr w:rsidR="00D3605A" w:rsidRPr="00D3605A" w14:paraId="29CF0D4B" w14:textId="77777777" w:rsidTr="00994AE3">
        <w:trPr>
          <w:trHeight w:val="20"/>
          <w:jc w:val="center"/>
        </w:trPr>
        <w:tc>
          <w:tcPr>
            <w:tcW w:w="1712" w:type="dxa"/>
            <w:vMerge/>
            <w:tcBorders>
              <w:bottom w:val="single" w:sz="4" w:space="0" w:color="auto"/>
            </w:tcBorders>
            <w:vAlign w:val="center"/>
          </w:tcPr>
          <w:p w14:paraId="25B80732" w14:textId="77777777" w:rsidR="00D3605A" w:rsidRPr="00D3605A" w:rsidRDefault="00D3605A" w:rsidP="00D3605A">
            <w:pPr>
              <w:jc w:val="both"/>
              <w:rPr>
                <w:rFonts w:cs="Times New Roman"/>
              </w:rPr>
            </w:pPr>
          </w:p>
        </w:tc>
        <w:tc>
          <w:tcPr>
            <w:tcW w:w="1686" w:type="dxa"/>
            <w:vMerge/>
            <w:tcBorders>
              <w:bottom w:val="single" w:sz="4" w:space="0" w:color="auto"/>
            </w:tcBorders>
            <w:vAlign w:val="center"/>
          </w:tcPr>
          <w:p w14:paraId="1FF8CF4D" w14:textId="77777777" w:rsidR="00D3605A" w:rsidRPr="00D3605A" w:rsidRDefault="00D3605A" w:rsidP="00D3605A">
            <w:pPr>
              <w:jc w:val="both"/>
              <w:rPr>
                <w:rFonts w:cs="Times New Roman"/>
              </w:rPr>
            </w:pPr>
          </w:p>
        </w:tc>
        <w:tc>
          <w:tcPr>
            <w:tcW w:w="1852" w:type="dxa"/>
            <w:tcBorders>
              <w:bottom w:val="single" w:sz="4" w:space="0" w:color="auto"/>
            </w:tcBorders>
            <w:vAlign w:val="center"/>
          </w:tcPr>
          <w:p w14:paraId="2735710D" w14:textId="77777777" w:rsidR="00D3605A" w:rsidRPr="00D3605A" w:rsidRDefault="00D3605A" w:rsidP="00D3605A">
            <w:pPr>
              <w:jc w:val="both"/>
              <w:rPr>
                <w:rFonts w:cs="Times New Roman"/>
              </w:rPr>
            </w:pPr>
            <w:r w:rsidRPr="00D3605A">
              <w:rPr>
                <w:rFonts w:cs="Times New Roman"/>
              </w:rPr>
              <w:t>(</w:t>
            </w:r>
            <w:proofErr w:type="gramStart"/>
            <w:r w:rsidRPr="00D3605A">
              <w:rPr>
                <w:rFonts w:cs="Times New Roman"/>
              </w:rPr>
              <w:t>0.032)*</w:t>
            </w:r>
            <w:proofErr w:type="gramEnd"/>
            <w:r w:rsidRPr="00D3605A">
              <w:rPr>
                <w:rFonts w:cs="Times New Roman"/>
              </w:rPr>
              <w:t>*</w:t>
            </w:r>
          </w:p>
        </w:tc>
        <w:tc>
          <w:tcPr>
            <w:tcW w:w="1852" w:type="dxa"/>
            <w:tcBorders>
              <w:bottom w:val="single" w:sz="4" w:space="0" w:color="auto"/>
            </w:tcBorders>
            <w:vAlign w:val="center"/>
          </w:tcPr>
          <w:p w14:paraId="483EBC6A" w14:textId="77777777" w:rsidR="00D3605A" w:rsidRPr="00D3605A" w:rsidRDefault="00D3605A" w:rsidP="00D3605A">
            <w:pPr>
              <w:jc w:val="both"/>
              <w:rPr>
                <w:rFonts w:cs="Times New Roman"/>
              </w:rPr>
            </w:pPr>
            <w:r w:rsidRPr="00D3605A">
              <w:rPr>
                <w:rFonts w:cs="Times New Roman"/>
              </w:rPr>
              <w:t>(</w:t>
            </w:r>
            <w:proofErr w:type="gramStart"/>
            <w:r w:rsidRPr="00D3605A">
              <w:rPr>
                <w:rFonts w:cs="Times New Roman"/>
              </w:rPr>
              <w:t>0.001)*</w:t>
            </w:r>
            <w:proofErr w:type="gramEnd"/>
            <w:r w:rsidRPr="00D3605A">
              <w:rPr>
                <w:rFonts w:cs="Times New Roman"/>
              </w:rPr>
              <w:t>**</w:t>
            </w:r>
          </w:p>
        </w:tc>
      </w:tr>
      <w:tr w:rsidR="00D3605A" w:rsidRPr="00D3605A" w14:paraId="0C034B3A" w14:textId="77777777" w:rsidTr="00994AE3">
        <w:trPr>
          <w:trHeight w:val="20"/>
          <w:jc w:val="center"/>
        </w:trPr>
        <w:tc>
          <w:tcPr>
            <w:tcW w:w="1712" w:type="dxa"/>
            <w:vMerge w:val="restart"/>
            <w:tcBorders>
              <w:top w:val="single" w:sz="4" w:space="0" w:color="auto"/>
              <w:bottom w:val="single" w:sz="4" w:space="0" w:color="auto"/>
            </w:tcBorders>
            <w:vAlign w:val="center"/>
          </w:tcPr>
          <w:p w14:paraId="073DC779" w14:textId="77777777" w:rsidR="00D3605A" w:rsidRPr="00D3605A" w:rsidRDefault="00D3605A" w:rsidP="00D3605A">
            <w:pPr>
              <w:jc w:val="both"/>
              <w:rPr>
                <w:rFonts w:cs="Times New Roman"/>
              </w:rPr>
            </w:pPr>
            <w:r w:rsidRPr="00D3605A">
              <w:rPr>
                <w:rFonts w:cs="Times New Roman"/>
              </w:rPr>
              <w:t>Moderate</w:t>
            </w:r>
          </w:p>
        </w:tc>
        <w:tc>
          <w:tcPr>
            <w:tcW w:w="1686" w:type="dxa"/>
            <w:vMerge w:val="restart"/>
            <w:tcBorders>
              <w:top w:val="single" w:sz="4" w:space="0" w:color="auto"/>
            </w:tcBorders>
            <w:vAlign w:val="center"/>
          </w:tcPr>
          <w:p w14:paraId="681A1C89" w14:textId="6D7DB49B" w:rsidR="00D3605A" w:rsidRPr="00D3605A" w:rsidRDefault="00D3605A" w:rsidP="00D3605A">
            <w:pPr>
              <w:jc w:val="both"/>
              <w:rPr>
                <w:rFonts w:cs="Times New Roman"/>
              </w:rPr>
            </w:pPr>
            <w:r w:rsidRPr="00D3605A">
              <w:rPr>
                <w:rFonts w:cs="Times New Roman"/>
              </w:rPr>
              <w:t>EC</w:t>
            </w:r>
          </w:p>
        </w:tc>
        <w:tc>
          <w:tcPr>
            <w:tcW w:w="1852" w:type="dxa"/>
            <w:tcBorders>
              <w:top w:val="single" w:sz="4" w:space="0" w:color="auto"/>
            </w:tcBorders>
            <w:vAlign w:val="center"/>
          </w:tcPr>
          <w:p w14:paraId="4CC59AB8" w14:textId="77777777" w:rsidR="00D3605A" w:rsidRPr="00D3605A" w:rsidRDefault="00D3605A" w:rsidP="00D3605A">
            <w:pPr>
              <w:jc w:val="both"/>
              <w:rPr>
                <w:rFonts w:cs="Times New Roman"/>
              </w:rPr>
            </w:pPr>
            <w:r w:rsidRPr="00D3605A">
              <w:rPr>
                <w:rFonts w:cs="Times New Roman"/>
              </w:rPr>
              <w:t>0.0002158</w:t>
            </w:r>
          </w:p>
        </w:tc>
        <w:tc>
          <w:tcPr>
            <w:tcW w:w="1852" w:type="dxa"/>
            <w:tcBorders>
              <w:top w:val="single" w:sz="4" w:space="0" w:color="auto"/>
            </w:tcBorders>
            <w:vAlign w:val="center"/>
          </w:tcPr>
          <w:p w14:paraId="53CD74B6" w14:textId="77777777" w:rsidR="00D3605A" w:rsidRPr="00D3605A" w:rsidRDefault="00D3605A" w:rsidP="00D3605A">
            <w:pPr>
              <w:jc w:val="both"/>
              <w:rPr>
                <w:rFonts w:cs="Times New Roman"/>
              </w:rPr>
            </w:pPr>
            <w:r w:rsidRPr="00D3605A">
              <w:rPr>
                <w:rFonts w:cs="Times New Roman"/>
              </w:rPr>
              <w:t>0.0003725</w:t>
            </w:r>
          </w:p>
        </w:tc>
      </w:tr>
      <w:tr w:rsidR="00D3605A" w:rsidRPr="00D3605A" w14:paraId="131ED867" w14:textId="77777777" w:rsidTr="00994AE3">
        <w:trPr>
          <w:trHeight w:val="20"/>
          <w:jc w:val="center"/>
        </w:trPr>
        <w:tc>
          <w:tcPr>
            <w:tcW w:w="1712" w:type="dxa"/>
            <w:vMerge/>
            <w:tcBorders>
              <w:bottom w:val="single" w:sz="4" w:space="0" w:color="auto"/>
            </w:tcBorders>
            <w:vAlign w:val="center"/>
          </w:tcPr>
          <w:p w14:paraId="7569B321" w14:textId="77777777" w:rsidR="00D3605A" w:rsidRPr="00D3605A" w:rsidRDefault="00D3605A" w:rsidP="00D3605A">
            <w:pPr>
              <w:jc w:val="both"/>
              <w:rPr>
                <w:rFonts w:cs="Times New Roman"/>
              </w:rPr>
            </w:pPr>
          </w:p>
        </w:tc>
        <w:tc>
          <w:tcPr>
            <w:tcW w:w="1686" w:type="dxa"/>
            <w:vMerge/>
            <w:tcBorders>
              <w:bottom w:val="single" w:sz="4" w:space="0" w:color="auto"/>
            </w:tcBorders>
            <w:vAlign w:val="center"/>
          </w:tcPr>
          <w:p w14:paraId="7309E8A1" w14:textId="77777777" w:rsidR="00D3605A" w:rsidRPr="00D3605A" w:rsidRDefault="00D3605A" w:rsidP="00D3605A">
            <w:pPr>
              <w:jc w:val="both"/>
              <w:rPr>
                <w:rFonts w:cs="Times New Roman"/>
              </w:rPr>
            </w:pPr>
          </w:p>
        </w:tc>
        <w:tc>
          <w:tcPr>
            <w:tcW w:w="1852" w:type="dxa"/>
            <w:tcBorders>
              <w:bottom w:val="single" w:sz="4" w:space="0" w:color="auto"/>
            </w:tcBorders>
            <w:vAlign w:val="center"/>
          </w:tcPr>
          <w:p w14:paraId="5E2E5B34" w14:textId="77777777" w:rsidR="00D3605A" w:rsidRPr="00D3605A" w:rsidRDefault="00D3605A" w:rsidP="00D3605A">
            <w:pPr>
              <w:jc w:val="both"/>
              <w:rPr>
                <w:rFonts w:cs="Times New Roman"/>
              </w:rPr>
            </w:pPr>
            <w:r w:rsidRPr="00D3605A">
              <w:rPr>
                <w:rFonts w:cs="Times New Roman"/>
              </w:rPr>
              <w:t>(</w:t>
            </w:r>
            <w:proofErr w:type="gramStart"/>
            <w:r w:rsidRPr="00D3605A">
              <w:rPr>
                <w:rFonts w:cs="Times New Roman"/>
              </w:rPr>
              <w:t>0.055)*</w:t>
            </w:r>
            <w:proofErr w:type="gramEnd"/>
          </w:p>
        </w:tc>
        <w:tc>
          <w:tcPr>
            <w:tcW w:w="1852" w:type="dxa"/>
            <w:tcBorders>
              <w:bottom w:val="single" w:sz="4" w:space="0" w:color="auto"/>
            </w:tcBorders>
            <w:vAlign w:val="center"/>
          </w:tcPr>
          <w:p w14:paraId="336DB754" w14:textId="77777777" w:rsidR="00D3605A" w:rsidRPr="00D3605A" w:rsidRDefault="00D3605A" w:rsidP="00D3605A">
            <w:pPr>
              <w:jc w:val="both"/>
              <w:rPr>
                <w:rFonts w:cs="Times New Roman"/>
              </w:rPr>
            </w:pPr>
            <w:r w:rsidRPr="00D3605A">
              <w:rPr>
                <w:rFonts w:cs="Times New Roman"/>
              </w:rPr>
              <w:t>(</w:t>
            </w:r>
            <w:proofErr w:type="gramStart"/>
            <w:r w:rsidRPr="00D3605A">
              <w:rPr>
                <w:rFonts w:cs="Times New Roman"/>
              </w:rPr>
              <w:t>0.000)*</w:t>
            </w:r>
            <w:proofErr w:type="gramEnd"/>
            <w:r w:rsidRPr="00D3605A">
              <w:rPr>
                <w:rFonts w:cs="Times New Roman"/>
              </w:rPr>
              <w:t>**</w:t>
            </w:r>
          </w:p>
        </w:tc>
      </w:tr>
      <w:tr w:rsidR="00D3605A" w:rsidRPr="00D3605A" w14:paraId="4B9C8CEC" w14:textId="77777777" w:rsidTr="00994AE3">
        <w:trPr>
          <w:trHeight w:val="20"/>
          <w:jc w:val="center"/>
        </w:trPr>
        <w:tc>
          <w:tcPr>
            <w:tcW w:w="1712" w:type="dxa"/>
            <w:vMerge w:val="restart"/>
            <w:tcBorders>
              <w:top w:val="single" w:sz="4" w:space="0" w:color="auto"/>
              <w:bottom w:val="single" w:sz="4" w:space="0" w:color="auto"/>
            </w:tcBorders>
            <w:vAlign w:val="center"/>
          </w:tcPr>
          <w:p w14:paraId="21609474" w14:textId="77777777" w:rsidR="00D3605A" w:rsidRPr="00D3605A" w:rsidRDefault="00D3605A" w:rsidP="00D3605A">
            <w:pPr>
              <w:jc w:val="both"/>
              <w:rPr>
                <w:rFonts w:cs="Times New Roman"/>
              </w:rPr>
            </w:pPr>
            <w:r w:rsidRPr="00D3605A">
              <w:rPr>
                <w:rFonts w:cs="Times New Roman"/>
              </w:rPr>
              <w:t>Vigorous</w:t>
            </w:r>
          </w:p>
        </w:tc>
        <w:tc>
          <w:tcPr>
            <w:tcW w:w="1686" w:type="dxa"/>
            <w:vMerge w:val="restart"/>
            <w:tcBorders>
              <w:top w:val="single" w:sz="4" w:space="0" w:color="auto"/>
            </w:tcBorders>
            <w:vAlign w:val="center"/>
          </w:tcPr>
          <w:p w14:paraId="112BDFFD" w14:textId="0CF5A7AD" w:rsidR="00D3605A" w:rsidRPr="00D3605A" w:rsidRDefault="00D3605A" w:rsidP="00D3605A">
            <w:pPr>
              <w:jc w:val="both"/>
              <w:rPr>
                <w:rFonts w:cs="Times New Roman"/>
              </w:rPr>
            </w:pPr>
            <w:r w:rsidRPr="00D3605A">
              <w:rPr>
                <w:rFonts w:cs="Times New Roman"/>
              </w:rPr>
              <w:t>EC</w:t>
            </w:r>
          </w:p>
        </w:tc>
        <w:tc>
          <w:tcPr>
            <w:tcW w:w="1852" w:type="dxa"/>
            <w:tcBorders>
              <w:top w:val="single" w:sz="4" w:space="0" w:color="auto"/>
            </w:tcBorders>
            <w:vAlign w:val="center"/>
          </w:tcPr>
          <w:p w14:paraId="5B3CA914" w14:textId="77777777" w:rsidR="00D3605A" w:rsidRPr="00D3605A" w:rsidRDefault="00D3605A" w:rsidP="00D3605A">
            <w:pPr>
              <w:jc w:val="both"/>
              <w:rPr>
                <w:rFonts w:cs="Times New Roman"/>
              </w:rPr>
            </w:pPr>
            <w:r w:rsidRPr="00D3605A">
              <w:rPr>
                <w:rFonts w:cs="Times New Roman"/>
              </w:rPr>
              <w:t>0.0001551</w:t>
            </w:r>
          </w:p>
        </w:tc>
        <w:tc>
          <w:tcPr>
            <w:tcW w:w="1852" w:type="dxa"/>
            <w:tcBorders>
              <w:top w:val="single" w:sz="4" w:space="0" w:color="auto"/>
            </w:tcBorders>
            <w:vAlign w:val="center"/>
          </w:tcPr>
          <w:p w14:paraId="412F38A3" w14:textId="77777777" w:rsidR="00D3605A" w:rsidRPr="00D3605A" w:rsidRDefault="00D3605A" w:rsidP="00D3605A">
            <w:pPr>
              <w:jc w:val="both"/>
              <w:rPr>
                <w:rFonts w:cs="Times New Roman"/>
              </w:rPr>
            </w:pPr>
            <w:r w:rsidRPr="00D3605A">
              <w:rPr>
                <w:rFonts w:cs="Times New Roman"/>
              </w:rPr>
              <w:t>0.0003578</w:t>
            </w:r>
          </w:p>
        </w:tc>
      </w:tr>
      <w:tr w:rsidR="00D3605A" w:rsidRPr="00D3605A" w14:paraId="1B023D9C" w14:textId="77777777" w:rsidTr="00994AE3">
        <w:trPr>
          <w:trHeight w:val="20"/>
          <w:jc w:val="center"/>
        </w:trPr>
        <w:tc>
          <w:tcPr>
            <w:tcW w:w="1712" w:type="dxa"/>
            <w:vMerge/>
            <w:tcBorders>
              <w:bottom w:val="single" w:sz="4" w:space="0" w:color="auto"/>
            </w:tcBorders>
            <w:vAlign w:val="center"/>
          </w:tcPr>
          <w:p w14:paraId="4FD70D0E" w14:textId="77777777" w:rsidR="00D3605A" w:rsidRPr="00D3605A" w:rsidRDefault="00D3605A" w:rsidP="00D3605A">
            <w:pPr>
              <w:jc w:val="both"/>
              <w:rPr>
                <w:rFonts w:cs="Times New Roman"/>
              </w:rPr>
            </w:pPr>
          </w:p>
        </w:tc>
        <w:tc>
          <w:tcPr>
            <w:tcW w:w="1686" w:type="dxa"/>
            <w:vMerge/>
            <w:tcBorders>
              <w:bottom w:val="single" w:sz="4" w:space="0" w:color="auto"/>
            </w:tcBorders>
            <w:vAlign w:val="center"/>
          </w:tcPr>
          <w:p w14:paraId="081CAB54" w14:textId="77777777" w:rsidR="00D3605A" w:rsidRPr="00D3605A" w:rsidRDefault="00D3605A" w:rsidP="00D3605A">
            <w:pPr>
              <w:jc w:val="both"/>
              <w:rPr>
                <w:rFonts w:cs="Times New Roman"/>
              </w:rPr>
            </w:pPr>
          </w:p>
        </w:tc>
        <w:tc>
          <w:tcPr>
            <w:tcW w:w="1852" w:type="dxa"/>
            <w:tcBorders>
              <w:bottom w:val="single" w:sz="4" w:space="0" w:color="auto"/>
            </w:tcBorders>
            <w:vAlign w:val="center"/>
          </w:tcPr>
          <w:p w14:paraId="4EE575CE" w14:textId="77777777" w:rsidR="00D3605A" w:rsidRPr="00D3605A" w:rsidRDefault="00D3605A" w:rsidP="00D3605A">
            <w:pPr>
              <w:jc w:val="both"/>
              <w:rPr>
                <w:rFonts w:cs="Times New Roman"/>
              </w:rPr>
            </w:pPr>
            <w:r w:rsidRPr="00D3605A">
              <w:rPr>
                <w:rFonts w:cs="Times New Roman"/>
              </w:rPr>
              <w:t>(</w:t>
            </w:r>
            <w:proofErr w:type="gramStart"/>
            <w:r w:rsidRPr="00D3605A">
              <w:rPr>
                <w:rFonts w:cs="Times New Roman"/>
              </w:rPr>
              <w:t>0.168)*</w:t>
            </w:r>
            <w:proofErr w:type="gramEnd"/>
            <w:r w:rsidRPr="00D3605A">
              <w:rPr>
                <w:rFonts w:cs="Times New Roman"/>
              </w:rPr>
              <w:t>**</w:t>
            </w:r>
          </w:p>
        </w:tc>
        <w:tc>
          <w:tcPr>
            <w:tcW w:w="1852" w:type="dxa"/>
            <w:tcBorders>
              <w:bottom w:val="single" w:sz="4" w:space="0" w:color="auto"/>
            </w:tcBorders>
            <w:vAlign w:val="center"/>
          </w:tcPr>
          <w:p w14:paraId="53E533D4" w14:textId="77777777" w:rsidR="00D3605A" w:rsidRPr="00D3605A" w:rsidRDefault="00D3605A" w:rsidP="00D3605A">
            <w:pPr>
              <w:jc w:val="both"/>
              <w:rPr>
                <w:rFonts w:cs="Times New Roman"/>
              </w:rPr>
            </w:pPr>
            <w:r w:rsidRPr="00D3605A">
              <w:rPr>
                <w:rFonts w:cs="Times New Roman"/>
              </w:rPr>
              <w:t>(</w:t>
            </w:r>
            <w:proofErr w:type="gramStart"/>
            <w:r w:rsidRPr="00D3605A">
              <w:rPr>
                <w:rFonts w:cs="Times New Roman"/>
              </w:rPr>
              <w:t>0.000)*</w:t>
            </w:r>
            <w:proofErr w:type="gramEnd"/>
            <w:r w:rsidRPr="00D3605A">
              <w:rPr>
                <w:rFonts w:cs="Times New Roman"/>
              </w:rPr>
              <w:t>**</w:t>
            </w:r>
          </w:p>
        </w:tc>
      </w:tr>
    </w:tbl>
    <w:p w14:paraId="40024B3C" w14:textId="7FDBB015" w:rsidR="00D3605A" w:rsidRDefault="00D3605A" w:rsidP="00DA0EBB">
      <w:pPr>
        <w:spacing w:line="240" w:lineRule="auto"/>
        <w:ind w:right="-36"/>
        <w:jc w:val="both"/>
        <w:rPr>
          <w:rFonts w:ascii="Times New Roman" w:eastAsia="Malgun Gothic" w:hAnsi="Times New Roman" w:cs="Times New Roman"/>
          <w:color w:val="000000"/>
          <w:sz w:val="20"/>
          <w:szCs w:val="20"/>
          <w:lang w:eastAsia="ko-KR"/>
        </w:rPr>
      </w:pPr>
      <w:r w:rsidRPr="006745F4">
        <w:rPr>
          <w:rFonts w:ascii="Times New Roman" w:eastAsia="Malgun Gothic" w:hAnsi="Times New Roman" w:cs="Times New Roman"/>
          <w:color w:val="000000"/>
          <w:sz w:val="20"/>
          <w:szCs w:val="20"/>
          <w:lang w:eastAsia="ko-KR"/>
        </w:rPr>
        <w:t>Note: All regressions include country fixed effects. *** Significantly different from zero at the 1% level, ** Significantly different from zero at the 5% level, * Significantly different from zero at the 10% level P-values within parentheses.</w:t>
      </w:r>
    </w:p>
    <w:p w14:paraId="151AE3E5" w14:textId="25D38CAF" w:rsidR="008B28B3" w:rsidRDefault="000106A8" w:rsidP="00BB18AC">
      <w:pPr>
        <w:spacing w:after="0" w:line="240" w:lineRule="auto"/>
        <w:jc w:val="both"/>
        <w:rPr>
          <w:rFonts w:ascii="Times New Roman" w:eastAsia="Malgun Gothic" w:hAnsi="Times New Roman" w:cs="Times New Roman"/>
          <w:b/>
          <w:sz w:val="24"/>
          <w:szCs w:val="24"/>
          <w:lang w:eastAsia="ko-KR"/>
        </w:rPr>
      </w:pPr>
      <w:bookmarkStart w:id="8" w:name="_Toc97739555"/>
      <w:r w:rsidRPr="00D3605A">
        <w:rPr>
          <w:rFonts w:ascii="Times New Roman" w:eastAsia="Malgun Gothic" w:hAnsi="Times New Roman" w:cs="Times New Roman"/>
          <w:b/>
          <w:sz w:val="24"/>
          <w:szCs w:val="24"/>
          <w:lang w:eastAsia="ko-KR"/>
        </w:rPr>
        <w:t xml:space="preserve">Table </w:t>
      </w:r>
      <w:r w:rsidR="00250BDD">
        <w:rPr>
          <w:rFonts w:ascii="Times New Roman" w:eastAsia="Malgun Gothic" w:hAnsi="Times New Roman" w:cs="Times New Roman"/>
          <w:b/>
          <w:sz w:val="24"/>
          <w:szCs w:val="24"/>
          <w:lang w:eastAsia="ko-KR"/>
        </w:rPr>
        <w:t>S</w:t>
      </w:r>
      <w:r w:rsidRPr="001645F6">
        <w:rPr>
          <w:rFonts w:ascii="Times New Roman" w:hAnsi="Times New Roman" w:cs="Times New Roman"/>
          <w:b/>
          <w:i/>
          <w:iCs/>
          <w:sz w:val="24"/>
          <w:szCs w:val="24"/>
        </w:rPr>
        <w:fldChar w:fldCharType="begin"/>
      </w:r>
      <w:r w:rsidRPr="001645F6">
        <w:rPr>
          <w:rFonts w:ascii="Times New Roman" w:hAnsi="Times New Roman" w:cs="Times New Roman"/>
          <w:b/>
          <w:sz w:val="24"/>
          <w:szCs w:val="24"/>
        </w:rPr>
        <w:instrText xml:space="preserve"> SEQ Table_S \* ARABIC </w:instrText>
      </w:r>
      <w:r w:rsidRPr="001645F6">
        <w:rPr>
          <w:rFonts w:ascii="Times New Roman" w:hAnsi="Times New Roman" w:cs="Times New Roman"/>
          <w:b/>
          <w:i/>
          <w:iCs/>
          <w:sz w:val="24"/>
          <w:szCs w:val="24"/>
        </w:rPr>
        <w:fldChar w:fldCharType="separate"/>
      </w:r>
      <w:r w:rsidR="00250BDD">
        <w:rPr>
          <w:rFonts w:ascii="Times New Roman" w:hAnsi="Times New Roman" w:cs="Times New Roman"/>
          <w:b/>
          <w:noProof/>
          <w:sz w:val="24"/>
          <w:szCs w:val="24"/>
        </w:rPr>
        <w:t>3</w:t>
      </w:r>
      <w:r w:rsidRPr="001645F6">
        <w:rPr>
          <w:rFonts w:ascii="Times New Roman" w:hAnsi="Times New Roman" w:cs="Times New Roman"/>
          <w:b/>
          <w:i/>
          <w:iCs/>
          <w:sz w:val="24"/>
          <w:szCs w:val="24"/>
        </w:rPr>
        <w:fldChar w:fldCharType="end"/>
      </w:r>
      <w:r w:rsidRPr="001645F6">
        <w:rPr>
          <w:rFonts w:ascii="Times New Roman" w:eastAsia="Malgun Gothic" w:hAnsi="Times New Roman" w:cs="Times New Roman"/>
          <w:b/>
          <w:sz w:val="24"/>
          <w:szCs w:val="24"/>
          <w:lang w:eastAsia="ko-KR"/>
        </w:rPr>
        <w:t>.</w:t>
      </w:r>
      <w:r w:rsidR="008B28B3" w:rsidRPr="001645F6">
        <w:rPr>
          <w:rFonts w:ascii="Times New Roman" w:eastAsia="Malgun Gothic" w:hAnsi="Times New Roman" w:cs="Times New Roman"/>
          <w:b/>
          <w:sz w:val="24"/>
          <w:szCs w:val="24"/>
          <w:lang w:eastAsia="ko-KR"/>
        </w:rPr>
        <w:t xml:space="preserve"> </w:t>
      </w:r>
      <w:r w:rsidR="0048192F" w:rsidRPr="0048192F">
        <w:rPr>
          <w:rFonts w:ascii="Times New Roman" w:eastAsia="Malgun Gothic" w:hAnsi="Times New Roman" w:cs="Times New Roman"/>
          <w:b/>
          <w:sz w:val="24"/>
          <w:szCs w:val="24"/>
          <w:lang w:eastAsia="ko-KR"/>
        </w:rPr>
        <w:t xml:space="preserve">Summary of regression results for model </w:t>
      </w:r>
      <w:r w:rsidR="0048192F">
        <w:rPr>
          <w:rFonts w:ascii="Times New Roman" w:eastAsia="Malgun Gothic" w:hAnsi="Times New Roman" w:cs="Times New Roman"/>
          <w:b/>
          <w:sz w:val="24"/>
          <w:szCs w:val="24"/>
          <w:lang w:eastAsia="ko-KR"/>
        </w:rPr>
        <w:t>2</w:t>
      </w:r>
      <w:r w:rsidR="0048192F" w:rsidRPr="0048192F">
        <w:rPr>
          <w:rFonts w:ascii="Times New Roman" w:eastAsia="Malgun Gothic" w:hAnsi="Times New Roman" w:cs="Times New Roman"/>
          <w:b/>
          <w:sz w:val="24"/>
          <w:szCs w:val="24"/>
          <w:lang w:eastAsia="ko-KR"/>
        </w:rPr>
        <w:t xml:space="preserve"> under different model specifications</w:t>
      </w:r>
      <w:bookmarkEnd w:id="8"/>
    </w:p>
    <w:tbl>
      <w:tblPr>
        <w:tblW w:w="10264" w:type="dxa"/>
        <w:tblLook w:val="04A0" w:firstRow="1" w:lastRow="0" w:firstColumn="1" w:lastColumn="0" w:noHBand="0" w:noVBand="1"/>
      </w:tblPr>
      <w:tblGrid>
        <w:gridCol w:w="1998"/>
        <w:gridCol w:w="774"/>
        <w:gridCol w:w="1068"/>
        <w:gridCol w:w="313"/>
        <w:gridCol w:w="759"/>
        <w:gridCol w:w="1067"/>
        <w:gridCol w:w="313"/>
        <w:gridCol w:w="759"/>
        <w:gridCol w:w="1067"/>
        <w:gridCol w:w="313"/>
        <w:gridCol w:w="759"/>
        <w:gridCol w:w="1074"/>
      </w:tblGrid>
      <w:tr w:rsidR="00C50DD5" w:rsidRPr="00FF7DF8" w14:paraId="3C34397C" w14:textId="77777777" w:rsidTr="00345E83">
        <w:trPr>
          <w:trHeight w:val="269"/>
        </w:trPr>
        <w:tc>
          <w:tcPr>
            <w:tcW w:w="1998" w:type="dxa"/>
            <w:tcBorders>
              <w:top w:val="nil"/>
              <w:left w:val="nil"/>
              <w:bottom w:val="nil"/>
              <w:right w:val="nil"/>
            </w:tcBorders>
            <w:shd w:val="clear" w:color="auto" w:fill="auto"/>
            <w:noWrap/>
            <w:vAlign w:val="bottom"/>
            <w:hideMark/>
          </w:tcPr>
          <w:p w14:paraId="755FB6CC" w14:textId="77777777" w:rsidR="00FF7DF8" w:rsidRPr="00FF7DF8" w:rsidRDefault="00FF7DF8" w:rsidP="00FF7DF8">
            <w:pPr>
              <w:spacing w:after="0" w:line="240" w:lineRule="auto"/>
              <w:rPr>
                <w:rFonts w:ascii="Times New Roman" w:eastAsia="Times New Roman" w:hAnsi="Times New Roman" w:cs="Times New Roman"/>
                <w:sz w:val="24"/>
                <w:szCs w:val="24"/>
              </w:rPr>
            </w:pPr>
          </w:p>
        </w:tc>
        <w:tc>
          <w:tcPr>
            <w:tcW w:w="1842" w:type="dxa"/>
            <w:gridSpan w:val="2"/>
            <w:tcBorders>
              <w:top w:val="nil"/>
              <w:left w:val="nil"/>
              <w:bottom w:val="single" w:sz="8" w:space="0" w:color="auto"/>
              <w:right w:val="nil"/>
            </w:tcBorders>
            <w:shd w:val="clear" w:color="auto" w:fill="auto"/>
            <w:noWrap/>
            <w:vAlign w:val="bottom"/>
            <w:hideMark/>
          </w:tcPr>
          <w:p w14:paraId="73F49E53" w14:textId="77777777" w:rsidR="00FF7DF8" w:rsidRPr="00FF7DF8" w:rsidRDefault="00FF7DF8" w:rsidP="00FF7DF8">
            <w:pPr>
              <w:spacing w:after="0" w:line="240" w:lineRule="auto"/>
              <w:jc w:val="center"/>
              <w:rPr>
                <w:rFonts w:ascii="Times New Roman" w:eastAsia="Times New Roman" w:hAnsi="Times New Roman" w:cs="Times New Roman"/>
                <w:b/>
                <w:bCs/>
                <w:color w:val="000000"/>
                <w:sz w:val="24"/>
                <w:szCs w:val="24"/>
              </w:rPr>
            </w:pPr>
            <w:r w:rsidRPr="00FF7DF8">
              <w:rPr>
                <w:rFonts w:ascii="Times New Roman" w:eastAsia="Times New Roman" w:hAnsi="Times New Roman" w:cs="Times New Roman"/>
                <w:b/>
                <w:bCs/>
                <w:color w:val="000000"/>
                <w:sz w:val="24"/>
                <w:szCs w:val="24"/>
              </w:rPr>
              <w:t>Model 2-a</w:t>
            </w:r>
          </w:p>
        </w:tc>
        <w:tc>
          <w:tcPr>
            <w:tcW w:w="313" w:type="dxa"/>
            <w:tcBorders>
              <w:top w:val="nil"/>
              <w:left w:val="nil"/>
              <w:bottom w:val="nil"/>
              <w:right w:val="nil"/>
            </w:tcBorders>
            <w:shd w:val="clear" w:color="auto" w:fill="auto"/>
            <w:noWrap/>
            <w:vAlign w:val="bottom"/>
            <w:hideMark/>
          </w:tcPr>
          <w:p w14:paraId="0A6ADDDA" w14:textId="77777777" w:rsidR="00FF7DF8" w:rsidRPr="00FF7DF8" w:rsidRDefault="00FF7DF8" w:rsidP="00FF7DF8">
            <w:pPr>
              <w:spacing w:after="0" w:line="240" w:lineRule="auto"/>
              <w:jc w:val="center"/>
              <w:rPr>
                <w:rFonts w:ascii="Times New Roman" w:eastAsia="Times New Roman" w:hAnsi="Times New Roman" w:cs="Times New Roman"/>
                <w:b/>
                <w:bCs/>
                <w:color w:val="000000"/>
                <w:sz w:val="24"/>
                <w:szCs w:val="24"/>
              </w:rPr>
            </w:pPr>
          </w:p>
        </w:tc>
        <w:tc>
          <w:tcPr>
            <w:tcW w:w="1826" w:type="dxa"/>
            <w:gridSpan w:val="2"/>
            <w:tcBorders>
              <w:top w:val="nil"/>
              <w:left w:val="nil"/>
              <w:bottom w:val="single" w:sz="8" w:space="0" w:color="auto"/>
              <w:right w:val="nil"/>
            </w:tcBorders>
            <w:shd w:val="clear" w:color="auto" w:fill="auto"/>
            <w:noWrap/>
            <w:vAlign w:val="bottom"/>
            <w:hideMark/>
          </w:tcPr>
          <w:p w14:paraId="40CDA5E0" w14:textId="77777777" w:rsidR="00FF7DF8" w:rsidRPr="00FF7DF8" w:rsidRDefault="00FF7DF8" w:rsidP="00FF7DF8">
            <w:pPr>
              <w:spacing w:after="0" w:line="240" w:lineRule="auto"/>
              <w:jc w:val="center"/>
              <w:rPr>
                <w:rFonts w:ascii="Times New Roman" w:eastAsia="Times New Roman" w:hAnsi="Times New Roman" w:cs="Times New Roman"/>
                <w:b/>
                <w:bCs/>
                <w:color w:val="000000"/>
                <w:sz w:val="24"/>
                <w:szCs w:val="24"/>
              </w:rPr>
            </w:pPr>
            <w:r w:rsidRPr="00FF7DF8">
              <w:rPr>
                <w:rFonts w:ascii="Times New Roman" w:eastAsia="Times New Roman" w:hAnsi="Times New Roman" w:cs="Times New Roman"/>
                <w:b/>
                <w:bCs/>
                <w:color w:val="000000"/>
                <w:sz w:val="24"/>
                <w:szCs w:val="24"/>
              </w:rPr>
              <w:t>Model 2-b</w:t>
            </w:r>
          </w:p>
        </w:tc>
        <w:tc>
          <w:tcPr>
            <w:tcW w:w="313" w:type="dxa"/>
            <w:tcBorders>
              <w:top w:val="nil"/>
              <w:left w:val="nil"/>
              <w:bottom w:val="nil"/>
              <w:right w:val="nil"/>
            </w:tcBorders>
            <w:shd w:val="clear" w:color="auto" w:fill="auto"/>
            <w:noWrap/>
            <w:vAlign w:val="bottom"/>
            <w:hideMark/>
          </w:tcPr>
          <w:p w14:paraId="2C614643" w14:textId="77777777" w:rsidR="00FF7DF8" w:rsidRPr="00FF7DF8" w:rsidRDefault="00FF7DF8" w:rsidP="00FF7DF8">
            <w:pPr>
              <w:spacing w:after="0" w:line="240" w:lineRule="auto"/>
              <w:jc w:val="center"/>
              <w:rPr>
                <w:rFonts w:ascii="Times New Roman" w:eastAsia="Times New Roman" w:hAnsi="Times New Roman" w:cs="Times New Roman"/>
                <w:b/>
                <w:bCs/>
                <w:color w:val="000000"/>
                <w:sz w:val="24"/>
                <w:szCs w:val="24"/>
              </w:rPr>
            </w:pPr>
          </w:p>
        </w:tc>
        <w:tc>
          <w:tcPr>
            <w:tcW w:w="1826" w:type="dxa"/>
            <w:gridSpan w:val="2"/>
            <w:tcBorders>
              <w:top w:val="nil"/>
              <w:left w:val="nil"/>
              <w:bottom w:val="single" w:sz="8" w:space="0" w:color="auto"/>
              <w:right w:val="nil"/>
            </w:tcBorders>
            <w:shd w:val="clear" w:color="auto" w:fill="auto"/>
            <w:noWrap/>
            <w:vAlign w:val="bottom"/>
            <w:hideMark/>
          </w:tcPr>
          <w:p w14:paraId="2AD1418C" w14:textId="77777777" w:rsidR="00FF7DF8" w:rsidRPr="00FF7DF8" w:rsidRDefault="00FF7DF8" w:rsidP="00FF7DF8">
            <w:pPr>
              <w:spacing w:after="0" w:line="240" w:lineRule="auto"/>
              <w:jc w:val="center"/>
              <w:rPr>
                <w:rFonts w:ascii="Times New Roman" w:eastAsia="Times New Roman" w:hAnsi="Times New Roman" w:cs="Times New Roman"/>
                <w:b/>
                <w:bCs/>
                <w:color w:val="000000"/>
                <w:sz w:val="24"/>
                <w:szCs w:val="24"/>
              </w:rPr>
            </w:pPr>
            <w:r w:rsidRPr="00FF7DF8">
              <w:rPr>
                <w:rFonts w:ascii="Times New Roman" w:eastAsia="Times New Roman" w:hAnsi="Times New Roman" w:cs="Times New Roman"/>
                <w:b/>
                <w:bCs/>
                <w:color w:val="000000"/>
                <w:sz w:val="24"/>
                <w:szCs w:val="24"/>
              </w:rPr>
              <w:t>Model 2-c</w:t>
            </w:r>
          </w:p>
        </w:tc>
        <w:tc>
          <w:tcPr>
            <w:tcW w:w="313" w:type="dxa"/>
            <w:tcBorders>
              <w:top w:val="nil"/>
              <w:left w:val="nil"/>
              <w:bottom w:val="nil"/>
              <w:right w:val="nil"/>
            </w:tcBorders>
            <w:shd w:val="clear" w:color="auto" w:fill="auto"/>
            <w:noWrap/>
            <w:vAlign w:val="bottom"/>
            <w:hideMark/>
          </w:tcPr>
          <w:p w14:paraId="38CC5D18" w14:textId="77777777" w:rsidR="00FF7DF8" w:rsidRPr="00FF7DF8" w:rsidRDefault="00FF7DF8" w:rsidP="00FF7DF8">
            <w:pPr>
              <w:spacing w:after="0" w:line="240" w:lineRule="auto"/>
              <w:jc w:val="center"/>
              <w:rPr>
                <w:rFonts w:ascii="Times New Roman" w:eastAsia="Times New Roman" w:hAnsi="Times New Roman" w:cs="Times New Roman"/>
                <w:b/>
                <w:bCs/>
                <w:color w:val="000000"/>
                <w:sz w:val="24"/>
                <w:szCs w:val="24"/>
              </w:rPr>
            </w:pPr>
          </w:p>
        </w:tc>
        <w:tc>
          <w:tcPr>
            <w:tcW w:w="1833" w:type="dxa"/>
            <w:gridSpan w:val="2"/>
            <w:tcBorders>
              <w:top w:val="nil"/>
              <w:left w:val="nil"/>
              <w:bottom w:val="single" w:sz="8" w:space="0" w:color="auto"/>
              <w:right w:val="nil"/>
            </w:tcBorders>
            <w:shd w:val="clear" w:color="auto" w:fill="auto"/>
            <w:noWrap/>
            <w:vAlign w:val="bottom"/>
            <w:hideMark/>
          </w:tcPr>
          <w:p w14:paraId="131C3544" w14:textId="77777777" w:rsidR="00FF7DF8" w:rsidRPr="00FF7DF8" w:rsidRDefault="00FF7DF8" w:rsidP="00FF7DF8">
            <w:pPr>
              <w:spacing w:after="0" w:line="240" w:lineRule="auto"/>
              <w:jc w:val="center"/>
              <w:rPr>
                <w:rFonts w:ascii="Times New Roman" w:eastAsia="Times New Roman" w:hAnsi="Times New Roman" w:cs="Times New Roman"/>
                <w:b/>
                <w:bCs/>
                <w:color w:val="000000"/>
                <w:sz w:val="24"/>
                <w:szCs w:val="24"/>
              </w:rPr>
            </w:pPr>
            <w:r w:rsidRPr="00FF7DF8">
              <w:rPr>
                <w:rFonts w:ascii="Times New Roman" w:eastAsia="Times New Roman" w:hAnsi="Times New Roman" w:cs="Times New Roman"/>
                <w:b/>
                <w:bCs/>
                <w:color w:val="000000"/>
                <w:sz w:val="24"/>
                <w:szCs w:val="24"/>
              </w:rPr>
              <w:t>Model 2-d</w:t>
            </w:r>
          </w:p>
        </w:tc>
      </w:tr>
      <w:tr w:rsidR="00C50DD5" w:rsidRPr="00FF7DF8" w14:paraId="4280F632" w14:textId="77777777" w:rsidTr="00345E83">
        <w:trPr>
          <w:trHeight w:val="269"/>
        </w:trPr>
        <w:tc>
          <w:tcPr>
            <w:tcW w:w="1998" w:type="dxa"/>
            <w:tcBorders>
              <w:top w:val="nil"/>
              <w:left w:val="nil"/>
              <w:bottom w:val="nil"/>
              <w:right w:val="nil"/>
            </w:tcBorders>
            <w:shd w:val="clear" w:color="auto" w:fill="auto"/>
            <w:noWrap/>
            <w:vAlign w:val="bottom"/>
            <w:hideMark/>
          </w:tcPr>
          <w:p w14:paraId="3A8E2456" w14:textId="77777777" w:rsidR="00FF7DF8" w:rsidRPr="00FF7DF8" w:rsidRDefault="00FF7DF8" w:rsidP="00FF7DF8">
            <w:pPr>
              <w:spacing w:after="0" w:line="240" w:lineRule="auto"/>
              <w:jc w:val="center"/>
              <w:rPr>
                <w:rFonts w:ascii="Times New Roman" w:eastAsia="Times New Roman" w:hAnsi="Times New Roman" w:cs="Times New Roman"/>
                <w:color w:val="000000"/>
                <w:sz w:val="24"/>
                <w:szCs w:val="24"/>
              </w:rPr>
            </w:pPr>
          </w:p>
        </w:tc>
        <w:tc>
          <w:tcPr>
            <w:tcW w:w="774" w:type="dxa"/>
            <w:tcBorders>
              <w:top w:val="nil"/>
              <w:left w:val="nil"/>
              <w:bottom w:val="single" w:sz="8" w:space="0" w:color="auto"/>
              <w:right w:val="nil"/>
            </w:tcBorders>
            <w:shd w:val="clear" w:color="auto" w:fill="auto"/>
            <w:noWrap/>
            <w:vAlign w:val="bottom"/>
            <w:hideMark/>
          </w:tcPr>
          <w:p w14:paraId="7A14CC5C"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men</w:t>
            </w:r>
          </w:p>
        </w:tc>
        <w:tc>
          <w:tcPr>
            <w:tcW w:w="1068" w:type="dxa"/>
            <w:tcBorders>
              <w:top w:val="nil"/>
              <w:left w:val="nil"/>
              <w:bottom w:val="single" w:sz="8" w:space="0" w:color="auto"/>
              <w:right w:val="nil"/>
            </w:tcBorders>
            <w:shd w:val="clear" w:color="auto" w:fill="auto"/>
            <w:noWrap/>
            <w:vAlign w:val="bottom"/>
            <w:hideMark/>
          </w:tcPr>
          <w:p w14:paraId="0AF0CC74"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women</w:t>
            </w:r>
          </w:p>
        </w:tc>
        <w:tc>
          <w:tcPr>
            <w:tcW w:w="313" w:type="dxa"/>
            <w:tcBorders>
              <w:top w:val="nil"/>
              <w:left w:val="nil"/>
              <w:bottom w:val="nil"/>
              <w:right w:val="nil"/>
            </w:tcBorders>
            <w:shd w:val="clear" w:color="auto" w:fill="auto"/>
            <w:noWrap/>
            <w:vAlign w:val="bottom"/>
            <w:hideMark/>
          </w:tcPr>
          <w:p w14:paraId="52E02853"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p>
        </w:tc>
        <w:tc>
          <w:tcPr>
            <w:tcW w:w="759" w:type="dxa"/>
            <w:tcBorders>
              <w:top w:val="nil"/>
              <w:left w:val="nil"/>
              <w:bottom w:val="single" w:sz="8" w:space="0" w:color="auto"/>
              <w:right w:val="nil"/>
            </w:tcBorders>
            <w:shd w:val="clear" w:color="auto" w:fill="auto"/>
            <w:noWrap/>
            <w:vAlign w:val="bottom"/>
            <w:hideMark/>
          </w:tcPr>
          <w:p w14:paraId="7C77DC1A"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men</w:t>
            </w:r>
          </w:p>
        </w:tc>
        <w:tc>
          <w:tcPr>
            <w:tcW w:w="1067" w:type="dxa"/>
            <w:tcBorders>
              <w:top w:val="nil"/>
              <w:left w:val="nil"/>
              <w:bottom w:val="single" w:sz="8" w:space="0" w:color="auto"/>
              <w:right w:val="nil"/>
            </w:tcBorders>
            <w:shd w:val="clear" w:color="auto" w:fill="auto"/>
            <w:noWrap/>
            <w:vAlign w:val="bottom"/>
            <w:hideMark/>
          </w:tcPr>
          <w:p w14:paraId="1D43DD7D"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women</w:t>
            </w:r>
          </w:p>
        </w:tc>
        <w:tc>
          <w:tcPr>
            <w:tcW w:w="313" w:type="dxa"/>
            <w:tcBorders>
              <w:top w:val="nil"/>
              <w:left w:val="nil"/>
              <w:bottom w:val="nil"/>
              <w:right w:val="nil"/>
            </w:tcBorders>
            <w:shd w:val="clear" w:color="auto" w:fill="auto"/>
            <w:noWrap/>
            <w:vAlign w:val="bottom"/>
            <w:hideMark/>
          </w:tcPr>
          <w:p w14:paraId="4F94CA9E"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p>
        </w:tc>
        <w:tc>
          <w:tcPr>
            <w:tcW w:w="759" w:type="dxa"/>
            <w:tcBorders>
              <w:top w:val="nil"/>
              <w:left w:val="nil"/>
              <w:bottom w:val="single" w:sz="8" w:space="0" w:color="auto"/>
              <w:right w:val="nil"/>
            </w:tcBorders>
            <w:shd w:val="clear" w:color="auto" w:fill="auto"/>
            <w:noWrap/>
            <w:vAlign w:val="bottom"/>
            <w:hideMark/>
          </w:tcPr>
          <w:p w14:paraId="1A2DF0CF"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men</w:t>
            </w:r>
          </w:p>
        </w:tc>
        <w:tc>
          <w:tcPr>
            <w:tcW w:w="1067" w:type="dxa"/>
            <w:tcBorders>
              <w:top w:val="nil"/>
              <w:left w:val="nil"/>
              <w:bottom w:val="single" w:sz="8" w:space="0" w:color="auto"/>
              <w:right w:val="nil"/>
            </w:tcBorders>
            <w:shd w:val="clear" w:color="auto" w:fill="auto"/>
            <w:noWrap/>
            <w:vAlign w:val="bottom"/>
            <w:hideMark/>
          </w:tcPr>
          <w:p w14:paraId="6F7BEDC4"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women</w:t>
            </w:r>
          </w:p>
        </w:tc>
        <w:tc>
          <w:tcPr>
            <w:tcW w:w="313" w:type="dxa"/>
            <w:tcBorders>
              <w:top w:val="nil"/>
              <w:left w:val="nil"/>
              <w:bottom w:val="nil"/>
              <w:right w:val="nil"/>
            </w:tcBorders>
            <w:shd w:val="clear" w:color="auto" w:fill="auto"/>
            <w:noWrap/>
            <w:vAlign w:val="bottom"/>
            <w:hideMark/>
          </w:tcPr>
          <w:p w14:paraId="005D7DBB"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p>
        </w:tc>
        <w:tc>
          <w:tcPr>
            <w:tcW w:w="759" w:type="dxa"/>
            <w:tcBorders>
              <w:top w:val="nil"/>
              <w:left w:val="nil"/>
              <w:bottom w:val="single" w:sz="8" w:space="0" w:color="auto"/>
              <w:right w:val="nil"/>
            </w:tcBorders>
            <w:shd w:val="clear" w:color="auto" w:fill="auto"/>
            <w:noWrap/>
            <w:vAlign w:val="bottom"/>
            <w:hideMark/>
          </w:tcPr>
          <w:p w14:paraId="1DAD166C"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men</w:t>
            </w:r>
          </w:p>
        </w:tc>
        <w:tc>
          <w:tcPr>
            <w:tcW w:w="1074" w:type="dxa"/>
            <w:tcBorders>
              <w:top w:val="nil"/>
              <w:left w:val="nil"/>
              <w:bottom w:val="single" w:sz="8" w:space="0" w:color="auto"/>
              <w:right w:val="nil"/>
            </w:tcBorders>
            <w:shd w:val="clear" w:color="auto" w:fill="auto"/>
            <w:noWrap/>
            <w:vAlign w:val="bottom"/>
            <w:hideMark/>
          </w:tcPr>
          <w:p w14:paraId="1441FC83"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women</w:t>
            </w:r>
          </w:p>
        </w:tc>
      </w:tr>
      <w:tr w:rsidR="00C50DD5" w:rsidRPr="0091071B" w14:paraId="72D82C96" w14:textId="77777777" w:rsidTr="00345E83">
        <w:trPr>
          <w:trHeight w:val="258"/>
        </w:trPr>
        <w:tc>
          <w:tcPr>
            <w:tcW w:w="1998" w:type="dxa"/>
            <w:tcBorders>
              <w:top w:val="nil"/>
              <w:left w:val="nil"/>
              <w:bottom w:val="nil"/>
              <w:right w:val="nil"/>
            </w:tcBorders>
            <w:shd w:val="clear" w:color="auto" w:fill="auto"/>
            <w:noWrap/>
            <w:vAlign w:val="bottom"/>
            <w:hideMark/>
          </w:tcPr>
          <w:p w14:paraId="6871B660"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Excessive calories</w:t>
            </w:r>
          </w:p>
        </w:tc>
        <w:tc>
          <w:tcPr>
            <w:tcW w:w="774" w:type="dxa"/>
            <w:tcBorders>
              <w:top w:val="nil"/>
              <w:left w:val="nil"/>
              <w:bottom w:val="nil"/>
              <w:right w:val="nil"/>
            </w:tcBorders>
            <w:shd w:val="clear" w:color="auto" w:fill="auto"/>
            <w:noWrap/>
            <w:vAlign w:val="center"/>
            <w:hideMark/>
          </w:tcPr>
          <w:p w14:paraId="6D6E7563" w14:textId="777AC854"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8" w:type="dxa"/>
            <w:tcBorders>
              <w:top w:val="nil"/>
              <w:left w:val="nil"/>
              <w:bottom w:val="nil"/>
              <w:right w:val="nil"/>
            </w:tcBorders>
            <w:shd w:val="clear" w:color="auto" w:fill="auto"/>
            <w:noWrap/>
            <w:vAlign w:val="center"/>
            <w:hideMark/>
          </w:tcPr>
          <w:p w14:paraId="419A421D" w14:textId="3C6440AB"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313" w:type="dxa"/>
            <w:tcBorders>
              <w:top w:val="nil"/>
              <w:left w:val="nil"/>
              <w:bottom w:val="nil"/>
              <w:right w:val="nil"/>
            </w:tcBorders>
            <w:shd w:val="clear" w:color="auto" w:fill="auto"/>
            <w:noWrap/>
            <w:vAlign w:val="center"/>
            <w:hideMark/>
          </w:tcPr>
          <w:p w14:paraId="55E722C8"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1F2E411A" w14:textId="6D11A73A"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7" w:type="dxa"/>
            <w:tcBorders>
              <w:top w:val="nil"/>
              <w:left w:val="nil"/>
              <w:bottom w:val="nil"/>
              <w:right w:val="nil"/>
            </w:tcBorders>
            <w:shd w:val="clear" w:color="auto" w:fill="auto"/>
            <w:noWrap/>
            <w:vAlign w:val="center"/>
            <w:hideMark/>
          </w:tcPr>
          <w:p w14:paraId="4C84523E" w14:textId="5949445F"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313" w:type="dxa"/>
            <w:tcBorders>
              <w:top w:val="nil"/>
              <w:left w:val="nil"/>
              <w:bottom w:val="nil"/>
              <w:right w:val="nil"/>
            </w:tcBorders>
            <w:shd w:val="clear" w:color="auto" w:fill="auto"/>
            <w:noWrap/>
            <w:vAlign w:val="center"/>
            <w:hideMark/>
          </w:tcPr>
          <w:p w14:paraId="0B53FF86"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307E79D8" w14:textId="6AD0C45B"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7" w:type="dxa"/>
            <w:tcBorders>
              <w:top w:val="nil"/>
              <w:left w:val="nil"/>
              <w:bottom w:val="nil"/>
              <w:right w:val="nil"/>
            </w:tcBorders>
            <w:shd w:val="clear" w:color="auto" w:fill="auto"/>
            <w:noWrap/>
            <w:vAlign w:val="center"/>
            <w:hideMark/>
          </w:tcPr>
          <w:p w14:paraId="7F1515DA" w14:textId="1E4CC870"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w:t>
            </w:r>
          </w:p>
        </w:tc>
        <w:tc>
          <w:tcPr>
            <w:tcW w:w="313" w:type="dxa"/>
            <w:tcBorders>
              <w:top w:val="nil"/>
              <w:left w:val="nil"/>
              <w:bottom w:val="nil"/>
              <w:right w:val="nil"/>
            </w:tcBorders>
            <w:shd w:val="clear" w:color="auto" w:fill="auto"/>
            <w:noWrap/>
            <w:vAlign w:val="center"/>
            <w:hideMark/>
          </w:tcPr>
          <w:p w14:paraId="66F449D9"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44C1FB33" w14:textId="08BD3E71"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w:t>
            </w:r>
          </w:p>
        </w:tc>
        <w:tc>
          <w:tcPr>
            <w:tcW w:w="1074" w:type="dxa"/>
            <w:tcBorders>
              <w:top w:val="nil"/>
              <w:left w:val="nil"/>
              <w:bottom w:val="nil"/>
              <w:right w:val="nil"/>
            </w:tcBorders>
            <w:shd w:val="clear" w:color="auto" w:fill="auto"/>
            <w:noWrap/>
            <w:vAlign w:val="center"/>
            <w:hideMark/>
          </w:tcPr>
          <w:p w14:paraId="60CEA68C" w14:textId="2E27A469"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w:t>
            </w:r>
          </w:p>
        </w:tc>
      </w:tr>
      <w:tr w:rsidR="00C50DD5" w:rsidRPr="0091071B" w14:paraId="73C09C08" w14:textId="77777777" w:rsidTr="00345E83">
        <w:trPr>
          <w:trHeight w:val="258"/>
        </w:trPr>
        <w:tc>
          <w:tcPr>
            <w:tcW w:w="1998" w:type="dxa"/>
            <w:tcBorders>
              <w:top w:val="nil"/>
              <w:left w:val="nil"/>
              <w:bottom w:val="nil"/>
              <w:right w:val="nil"/>
            </w:tcBorders>
            <w:shd w:val="clear" w:color="auto" w:fill="auto"/>
            <w:noWrap/>
            <w:vAlign w:val="bottom"/>
            <w:hideMark/>
          </w:tcPr>
          <w:p w14:paraId="6A336DA0"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Age FE</w:t>
            </w:r>
          </w:p>
        </w:tc>
        <w:tc>
          <w:tcPr>
            <w:tcW w:w="774" w:type="dxa"/>
            <w:tcBorders>
              <w:top w:val="nil"/>
              <w:left w:val="nil"/>
              <w:bottom w:val="nil"/>
              <w:right w:val="nil"/>
            </w:tcBorders>
            <w:shd w:val="clear" w:color="auto" w:fill="auto"/>
            <w:noWrap/>
            <w:vAlign w:val="center"/>
            <w:hideMark/>
          </w:tcPr>
          <w:p w14:paraId="52018C22" w14:textId="41DB250A"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8" w:type="dxa"/>
            <w:tcBorders>
              <w:top w:val="nil"/>
              <w:left w:val="nil"/>
              <w:bottom w:val="nil"/>
              <w:right w:val="nil"/>
            </w:tcBorders>
            <w:shd w:val="clear" w:color="auto" w:fill="auto"/>
            <w:noWrap/>
            <w:vAlign w:val="center"/>
            <w:hideMark/>
          </w:tcPr>
          <w:p w14:paraId="2069DB9B" w14:textId="0F28C2C2"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313" w:type="dxa"/>
            <w:tcBorders>
              <w:top w:val="nil"/>
              <w:left w:val="nil"/>
              <w:bottom w:val="nil"/>
              <w:right w:val="nil"/>
            </w:tcBorders>
            <w:shd w:val="clear" w:color="auto" w:fill="auto"/>
            <w:noWrap/>
            <w:vAlign w:val="center"/>
            <w:hideMark/>
          </w:tcPr>
          <w:p w14:paraId="181A8853"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4CECA8C6" w14:textId="29C442F3"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7" w:type="dxa"/>
            <w:tcBorders>
              <w:top w:val="nil"/>
              <w:left w:val="nil"/>
              <w:bottom w:val="nil"/>
              <w:right w:val="nil"/>
            </w:tcBorders>
            <w:shd w:val="clear" w:color="auto" w:fill="auto"/>
            <w:noWrap/>
            <w:vAlign w:val="center"/>
            <w:hideMark/>
          </w:tcPr>
          <w:p w14:paraId="2E139EDB" w14:textId="69494023"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313" w:type="dxa"/>
            <w:tcBorders>
              <w:top w:val="nil"/>
              <w:left w:val="nil"/>
              <w:bottom w:val="nil"/>
              <w:right w:val="nil"/>
            </w:tcBorders>
            <w:shd w:val="clear" w:color="auto" w:fill="auto"/>
            <w:noWrap/>
            <w:vAlign w:val="center"/>
            <w:hideMark/>
          </w:tcPr>
          <w:p w14:paraId="41C1F2C1"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488A9C9F" w14:textId="3A2E7314"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7" w:type="dxa"/>
            <w:tcBorders>
              <w:top w:val="nil"/>
              <w:left w:val="nil"/>
              <w:bottom w:val="nil"/>
              <w:right w:val="nil"/>
            </w:tcBorders>
            <w:shd w:val="clear" w:color="auto" w:fill="auto"/>
            <w:noWrap/>
            <w:vAlign w:val="center"/>
            <w:hideMark/>
          </w:tcPr>
          <w:p w14:paraId="08A756AF" w14:textId="2301A37A"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313" w:type="dxa"/>
            <w:tcBorders>
              <w:top w:val="nil"/>
              <w:left w:val="nil"/>
              <w:bottom w:val="nil"/>
              <w:right w:val="nil"/>
            </w:tcBorders>
            <w:shd w:val="clear" w:color="auto" w:fill="auto"/>
            <w:noWrap/>
            <w:vAlign w:val="center"/>
            <w:hideMark/>
          </w:tcPr>
          <w:p w14:paraId="16B51FAA"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3D8C770D" w14:textId="10E957AA"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74" w:type="dxa"/>
            <w:tcBorders>
              <w:top w:val="nil"/>
              <w:left w:val="nil"/>
              <w:bottom w:val="nil"/>
              <w:right w:val="nil"/>
            </w:tcBorders>
            <w:shd w:val="clear" w:color="auto" w:fill="auto"/>
            <w:noWrap/>
            <w:vAlign w:val="center"/>
            <w:hideMark/>
          </w:tcPr>
          <w:p w14:paraId="50C013B3" w14:textId="62D4CE27"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r>
      <w:tr w:rsidR="00C50DD5" w:rsidRPr="0091071B" w14:paraId="4FC8B034" w14:textId="77777777" w:rsidTr="00345E83">
        <w:trPr>
          <w:trHeight w:val="258"/>
        </w:trPr>
        <w:tc>
          <w:tcPr>
            <w:tcW w:w="1998" w:type="dxa"/>
            <w:tcBorders>
              <w:top w:val="nil"/>
              <w:left w:val="nil"/>
              <w:bottom w:val="nil"/>
              <w:right w:val="nil"/>
            </w:tcBorders>
            <w:shd w:val="clear" w:color="auto" w:fill="auto"/>
            <w:noWrap/>
            <w:vAlign w:val="bottom"/>
            <w:hideMark/>
          </w:tcPr>
          <w:p w14:paraId="3F2ECF39"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Cohort FE</w:t>
            </w:r>
          </w:p>
        </w:tc>
        <w:tc>
          <w:tcPr>
            <w:tcW w:w="774" w:type="dxa"/>
            <w:tcBorders>
              <w:top w:val="nil"/>
              <w:left w:val="nil"/>
              <w:bottom w:val="nil"/>
              <w:right w:val="nil"/>
            </w:tcBorders>
            <w:shd w:val="clear" w:color="auto" w:fill="auto"/>
            <w:noWrap/>
            <w:vAlign w:val="center"/>
            <w:hideMark/>
          </w:tcPr>
          <w:p w14:paraId="01D0A257" w14:textId="18F58D41"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8" w:type="dxa"/>
            <w:tcBorders>
              <w:top w:val="nil"/>
              <w:left w:val="nil"/>
              <w:bottom w:val="nil"/>
              <w:right w:val="nil"/>
            </w:tcBorders>
            <w:shd w:val="clear" w:color="auto" w:fill="auto"/>
            <w:noWrap/>
            <w:vAlign w:val="center"/>
            <w:hideMark/>
          </w:tcPr>
          <w:p w14:paraId="3BF094E9" w14:textId="1F38BD59"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313" w:type="dxa"/>
            <w:tcBorders>
              <w:top w:val="nil"/>
              <w:left w:val="nil"/>
              <w:bottom w:val="nil"/>
              <w:right w:val="nil"/>
            </w:tcBorders>
            <w:shd w:val="clear" w:color="auto" w:fill="auto"/>
            <w:noWrap/>
            <w:vAlign w:val="center"/>
            <w:hideMark/>
          </w:tcPr>
          <w:p w14:paraId="178D760E"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28F6C58A" w14:textId="5EC4C4CA"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7" w:type="dxa"/>
            <w:tcBorders>
              <w:top w:val="nil"/>
              <w:left w:val="nil"/>
              <w:bottom w:val="nil"/>
              <w:right w:val="nil"/>
            </w:tcBorders>
            <w:shd w:val="clear" w:color="auto" w:fill="auto"/>
            <w:noWrap/>
            <w:vAlign w:val="center"/>
            <w:hideMark/>
          </w:tcPr>
          <w:p w14:paraId="1E04F96E" w14:textId="3DBE61D5"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313" w:type="dxa"/>
            <w:tcBorders>
              <w:top w:val="nil"/>
              <w:left w:val="nil"/>
              <w:bottom w:val="nil"/>
              <w:right w:val="nil"/>
            </w:tcBorders>
            <w:shd w:val="clear" w:color="auto" w:fill="auto"/>
            <w:noWrap/>
            <w:vAlign w:val="center"/>
            <w:hideMark/>
          </w:tcPr>
          <w:p w14:paraId="3FE1B093"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503FD968" w14:textId="4BBC0A29"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7" w:type="dxa"/>
            <w:tcBorders>
              <w:top w:val="nil"/>
              <w:left w:val="nil"/>
              <w:bottom w:val="nil"/>
              <w:right w:val="nil"/>
            </w:tcBorders>
            <w:shd w:val="clear" w:color="auto" w:fill="auto"/>
            <w:noWrap/>
            <w:vAlign w:val="center"/>
            <w:hideMark/>
          </w:tcPr>
          <w:p w14:paraId="3C845B19" w14:textId="07DEA250"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313" w:type="dxa"/>
            <w:tcBorders>
              <w:top w:val="nil"/>
              <w:left w:val="nil"/>
              <w:bottom w:val="nil"/>
              <w:right w:val="nil"/>
            </w:tcBorders>
            <w:shd w:val="clear" w:color="auto" w:fill="auto"/>
            <w:noWrap/>
            <w:vAlign w:val="center"/>
            <w:hideMark/>
          </w:tcPr>
          <w:p w14:paraId="3CA7B2A3"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087CE7EB" w14:textId="03057B42"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74" w:type="dxa"/>
            <w:tcBorders>
              <w:top w:val="nil"/>
              <w:left w:val="nil"/>
              <w:bottom w:val="nil"/>
              <w:right w:val="nil"/>
            </w:tcBorders>
            <w:shd w:val="clear" w:color="auto" w:fill="auto"/>
            <w:noWrap/>
            <w:vAlign w:val="center"/>
            <w:hideMark/>
          </w:tcPr>
          <w:p w14:paraId="3AD9C789" w14:textId="04563C31"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r>
      <w:tr w:rsidR="00C50DD5" w:rsidRPr="0091071B" w14:paraId="63A560AA" w14:textId="77777777" w:rsidTr="00345E83">
        <w:trPr>
          <w:trHeight w:val="258"/>
        </w:trPr>
        <w:tc>
          <w:tcPr>
            <w:tcW w:w="1998" w:type="dxa"/>
            <w:tcBorders>
              <w:top w:val="nil"/>
              <w:left w:val="nil"/>
              <w:bottom w:val="nil"/>
              <w:right w:val="nil"/>
            </w:tcBorders>
            <w:shd w:val="clear" w:color="auto" w:fill="auto"/>
            <w:noWrap/>
            <w:vAlign w:val="bottom"/>
            <w:hideMark/>
          </w:tcPr>
          <w:p w14:paraId="611CA822"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proofErr w:type="spellStart"/>
            <w:r w:rsidRPr="00FF7DF8">
              <w:rPr>
                <w:rFonts w:ascii="Times New Roman" w:eastAsia="Times New Roman" w:hAnsi="Times New Roman" w:cs="Times New Roman"/>
                <w:color w:val="000000"/>
                <w:sz w:val="24"/>
                <w:szCs w:val="24"/>
              </w:rPr>
              <w:t>GDP_pc</w:t>
            </w:r>
            <w:proofErr w:type="spellEnd"/>
          </w:p>
        </w:tc>
        <w:tc>
          <w:tcPr>
            <w:tcW w:w="774" w:type="dxa"/>
            <w:tcBorders>
              <w:top w:val="nil"/>
              <w:left w:val="nil"/>
              <w:bottom w:val="nil"/>
              <w:right w:val="nil"/>
            </w:tcBorders>
            <w:shd w:val="clear" w:color="auto" w:fill="auto"/>
            <w:noWrap/>
            <w:vAlign w:val="center"/>
            <w:hideMark/>
          </w:tcPr>
          <w:p w14:paraId="236B1A1D"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1068" w:type="dxa"/>
            <w:tcBorders>
              <w:top w:val="nil"/>
              <w:left w:val="nil"/>
              <w:bottom w:val="nil"/>
              <w:right w:val="nil"/>
            </w:tcBorders>
            <w:shd w:val="clear" w:color="auto" w:fill="auto"/>
            <w:noWrap/>
            <w:vAlign w:val="center"/>
            <w:hideMark/>
          </w:tcPr>
          <w:p w14:paraId="5ED58461"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313" w:type="dxa"/>
            <w:tcBorders>
              <w:top w:val="nil"/>
              <w:left w:val="nil"/>
              <w:bottom w:val="nil"/>
              <w:right w:val="nil"/>
            </w:tcBorders>
            <w:shd w:val="clear" w:color="auto" w:fill="auto"/>
            <w:noWrap/>
            <w:vAlign w:val="center"/>
            <w:hideMark/>
          </w:tcPr>
          <w:p w14:paraId="40445FC5"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1A1ADCF0" w14:textId="7B4FD387"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7" w:type="dxa"/>
            <w:tcBorders>
              <w:top w:val="nil"/>
              <w:left w:val="nil"/>
              <w:bottom w:val="nil"/>
              <w:right w:val="nil"/>
            </w:tcBorders>
            <w:shd w:val="clear" w:color="auto" w:fill="auto"/>
            <w:noWrap/>
            <w:vAlign w:val="center"/>
            <w:hideMark/>
          </w:tcPr>
          <w:p w14:paraId="139AAAE6" w14:textId="141E6C73"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w:t>
            </w:r>
          </w:p>
        </w:tc>
        <w:tc>
          <w:tcPr>
            <w:tcW w:w="313" w:type="dxa"/>
            <w:tcBorders>
              <w:top w:val="nil"/>
              <w:left w:val="nil"/>
              <w:bottom w:val="nil"/>
              <w:right w:val="nil"/>
            </w:tcBorders>
            <w:shd w:val="clear" w:color="auto" w:fill="auto"/>
            <w:noWrap/>
            <w:vAlign w:val="center"/>
            <w:hideMark/>
          </w:tcPr>
          <w:p w14:paraId="2F9AE683"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648A08D4" w14:textId="6E3338F6"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7" w:type="dxa"/>
            <w:tcBorders>
              <w:top w:val="nil"/>
              <w:left w:val="nil"/>
              <w:bottom w:val="nil"/>
              <w:right w:val="nil"/>
            </w:tcBorders>
            <w:shd w:val="clear" w:color="auto" w:fill="auto"/>
            <w:noWrap/>
            <w:vAlign w:val="center"/>
            <w:hideMark/>
          </w:tcPr>
          <w:p w14:paraId="1E8193AB" w14:textId="3E1D369E"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313" w:type="dxa"/>
            <w:tcBorders>
              <w:top w:val="nil"/>
              <w:left w:val="nil"/>
              <w:bottom w:val="nil"/>
              <w:right w:val="nil"/>
            </w:tcBorders>
            <w:shd w:val="clear" w:color="auto" w:fill="auto"/>
            <w:noWrap/>
            <w:vAlign w:val="center"/>
            <w:hideMark/>
          </w:tcPr>
          <w:p w14:paraId="6C0ADB1D"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7784D920" w14:textId="051B10DA"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w:t>
            </w:r>
          </w:p>
        </w:tc>
        <w:tc>
          <w:tcPr>
            <w:tcW w:w="1074" w:type="dxa"/>
            <w:tcBorders>
              <w:top w:val="nil"/>
              <w:left w:val="nil"/>
              <w:bottom w:val="nil"/>
              <w:right w:val="nil"/>
            </w:tcBorders>
            <w:shd w:val="clear" w:color="auto" w:fill="auto"/>
            <w:noWrap/>
            <w:vAlign w:val="center"/>
            <w:hideMark/>
          </w:tcPr>
          <w:p w14:paraId="3E8A888D" w14:textId="7A62242E"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r>
      <w:tr w:rsidR="00C50DD5" w:rsidRPr="0091071B" w14:paraId="02CFBFDA" w14:textId="77777777" w:rsidTr="00345E83">
        <w:trPr>
          <w:trHeight w:val="258"/>
        </w:trPr>
        <w:tc>
          <w:tcPr>
            <w:tcW w:w="1998" w:type="dxa"/>
            <w:tcBorders>
              <w:top w:val="nil"/>
              <w:left w:val="nil"/>
              <w:bottom w:val="nil"/>
              <w:right w:val="nil"/>
            </w:tcBorders>
            <w:shd w:val="clear" w:color="auto" w:fill="auto"/>
            <w:noWrap/>
            <w:vAlign w:val="bottom"/>
            <w:hideMark/>
          </w:tcPr>
          <w:p w14:paraId="5A7A329F" w14:textId="77777777" w:rsidR="00FF7DF8" w:rsidRPr="00FF7DF8" w:rsidRDefault="00FF7DF8" w:rsidP="00FF7DF8">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Rural population</w:t>
            </w:r>
          </w:p>
        </w:tc>
        <w:tc>
          <w:tcPr>
            <w:tcW w:w="774" w:type="dxa"/>
            <w:tcBorders>
              <w:top w:val="nil"/>
              <w:left w:val="nil"/>
              <w:bottom w:val="nil"/>
              <w:right w:val="nil"/>
            </w:tcBorders>
            <w:shd w:val="clear" w:color="auto" w:fill="auto"/>
            <w:noWrap/>
            <w:vAlign w:val="center"/>
            <w:hideMark/>
          </w:tcPr>
          <w:p w14:paraId="1CF4E7F0"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1068" w:type="dxa"/>
            <w:tcBorders>
              <w:top w:val="nil"/>
              <w:left w:val="nil"/>
              <w:bottom w:val="nil"/>
              <w:right w:val="nil"/>
            </w:tcBorders>
            <w:shd w:val="clear" w:color="auto" w:fill="auto"/>
            <w:noWrap/>
            <w:vAlign w:val="center"/>
            <w:hideMark/>
          </w:tcPr>
          <w:p w14:paraId="7A72A46C"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313" w:type="dxa"/>
            <w:tcBorders>
              <w:top w:val="nil"/>
              <w:left w:val="nil"/>
              <w:bottom w:val="nil"/>
              <w:right w:val="nil"/>
            </w:tcBorders>
            <w:shd w:val="clear" w:color="auto" w:fill="auto"/>
            <w:noWrap/>
            <w:vAlign w:val="center"/>
            <w:hideMark/>
          </w:tcPr>
          <w:p w14:paraId="1B1AB2F4"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6A500DE2"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1067" w:type="dxa"/>
            <w:tcBorders>
              <w:top w:val="nil"/>
              <w:left w:val="nil"/>
              <w:bottom w:val="nil"/>
              <w:right w:val="nil"/>
            </w:tcBorders>
            <w:shd w:val="clear" w:color="auto" w:fill="auto"/>
            <w:noWrap/>
            <w:vAlign w:val="center"/>
            <w:hideMark/>
          </w:tcPr>
          <w:p w14:paraId="1C318FBD"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313" w:type="dxa"/>
            <w:tcBorders>
              <w:top w:val="nil"/>
              <w:left w:val="nil"/>
              <w:bottom w:val="nil"/>
              <w:right w:val="nil"/>
            </w:tcBorders>
            <w:shd w:val="clear" w:color="auto" w:fill="auto"/>
            <w:noWrap/>
            <w:vAlign w:val="center"/>
            <w:hideMark/>
          </w:tcPr>
          <w:p w14:paraId="34640A12"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7CE32828" w14:textId="2212F742"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67" w:type="dxa"/>
            <w:tcBorders>
              <w:top w:val="nil"/>
              <w:left w:val="nil"/>
              <w:bottom w:val="nil"/>
              <w:right w:val="nil"/>
            </w:tcBorders>
            <w:shd w:val="clear" w:color="auto" w:fill="auto"/>
            <w:noWrap/>
            <w:vAlign w:val="center"/>
            <w:hideMark/>
          </w:tcPr>
          <w:p w14:paraId="31887BA5" w14:textId="4CA46196"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313" w:type="dxa"/>
            <w:tcBorders>
              <w:top w:val="nil"/>
              <w:left w:val="nil"/>
              <w:bottom w:val="nil"/>
              <w:right w:val="nil"/>
            </w:tcBorders>
            <w:shd w:val="clear" w:color="auto" w:fill="auto"/>
            <w:noWrap/>
            <w:vAlign w:val="center"/>
            <w:hideMark/>
          </w:tcPr>
          <w:p w14:paraId="5BFC3F2F" w14:textId="77777777"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nil"/>
              <w:right w:val="nil"/>
            </w:tcBorders>
            <w:shd w:val="clear" w:color="auto" w:fill="auto"/>
            <w:noWrap/>
            <w:vAlign w:val="center"/>
            <w:hideMark/>
          </w:tcPr>
          <w:p w14:paraId="7710CA88" w14:textId="5940A3B0"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74" w:type="dxa"/>
            <w:tcBorders>
              <w:top w:val="nil"/>
              <w:left w:val="nil"/>
              <w:bottom w:val="nil"/>
              <w:right w:val="nil"/>
            </w:tcBorders>
            <w:shd w:val="clear" w:color="auto" w:fill="auto"/>
            <w:noWrap/>
            <w:vAlign w:val="center"/>
            <w:hideMark/>
          </w:tcPr>
          <w:p w14:paraId="5A36C927" w14:textId="1FD47BDE"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r>
      <w:tr w:rsidR="00C50DD5" w:rsidRPr="0091071B" w14:paraId="0BE8C387" w14:textId="77777777" w:rsidTr="00345E83">
        <w:trPr>
          <w:trHeight w:val="269"/>
        </w:trPr>
        <w:tc>
          <w:tcPr>
            <w:tcW w:w="1998" w:type="dxa"/>
            <w:tcBorders>
              <w:top w:val="nil"/>
              <w:left w:val="nil"/>
              <w:bottom w:val="single" w:sz="8" w:space="0" w:color="auto"/>
              <w:right w:val="nil"/>
            </w:tcBorders>
            <w:shd w:val="clear" w:color="auto" w:fill="auto"/>
            <w:noWrap/>
            <w:vAlign w:val="center"/>
            <w:hideMark/>
          </w:tcPr>
          <w:p w14:paraId="76FFCA23" w14:textId="77777777" w:rsidR="00FF7DF8" w:rsidRPr="00FF7DF8" w:rsidRDefault="00FF7DF8" w:rsidP="00291C14">
            <w:pPr>
              <w:spacing w:after="0" w:line="240" w:lineRule="auto"/>
              <w:rPr>
                <w:rFonts w:ascii="Times New Roman" w:eastAsia="Times New Roman" w:hAnsi="Times New Roman" w:cs="Times New Roman"/>
                <w:color w:val="000000"/>
                <w:sz w:val="24"/>
                <w:szCs w:val="24"/>
              </w:rPr>
            </w:pPr>
            <w:r w:rsidRPr="00FF7DF8">
              <w:rPr>
                <w:rFonts w:ascii="Times New Roman" w:eastAsia="Times New Roman" w:hAnsi="Times New Roman" w:cs="Times New Roman"/>
                <w:color w:val="000000"/>
                <w:sz w:val="24"/>
                <w:szCs w:val="24"/>
              </w:rPr>
              <w:t>Health expenditure</w:t>
            </w:r>
          </w:p>
        </w:tc>
        <w:tc>
          <w:tcPr>
            <w:tcW w:w="774" w:type="dxa"/>
            <w:tcBorders>
              <w:top w:val="nil"/>
              <w:left w:val="nil"/>
              <w:bottom w:val="single" w:sz="8" w:space="0" w:color="auto"/>
              <w:right w:val="nil"/>
            </w:tcBorders>
            <w:shd w:val="clear" w:color="auto" w:fill="auto"/>
            <w:noWrap/>
            <w:vAlign w:val="center"/>
            <w:hideMark/>
          </w:tcPr>
          <w:p w14:paraId="4DFA868B"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1068" w:type="dxa"/>
            <w:tcBorders>
              <w:top w:val="nil"/>
              <w:left w:val="nil"/>
              <w:bottom w:val="single" w:sz="8" w:space="0" w:color="auto"/>
              <w:right w:val="nil"/>
            </w:tcBorders>
            <w:shd w:val="clear" w:color="auto" w:fill="auto"/>
            <w:noWrap/>
            <w:vAlign w:val="center"/>
            <w:hideMark/>
          </w:tcPr>
          <w:p w14:paraId="1F086D92"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313" w:type="dxa"/>
            <w:tcBorders>
              <w:top w:val="nil"/>
              <w:left w:val="nil"/>
              <w:bottom w:val="single" w:sz="8" w:space="0" w:color="auto"/>
              <w:right w:val="nil"/>
            </w:tcBorders>
            <w:shd w:val="clear" w:color="auto" w:fill="auto"/>
            <w:noWrap/>
            <w:vAlign w:val="center"/>
            <w:hideMark/>
          </w:tcPr>
          <w:p w14:paraId="2160432C" w14:textId="35A0C0D3"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single" w:sz="8" w:space="0" w:color="auto"/>
              <w:right w:val="nil"/>
            </w:tcBorders>
            <w:shd w:val="clear" w:color="auto" w:fill="auto"/>
            <w:noWrap/>
            <w:vAlign w:val="center"/>
            <w:hideMark/>
          </w:tcPr>
          <w:p w14:paraId="04FDAD41"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1067" w:type="dxa"/>
            <w:tcBorders>
              <w:top w:val="nil"/>
              <w:left w:val="nil"/>
              <w:bottom w:val="single" w:sz="8" w:space="0" w:color="auto"/>
              <w:right w:val="nil"/>
            </w:tcBorders>
            <w:shd w:val="clear" w:color="auto" w:fill="auto"/>
            <w:noWrap/>
            <w:vAlign w:val="center"/>
            <w:hideMark/>
          </w:tcPr>
          <w:p w14:paraId="12EC47EB"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313" w:type="dxa"/>
            <w:tcBorders>
              <w:top w:val="nil"/>
              <w:left w:val="nil"/>
              <w:bottom w:val="single" w:sz="8" w:space="0" w:color="auto"/>
              <w:right w:val="nil"/>
            </w:tcBorders>
            <w:shd w:val="clear" w:color="auto" w:fill="auto"/>
            <w:noWrap/>
            <w:vAlign w:val="center"/>
            <w:hideMark/>
          </w:tcPr>
          <w:p w14:paraId="0D8FC9C8" w14:textId="73123BEF"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single" w:sz="8" w:space="0" w:color="auto"/>
              <w:right w:val="nil"/>
            </w:tcBorders>
            <w:shd w:val="clear" w:color="auto" w:fill="auto"/>
            <w:noWrap/>
            <w:vAlign w:val="center"/>
            <w:hideMark/>
          </w:tcPr>
          <w:p w14:paraId="603CB51A"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1067" w:type="dxa"/>
            <w:tcBorders>
              <w:top w:val="nil"/>
              <w:left w:val="nil"/>
              <w:bottom w:val="single" w:sz="8" w:space="0" w:color="auto"/>
              <w:right w:val="nil"/>
            </w:tcBorders>
            <w:shd w:val="clear" w:color="auto" w:fill="auto"/>
            <w:noWrap/>
            <w:vAlign w:val="center"/>
            <w:hideMark/>
          </w:tcPr>
          <w:p w14:paraId="13FC902C" w14:textId="77777777" w:rsidR="00FF7DF8" w:rsidRPr="00FF7DF8" w:rsidRDefault="00FF7DF8" w:rsidP="0091071B">
            <w:pPr>
              <w:spacing w:after="0" w:line="240" w:lineRule="auto"/>
              <w:jc w:val="center"/>
              <w:rPr>
                <w:rFonts w:ascii="Times New Roman" w:eastAsia="Times New Roman" w:hAnsi="Times New Roman" w:cs="Times New Roman"/>
                <w:color w:val="000000"/>
              </w:rPr>
            </w:pPr>
            <w:proofErr w:type="spellStart"/>
            <w:r w:rsidRPr="00FF7DF8">
              <w:rPr>
                <w:rFonts w:ascii="Times New Roman" w:eastAsia="Times New Roman" w:hAnsi="Times New Roman" w:cs="Times New Roman"/>
                <w:color w:val="000000"/>
              </w:rPr>
              <w:t>n.a.</w:t>
            </w:r>
            <w:proofErr w:type="spellEnd"/>
          </w:p>
        </w:tc>
        <w:tc>
          <w:tcPr>
            <w:tcW w:w="313" w:type="dxa"/>
            <w:tcBorders>
              <w:top w:val="nil"/>
              <w:left w:val="nil"/>
              <w:bottom w:val="single" w:sz="8" w:space="0" w:color="auto"/>
              <w:right w:val="nil"/>
            </w:tcBorders>
            <w:shd w:val="clear" w:color="auto" w:fill="auto"/>
            <w:noWrap/>
            <w:vAlign w:val="center"/>
            <w:hideMark/>
          </w:tcPr>
          <w:p w14:paraId="5B33A6C6" w14:textId="1D924580" w:rsidR="00FF7DF8" w:rsidRPr="00FF7DF8" w:rsidRDefault="00FF7DF8" w:rsidP="0091071B">
            <w:pPr>
              <w:spacing w:after="0" w:line="240" w:lineRule="auto"/>
              <w:jc w:val="center"/>
              <w:rPr>
                <w:rFonts w:ascii="Times New Roman" w:eastAsia="Times New Roman" w:hAnsi="Times New Roman" w:cs="Times New Roman"/>
                <w:color w:val="000000"/>
              </w:rPr>
            </w:pPr>
          </w:p>
        </w:tc>
        <w:tc>
          <w:tcPr>
            <w:tcW w:w="759" w:type="dxa"/>
            <w:tcBorders>
              <w:top w:val="nil"/>
              <w:left w:val="nil"/>
              <w:bottom w:val="single" w:sz="8" w:space="0" w:color="auto"/>
              <w:right w:val="nil"/>
            </w:tcBorders>
            <w:shd w:val="clear" w:color="auto" w:fill="auto"/>
            <w:noWrap/>
            <w:vAlign w:val="center"/>
            <w:hideMark/>
          </w:tcPr>
          <w:p w14:paraId="6791DC02" w14:textId="0F80F4C7"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c>
          <w:tcPr>
            <w:tcW w:w="1074" w:type="dxa"/>
            <w:tcBorders>
              <w:top w:val="nil"/>
              <w:left w:val="nil"/>
              <w:bottom w:val="single" w:sz="8" w:space="0" w:color="auto"/>
              <w:right w:val="nil"/>
            </w:tcBorders>
            <w:shd w:val="clear" w:color="auto" w:fill="auto"/>
            <w:noWrap/>
            <w:vAlign w:val="center"/>
            <w:hideMark/>
          </w:tcPr>
          <w:p w14:paraId="61B23003" w14:textId="613B2F63" w:rsidR="00FF7DF8" w:rsidRPr="00FF7DF8" w:rsidRDefault="00FF7DF8" w:rsidP="0091071B">
            <w:pPr>
              <w:spacing w:after="0" w:line="240" w:lineRule="auto"/>
              <w:jc w:val="center"/>
              <w:rPr>
                <w:rFonts w:ascii="Times New Roman" w:eastAsia="Times New Roman" w:hAnsi="Times New Roman" w:cs="Times New Roman"/>
                <w:color w:val="000000"/>
              </w:rPr>
            </w:pPr>
            <w:r w:rsidRPr="00FF7DF8">
              <w:rPr>
                <w:rFonts w:ascii="Times New Roman" w:eastAsia="Times New Roman" w:hAnsi="Times New Roman" w:cs="Times New Roman"/>
                <w:color w:val="000000"/>
              </w:rPr>
              <w:t>+ ***</w:t>
            </w:r>
          </w:p>
        </w:tc>
      </w:tr>
      <w:tr w:rsidR="00FF7DF8" w:rsidRPr="00FF7DF8" w14:paraId="06D30020" w14:textId="77777777" w:rsidTr="00345E83">
        <w:trPr>
          <w:trHeight w:val="224"/>
        </w:trPr>
        <w:tc>
          <w:tcPr>
            <w:tcW w:w="10264" w:type="dxa"/>
            <w:gridSpan w:val="12"/>
            <w:tcBorders>
              <w:top w:val="single" w:sz="8" w:space="0" w:color="auto"/>
              <w:left w:val="nil"/>
              <w:bottom w:val="nil"/>
              <w:right w:val="nil"/>
            </w:tcBorders>
            <w:shd w:val="clear" w:color="auto" w:fill="auto"/>
            <w:vAlign w:val="center"/>
            <w:hideMark/>
          </w:tcPr>
          <w:p w14:paraId="7BA1BCC0" w14:textId="617546F3" w:rsidR="00FF7DF8" w:rsidRPr="00FF7DF8" w:rsidRDefault="00CC556B" w:rsidP="00FF7DF8">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w:t>
            </w:r>
            <w:r w:rsidR="00FF7DF8" w:rsidRPr="00FF7DF8">
              <w:rPr>
                <w:rFonts w:ascii="Times New Roman" w:eastAsia="Times New Roman" w:hAnsi="Times New Roman" w:cs="Times New Roman"/>
                <w:color w:val="000000"/>
                <w:sz w:val="20"/>
                <w:szCs w:val="20"/>
              </w:rPr>
              <w:t>All regressions include country fixed effects. *** indicates the estimated coefficient is significantly different from zero at the 1% test level; ** indicates the estimated coefficient is significantly different from zero at the 5% test level; * indicates the estimated coefficient is significantly different from zero at the 10% test level; + (-) indicates a positive (negative) correlation between the explained and the explanatory variable; n/a indicates the variable is not included in the model.</w:t>
            </w:r>
          </w:p>
        </w:tc>
      </w:tr>
    </w:tbl>
    <w:p w14:paraId="330D142A" w14:textId="77777777" w:rsidR="00D3605A" w:rsidRPr="00D3605A" w:rsidRDefault="00D3605A" w:rsidP="00BB18AC">
      <w:pPr>
        <w:keepNext/>
        <w:spacing w:before="240" w:after="0" w:line="36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noProof/>
          <w:color w:val="000000"/>
          <w:sz w:val="24"/>
          <w:szCs w:val="24"/>
        </w:rPr>
        <w:drawing>
          <wp:inline distT="0" distB="0" distL="0" distR="0" wp14:anchorId="7F1931C5" wp14:editId="04973FF7">
            <wp:extent cx="5943600" cy="2220665"/>
            <wp:effectExtent l="0" t="0" r="0" b="8255"/>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220665"/>
                    </a:xfrm>
                    <a:prstGeom prst="rect">
                      <a:avLst/>
                    </a:prstGeom>
                    <a:noFill/>
                    <a:ln>
                      <a:noFill/>
                    </a:ln>
                  </pic:spPr>
                </pic:pic>
              </a:graphicData>
            </a:graphic>
          </wp:inline>
        </w:drawing>
      </w:r>
    </w:p>
    <w:p w14:paraId="0D446B1C" w14:textId="165037D3" w:rsidR="00382175" w:rsidRPr="006745F4" w:rsidRDefault="00382175" w:rsidP="00382175">
      <w:pPr>
        <w:pStyle w:val="Descripcin"/>
        <w:spacing w:after="0" w:line="120" w:lineRule="atLeast"/>
        <w:rPr>
          <w:rFonts w:ascii="Times New Roman" w:eastAsia="Malgun Gothic" w:hAnsi="Times New Roman" w:cs="Times New Roman"/>
          <w:b/>
          <w:i w:val="0"/>
          <w:iCs w:val="0"/>
          <w:color w:val="auto"/>
          <w:sz w:val="20"/>
          <w:szCs w:val="20"/>
          <w:lang w:eastAsia="ko-KR"/>
        </w:rPr>
      </w:pPr>
      <w:bookmarkStart w:id="9" w:name="_Ref75608039"/>
      <w:bookmarkStart w:id="10" w:name="_Toc82619225"/>
      <w:bookmarkStart w:id="11" w:name="_Toc97739378"/>
      <w:r w:rsidRPr="006745F4">
        <w:rPr>
          <w:rFonts w:ascii="Times New Roman" w:hAnsi="Times New Roman" w:cs="Times New Roman"/>
          <w:b/>
          <w:bCs/>
          <w:i w:val="0"/>
          <w:iCs w:val="0"/>
          <w:color w:val="auto"/>
          <w:sz w:val="20"/>
          <w:szCs w:val="20"/>
        </w:rPr>
        <w:t>Figure S</w:t>
      </w:r>
      <w:r w:rsidRPr="006745F4">
        <w:rPr>
          <w:rFonts w:ascii="Times New Roman" w:hAnsi="Times New Roman" w:cs="Times New Roman"/>
          <w:b/>
          <w:bCs/>
          <w:i w:val="0"/>
          <w:iCs w:val="0"/>
          <w:color w:val="auto"/>
          <w:sz w:val="20"/>
          <w:szCs w:val="20"/>
        </w:rPr>
        <w:fldChar w:fldCharType="begin"/>
      </w:r>
      <w:r w:rsidRPr="006745F4">
        <w:rPr>
          <w:rFonts w:ascii="Times New Roman" w:hAnsi="Times New Roman" w:cs="Times New Roman"/>
          <w:b/>
          <w:bCs/>
          <w:i w:val="0"/>
          <w:iCs w:val="0"/>
          <w:color w:val="auto"/>
          <w:sz w:val="20"/>
          <w:szCs w:val="20"/>
        </w:rPr>
        <w:instrText xml:space="preserve"> SEQ Figure_S \* ARABIC </w:instrText>
      </w:r>
      <w:r w:rsidRPr="006745F4">
        <w:rPr>
          <w:rFonts w:ascii="Times New Roman" w:hAnsi="Times New Roman" w:cs="Times New Roman"/>
          <w:b/>
          <w:bCs/>
          <w:i w:val="0"/>
          <w:iCs w:val="0"/>
          <w:color w:val="auto"/>
          <w:sz w:val="20"/>
          <w:szCs w:val="20"/>
        </w:rPr>
        <w:fldChar w:fldCharType="separate"/>
      </w:r>
      <w:r w:rsidR="00473FA6" w:rsidRPr="006745F4">
        <w:rPr>
          <w:rFonts w:ascii="Times New Roman" w:hAnsi="Times New Roman" w:cs="Times New Roman"/>
          <w:b/>
          <w:bCs/>
          <w:i w:val="0"/>
          <w:iCs w:val="0"/>
          <w:noProof/>
          <w:color w:val="auto"/>
          <w:sz w:val="20"/>
          <w:szCs w:val="20"/>
        </w:rPr>
        <w:t>1</w:t>
      </w:r>
      <w:r w:rsidRPr="006745F4">
        <w:rPr>
          <w:rFonts w:ascii="Times New Roman" w:hAnsi="Times New Roman" w:cs="Times New Roman"/>
          <w:b/>
          <w:bCs/>
          <w:i w:val="0"/>
          <w:iCs w:val="0"/>
          <w:color w:val="auto"/>
          <w:sz w:val="20"/>
          <w:szCs w:val="20"/>
        </w:rPr>
        <w:fldChar w:fldCharType="end"/>
      </w:r>
      <w:r w:rsidR="00D3605A" w:rsidRPr="006745F4">
        <w:rPr>
          <w:rFonts w:ascii="Times New Roman" w:eastAsia="Malgun Gothic" w:hAnsi="Times New Roman" w:cs="Times New Roman"/>
          <w:b/>
          <w:i w:val="0"/>
          <w:iCs w:val="0"/>
          <w:color w:val="auto"/>
          <w:sz w:val="20"/>
          <w:szCs w:val="20"/>
          <w:lang w:eastAsia="ko-KR"/>
        </w:rPr>
        <w:t>. Region-specific fixed effects in BMI derived from Model 1</w:t>
      </w:r>
      <w:bookmarkEnd w:id="9"/>
      <w:bookmarkEnd w:id="10"/>
      <w:bookmarkEnd w:id="11"/>
    </w:p>
    <w:p w14:paraId="450CC568" w14:textId="3F4B4681" w:rsidR="00D3605A" w:rsidRPr="006745F4" w:rsidRDefault="00D3605A" w:rsidP="00BB18AC">
      <w:pPr>
        <w:pStyle w:val="Descripcin"/>
        <w:spacing w:after="0" w:line="120" w:lineRule="atLeast"/>
        <w:jc w:val="both"/>
        <w:rPr>
          <w:rFonts w:ascii="Times New Roman" w:eastAsia="Malgun Gothic" w:hAnsi="Times New Roman" w:cs="Times New Roman"/>
          <w:b/>
          <w:i w:val="0"/>
          <w:iCs w:val="0"/>
          <w:color w:val="auto"/>
          <w:sz w:val="20"/>
          <w:szCs w:val="20"/>
          <w:lang w:eastAsia="ko-KR"/>
        </w:rPr>
      </w:pPr>
      <w:r w:rsidRPr="006745F4">
        <w:rPr>
          <w:rFonts w:ascii="Times New Roman" w:eastAsia="Malgun Gothic" w:hAnsi="Times New Roman" w:cs="Times New Roman"/>
          <w:bCs/>
          <w:i w:val="0"/>
          <w:iCs w:val="0"/>
          <w:color w:val="auto"/>
          <w:sz w:val="20"/>
          <w:szCs w:val="20"/>
          <w:lang w:eastAsia="ko-KR"/>
        </w:rPr>
        <w:t xml:space="preserve">Moving from left to right, the countries are listed from largest to smallest fixed effect with respect to the US (omitted). For women (red dots, panel </w:t>
      </w:r>
      <w:r w:rsidRPr="006745F4">
        <w:rPr>
          <w:rFonts w:ascii="Times New Roman" w:eastAsia="Malgun Gothic" w:hAnsi="Times New Roman" w:cs="Times New Roman"/>
          <w:b/>
          <w:bCs/>
          <w:i w:val="0"/>
          <w:iCs w:val="0"/>
          <w:color w:val="auto"/>
          <w:sz w:val="20"/>
          <w:szCs w:val="20"/>
          <w:lang w:eastAsia="ko-KR"/>
        </w:rPr>
        <w:t>a</w:t>
      </w:r>
      <w:r w:rsidRPr="006745F4">
        <w:rPr>
          <w:rFonts w:ascii="Times New Roman" w:eastAsia="Malgun Gothic" w:hAnsi="Times New Roman" w:cs="Times New Roman"/>
          <w:bCs/>
          <w:i w:val="0"/>
          <w:iCs w:val="0"/>
          <w:color w:val="auto"/>
          <w:sz w:val="20"/>
          <w:szCs w:val="20"/>
          <w:lang w:eastAsia="ko-KR"/>
        </w:rPr>
        <w:t xml:space="preserve">) and for men (blue dots, panel </w:t>
      </w:r>
      <w:r w:rsidRPr="006745F4">
        <w:rPr>
          <w:rFonts w:ascii="Times New Roman" w:eastAsia="Malgun Gothic" w:hAnsi="Times New Roman" w:cs="Times New Roman"/>
          <w:b/>
          <w:bCs/>
          <w:i w:val="0"/>
          <w:iCs w:val="0"/>
          <w:color w:val="auto"/>
          <w:sz w:val="20"/>
          <w:szCs w:val="20"/>
          <w:lang w:eastAsia="ko-KR"/>
        </w:rPr>
        <w:t>b</w:t>
      </w:r>
      <w:r w:rsidRPr="006745F4">
        <w:rPr>
          <w:rFonts w:ascii="Times New Roman" w:eastAsia="Malgun Gothic" w:hAnsi="Times New Roman" w:cs="Times New Roman"/>
          <w:bCs/>
          <w:i w:val="0"/>
          <w:iCs w:val="0"/>
          <w:color w:val="auto"/>
          <w:sz w:val="20"/>
          <w:szCs w:val="20"/>
          <w:lang w:eastAsia="ko-KR"/>
        </w:rPr>
        <w:t>) region labels appear at the bottom. The shaded areas represent 95% confidence bands for the estimated coefficients.</w:t>
      </w:r>
    </w:p>
    <w:p w14:paraId="15FE112F" w14:textId="67DDE2B4" w:rsidR="00D3605A" w:rsidRDefault="00D3605A" w:rsidP="00D3605A">
      <w:pPr>
        <w:spacing w:after="120" w:line="240" w:lineRule="auto"/>
        <w:jc w:val="both"/>
        <w:rPr>
          <w:rFonts w:ascii="Times New Roman" w:eastAsia="Malgun Gothic" w:hAnsi="Times New Roman" w:cs="Times New Roman"/>
          <w:bCs/>
          <w:sz w:val="24"/>
          <w:szCs w:val="18"/>
          <w:lang w:eastAsia="ko-KR"/>
        </w:rPr>
      </w:pPr>
      <w:r w:rsidRPr="00D3605A">
        <w:rPr>
          <w:rFonts w:ascii="Times New Roman" w:eastAsia="Malgun Gothic" w:hAnsi="Times New Roman" w:cs="Times New Roman"/>
          <w:bCs/>
          <w:sz w:val="24"/>
          <w:szCs w:val="18"/>
          <w:lang w:eastAsia="ko-KR"/>
        </w:rPr>
        <w:br w:type="page"/>
      </w:r>
    </w:p>
    <w:p w14:paraId="5CB1CB43" w14:textId="47B5A2B3" w:rsidR="0047520C" w:rsidRPr="00D61E59" w:rsidRDefault="0047520C" w:rsidP="001A4061">
      <w:pPr>
        <w:keepNext/>
        <w:spacing w:before="240" w:after="60" w:line="240" w:lineRule="auto"/>
        <w:outlineLvl w:val="0"/>
        <w:rPr>
          <w:rFonts w:ascii="Times New Roman" w:eastAsia="Times New Roman" w:hAnsi="Times New Roman" w:cs="Times New Roman"/>
          <w:b/>
          <w:bCs/>
          <w:kern w:val="32"/>
          <w:sz w:val="24"/>
          <w:szCs w:val="24"/>
        </w:rPr>
      </w:pPr>
      <w:bookmarkStart w:id="12" w:name="_Toc75803826"/>
      <w:r w:rsidRPr="00D61E59">
        <w:rPr>
          <w:rFonts w:ascii="Times New Roman" w:eastAsia="Times New Roman" w:hAnsi="Times New Roman" w:cs="Times New Roman"/>
          <w:b/>
          <w:bCs/>
          <w:kern w:val="32"/>
          <w:sz w:val="24"/>
          <w:szCs w:val="24"/>
        </w:rPr>
        <w:lastRenderedPageBreak/>
        <w:t>Model Validation, Uncertainties, and Baseline Projections Towards 2050</w:t>
      </w:r>
      <w:bookmarkEnd w:id="12"/>
    </w:p>
    <w:p w14:paraId="2BCFBBAF" w14:textId="226CAC97" w:rsidR="0047520C" w:rsidRPr="0047520C" w:rsidRDefault="0047520C" w:rsidP="001A4061">
      <w:pPr>
        <w:spacing w:line="240" w:lineRule="auto"/>
        <w:jc w:val="both"/>
        <w:rPr>
          <w:rFonts w:ascii="Times New Roman" w:hAnsi="Times New Roman" w:cs="Times New Roman"/>
          <w:iCs/>
          <w:sz w:val="24"/>
          <w:szCs w:val="24"/>
          <w:lang w:eastAsia="ko-KR"/>
        </w:rPr>
      </w:pPr>
      <w:r w:rsidRPr="0047520C">
        <w:rPr>
          <w:rFonts w:ascii="Times New Roman" w:hAnsi="Times New Roman" w:cs="Times New Roman"/>
          <w:iCs/>
          <w:sz w:val="24"/>
          <w:szCs w:val="24"/>
          <w:lang w:eastAsia="ko-KR"/>
        </w:rPr>
        <w:t xml:space="preserve">Following Baldos and Hertel (2014) and Lopez Barrera and Hertel (2020) who used the SIMPLE framework to examine the evolution of undernourishment and food waste respectively, </w:t>
      </w:r>
      <w:r w:rsidR="00496F8F">
        <w:rPr>
          <w:rFonts w:ascii="Times New Roman" w:hAnsi="Times New Roman" w:cs="Times New Roman"/>
          <w:iCs/>
          <w:sz w:val="24"/>
          <w:szCs w:val="24"/>
          <w:lang w:eastAsia="ko-KR"/>
        </w:rPr>
        <w:t xml:space="preserve">we </w:t>
      </w:r>
      <w:r w:rsidRPr="0047520C">
        <w:rPr>
          <w:rFonts w:ascii="Times New Roman" w:hAnsi="Times New Roman" w:cs="Times New Roman"/>
          <w:iCs/>
          <w:sz w:val="24"/>
          <w:szCs w:val="24"/>
          <w:lang w:eastAsia="ko-KR"/>
        </w:rPr>
        <w:t xml:space="preserve">start our analysis by evaluating how well the model projects changes in adult BMI over an historical period: 2005–2015. </w:t>
      </w:r>
    </w:p>
    <w:p w14:paraId="5B5FE318" w14:textId="77777777" w:rsidR="0047520C" w:rsidRPr="0047520C" w:rsidRDefault="0047520C" w:rsidP="001A4061">
      <w:pPr>
        <w:spacing w:after="0" w:line="240" w:lineRule="auto"/>
        <w:jc w:val="both"/>
        <w:rPr>
          <w:rFonts w:ascii="Times New Roman" w:hAnsi="Times New Roman" w:cs="Times New Roman"/>
          <w:sz w:val="24"/>
          <w:szCs w:val="24"/>
          <w:lang w:eastAsia="ko-KR"/>
        </w:rPr>
      </w:pPr>
      <w:r w:rsidRPr="0047520C">
        <w:rPr>
          <w:rFonts w:ascii="Times New Roman" w:hAnsi="Times New Roman" w:cs="Times New Roman"/>
          <w:iCs/>
          <w:noProof/>
          <w:sz w:val="24"/>
          <w:szCs w:val="24"/>
          <w:lang w:eastAsia="ko-KR"/>
        </w:rPr>
        <w:drawing>
          <wp:inline distT="0" distB="0" distL="0" distR="0" wp14:anchorId="2C6791BF" wp14:editId="7ECFA9DE">
            <wp:extent cx="6482862" cy="2812403"/>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94999" cy="2817668"/>
                    </a:xfrm>
                    <a:prstGeom prst="rect">
                      <a:avLst/>
                    </a:prstGeom>
                    <a:noFill/>
                  </pic:spPr>
                </pic:pic>
              </a:graphicData>
            </a:graphic>
          </wp:inline>
        </w:drawing>
      </w:r>
    </w:p>
    <w:p w14:paraId="0897E43E" w14:textId="23CDAC6D" w:rsidR="0047520C" w:rsidRPr="001A4061" w:rsidRDefault="0047520C" w:rsidP="001A4061">
      <w:pPr>
        <w:pStyle w:val="Descripcin"/>
        <w:spacing w:after="0"/>
        <w:rPr>
          <w:rFonts w:ascii="Times New Roman" w:hAnsi="Times New Roman" w:cs="Times New Roman"/>
          <w:b/>
          <w:bCs/>
          <w:i w:val="0"/>
          <w:iCs w:val="0"/>
          <w:color w:val="auto"/>
          <w:sz w:val="20"/>
          <w:szCs w:val="20"/>
          <w:lang w:eastAsia="ko-KR"/>
        </w:rPr>
      </w:pPr>
      <w:bookmarkStart w:id="13" w:name="_Ref75541268"/>
      <w:bookmarkStart w:id="14" w:name="_Toc75803883"/>
      <w:bookmarkStart w:id="15" w:name="_Toc97739379"/>
      <w:r w:rsidRPr="001A4061">
        <w:rPr>
          <w:rFonts w:ascii="Times New Roman" w:hAnsi="Times New Roman" w:cs="Times New Roman"/>
          <w:b/>
          <w:bCs/>
          <w:i w:val="0"/>
          <w:iCs w:val="0"/>
          <w:color w:val="auto"/>
          <w:sz w:val="20"/>
          <w:szCs w:val="20"/>
          <w:lang w:eastAsia="ko-KR"/>
        </w:rPr>
        <w:t>Figure</w:t>
      </w:r>
      <w:bookmarkStart w:id="16" w:name="_Hlk75115489"/>
      <w:bookmarkEnd w:id="13"/>
      <w:r w:rsidRPr="001A4061">
        <w:rPr>
          <w:rFonts w:ascii="Times New Roman" w:hAnsi="Times New Roman" w:cs="Times New Roman"/>
          <w:b/>
          <w:bCs/>
          <w:i w:val="0"/>
          <w:iCs w:val="0"/>
          <w:color w:val="auto"/>
          <w:sz w:val="20"/>
          <w:szCs w:val="20"/>
          <w:lang w:eastAsia="ko-KR"/>
        </w:rPr>
        <w:t xml:space="preserve"> S</w:t>
      </w:r>
      <w:r w:rsidRPr="001A4061">
        <w:rPr>
          <w:rFonts w:ascii="Times New Roman" w:hAnsi="Times New Roman" w:cs="Times New Roman"/>
          <w:b/>
          <w:bCs/>
          <w:i w:val="0"/>
          <w:iCs w:val="0"/>
          <w:color w:val="auto"/>
          <w:sz w:val="20"/>
          <w:szCs w:val="20"/>
          <w:lang w:eastAsia="ko-KR"/>
        </w:rPr>
        <w:fldChar w:fldCharType="begin"/>
      </w:r>
      <w:r w:rsidRPr="001A4061">
        <w:rPr>
          <w:rFonts w:ascii="Times New Roman" w:hAnsi="Times New Roman" w:cs="Times New Roman"/>
          <w:b/>
          <w:bCs/>
          <w:i w:val="0"/>
          <w:iCs w:val="0"/>
          <w:color w:val="auto"/>
          <w:sz w:val="20"/>
          <w:szCs w:val="20"/>
          <w:lang w:eastAsia="ko-KR"/>
        </w:rPr>
        <w:instrText xml:space="preserve"> SEQ Figure_S \* ARABIC </w:instrText>
      </w:r>
      <w:r w:rsidRPr="001A4061">
        <w:rPr>
          <w:rFonts w:ascii="Times New Roman" w:hAnsi="Times New Roman" w:cs="Times New Roman"/>
          <w:b/>
          <w:bCs/>
          <w:i w:val="0"/>
          <w:iCs w:val="0"/>
          <w:color w:val="auto"/>
          <w:sz w:val="20"/>
          <w:szCs w:val="20"/>
          <w:lang w:eastAsia="ko-KR"/>
        </w:rPr>
        <w:fldChar w:fldCharType="separate"/>
      </w:r>
      <w:r w:rsidR="00473FA6" w:rsidRPr="001A4061">
        <w:rPr>
          <w:rFonts w:ascii="Times New Roman" w:hAnsi="Times New Roman" w:cs="Times New Roman"/>
          <w:b/>
          <w:bCs/>
          <w:i w:val="0"/>
          <w:iCs w:val="0"/>
          <w:noProof/>
          <w:color w:val="auto"/>
          <w:sz w:val="20"/>
          <w:szCs w:val="20"/>
          <w:lang w:eastAsia="ko-KR"/>
        </w:rPr>
        <w:t>2</w:t>
      </w:r>
      <w:r w:rsidRPr="001A4061">
        <w:rPr>
          <w:rFonts w:ascii="Times New Roman" w:hAnsi="Times New Roman" w:cs="Times New Roman"/>
          <w:b/>
          <w:bCs/>
          <w:i w:val="0"/>
          <w:iCs w:val="0"/>
          <w:color w:val="auto"/>
          <w:sz w:val="20"/>
          <w:szCs w:val="20"/>
          <w:lang w:eastAsia="ko-KR"/>
        </w:rPr>
        <w:fldChar w:fldCharType="end"/>
      </w:r>
      <w:r w:rsidRPr="001A4061">
        <w:rPr>
          <w:rFonts w:ascii="Times New Roman" w:hAnsi="Times New Roman" w:cs="Times New Roman"/>
          <w:b/>
          <w:bCs/>
          <w:i w:val="0"/>
          <w:iCs w:val="0"/>
          <w:color w:val="auto"/>
          <w:sz w:val="20"/>
          <w:szCs w:val="20"/>
          <w:lang w:eastAsia="ko-KR"/>
        </w:rPr>
        <w:t>. Historical validation of the BMI module in SIMPLE for the period 2005 to 2015.</w:t>
      </w:r>
      <w:bookmarkEnd w:id="14"/>
      <w:bookmarkEnd w:id="15"/>
    </w:p>
    <w:p w14:paraId="461BCDCE" w14:textId="70541E57" w:rsidR="0047520C" w:rsidRPr="001A4061" w:rsidRDefault="0047520C" w:rsidP="001A4061">
      <w:pPr>
        <w:spacing w:line="240" w:lineRule="auto"/>
        <w:jc w:val="both"/>
        <w:rPr>
          <w:rFonts w:ascii="Times New Roman" w:hAnsi="Times New Roman" w:cs="Times New Roman"/>
          <w:iCs/>
          <w:sz w:val="20"/>
          <w:szCs w:val="20"/>
          <w:lang w:eastAsia="ko-KR"/>
        </w:rPr>
      </w:pPr>
      <w:r w:rsidRPr="001A4061">
        <w:rPr>
          <w:rFonts w:ascii="Times New Roman" w:hAnsi="Times New Roman" w:cs="Times New Roman"/>
          <w:iCs/>
          <w:sz w:val="20"/>
          <w:szCs w:val="20"/>
          <w:lang w:eastAsia="ko-KR"/>
        </w:rPr>
        <w:t>Solid (pattern) colored bars represent observed (projected) percentage changes in adult BMI for cohorts matched by the birth year (x-axis) for women (</w:t>
      </w:r>
      <w:r w:rsidRPr="001A4061">
        <w:rPr>
          <w:rFonts w:ascii="Times New Roman" w:hAnsi="Times New Roman" w:cs="Times New Roman"/>
          <w:b/>
          <w:bCs/>
          <w:iCs/>
          <w:sz w:val="20"/>
          <w:szCs w:val="20"/>
          <w:lang w:eastAsia="ko-KR"/>
        </w:rPr>
        <w:t>a</w:t>
      </w:r>
      <w:r w:rsidRPr="001A4061">
        <w:rPr>
          <w:rFonts w:ascii="Times New Roman" w:hAnsi="Times New Roman" w:cs="Times New Roman"/>
          <w:iCs/>
          <w:sz w:val="20"/>
          <w:szCs w:val="20"/>
          <w:lang w:eastAsia="ko-KR"/>
        </w:rPr>
        <w:t>) and men (</w:t>
      </w:r>
      <w:r w:rsidRPr="001A4061">
        <w:rPr>
          <w:rFonts w:ascii="Times New Roman" w:hAnsi="Times New Roman" w:cs="Times New Roman"/>
          <w:b/>
          <w:bCs/>
          <w:iCs/>
          <w:sz w:val="20"/>
          <w:szCs w:val="20"/>
          <w:lang w:eastAsia="ko-KR"/>
        </w:rPr>
        <w:t>b</w:t>
      </w:r>
      <w:r w:rsidRPr="001A4061">
        <w:rPr>
          <w:rFonts w:ascii="Times New Roman" w:hAnsi="Times New Roman" w:cs="Times New Roman"/>
          <w:iCs/>
          <w:sz w:val="20"/>
          <w:szCs w:val="20"/>
          <w:lang w:eastAsia="ko-KR"/>
        </w:rPr>
        <w:t xml:space="preserve">). The error bars represent 95% confidence intervals in the projected values. Consistently with previous studies </w:t>
      </w:r>
      <w:bookmarkEnd w:id="16"/>
      <w:r w:rsidRPr="001A4061">
        <w:rPr>
          <w:rFonts w:ascii="Times New Roman" w:hAnsi="Times New Roman" w:cs="Times New Roman"/>
          <w:iCs/>
          <w:sz w:val="20"/>
          <w:szCs w:val="20"/>
          <w:lang w:eastAsia="ko-KR"/>
        </w:rPr>
        <w:fldChar w:fldCharType="begin"/>
      </w:r>
      <w:r w:rsidR="0023119E">
        <w:rPr>
          <w:rFonts w:ascii="Times New Roman" w:hAnsi="Times New Roman" w:cs="Times New Roman"/>
          <w:iCs/>
          <w:sz w:val="20"/>
          <w:szCs w:val="20"/>
          <w:lang w:eastAsia="ko-KR"/>
        </w:rPr>
        <w:instrText xml:space="preserve"> ADDIN ZOTERO_ITEM CSL_CITATION {"citationID":"IrIawmNm","properties":{"formattedCitation":"\\super 3,5,12,13\\nosupersub{}","plainCitation":"3,5,12,13","noteIndex":0},"citationItems":[{"id":223,"uris":["http://zotero.org/users/5867530/items/MULUTKCA"],"uri":["http://zotero.org/users/5867530/items/MULUTKCA"],"itemData":{"id":223,"type":"article-journal","container-title":"Food Policy","page":"101874","title":"Global food waste across the income spectrum: Implications for food prices, production and resource use","author":[{"family":"Barrera","given":"Emiliano Lopez"},{"family":"Hertel","given":"Thomas"}],"issued":{"date-parts":[["2020"]]}}},{"id":60,"uris":["http://zotero.org/users/5867530/items/VXBJAZIQ"],"uri":["http://zotero.org/users/5867530/items/VXBJAZIQ"],"itemData":{"id":60,"type":"article-journal","container-title":"Aust J Agric Resour Econ","DOI":"10.1111/1467-8489.12048","ISSN":"1364985X","issue":"4","language":"en","page":"554–570","title":"Global food security in 2050: the role of agricultural productivity and climate change","title-short":"Global food security in 2050","volume":"58","author":[{"family":"Baldos","given":"Uris Lantz C."},{"family":"Hertel","given":"Thomas W."}],"issued":{"date-parts":[["2014",10]]}}},{"id":87,"uris":["http://zotero.org/users/5867530/items/VZZSLGGN"],"uri":["http://zotero.org/users/5867530/items/VZZSLGGN"],"itemData":{"id":87,"type":"article-journal","container-title":"Environmental Research Letters","DOI":"10.1088/1748-9326/8/3/034024","ISSN":"1748-9326","issue":"3","journalAbbreviation":"Environ. Res. Lett.","page":"034024","source":"DOI.org (Crossref)","title":"Looking back to move forward on model validation: insights from a global model of agricultural land use","title-short":"Looking back to move forward on model validation","volume":"8","author":[{"family":"Baldos","given":"Uris Lantz C"},{"family":"Hertel","given":"Thomas W"}],"issued":{"date-parts":[["2013",9,1]]}}},{"id":46,"uris":["http://zotero.org/users/5867530/items/B3RVLLDS"],"uri":["http://zotero.org/users/5867530/items/B3RVLLDS"],"itemData":{"id":46,"type":"book","ISBN":"0-89629-641-5","publisher":"Intl Food Policy Res Inst","title":"Prospects for global food security: a critical appraisal of past projections and predictions","volume":"35","author":[{"family":"McCalla","given":"Alex F."},{"family":"Revoredo","given":"Cesar L."}],"issued":{"date-parts":[["2001"]]}}}],"schema":"https://github.com/citation-style-language/schema/raw/master/csl-citation.json"} </w:instrText>
      </w:r>
      <w:r w:rsidRPr="001A4061">
        <w:rPr>
          <w:rFonts w:ascii="Times New Roman" w:hAnsi="Times New Roman" w:cs="Times New Roman"/>
          <w:iCs/>
          <w:sz w:val="20"/>
          <w:szCs w:val="20"/>
          <w:lang w:eastAsia="ko-KR"/>
        </w:rPr>
        <w:fldChar w:fldCharType="separate"/>
      </w:r>
      <w:r w:rsidR="0023119E" w:rsidRPr="0023119E">
        <w:rPr>
          <w:rFonts w:ascii="Times New Roman" w:hAnsi="Times New Roman" w:cs="Times New Roman"/>
          <w:sz w:val="20"/>
          <w:szCs w:val="24"/>
          <w:vertAlign w:val="superscript"/>
        </w:rPr>
        <w:t>3,5,12,13</w:t>
      </w:r>
      <w:r w:rsidRPr="001A4061">
        <w:rPr>
          <w:rFonts w:ascii="Times New Roman" w:hAnsi="Times New Roman" w:cs="Times New Roman"/>
          <w:iCs/>
          <w:sz w:val="20"/>
          <w:szCs w:val="20"/>
          <w:lang w:eastAsia="ko-KR"/>
        </w:rPr>
        <w:fldChar w:fldCharType="end"/>
      </w:r>
      <w:r w:rsidRPr="001A4061">
        <w:rPr>
          <w:rFonts w:ascii="Times New Roman" w:hAnsi="Times New Roman" w:cs="Times New Roman"/>
          <w:iCs/>
          <w:sz w:val="20"/>
          <w:szCs w:val="20"/>
          <w:lang w:eastAsia="ko-KR"/>
        </w:rPr>
        <w:t>, the model does a fair job globally and the projections lose precision with higher levels of resolution. The uncertainties are heterogeneous across regions, those already in the later stages of the nutritional transition (higher EC levels and BMI levels) (as in the US and Canada) present lower uncertainties as BMI is expected to have relatively smaller changes in adult BMI. On the other hand, regions that are in earlier stages of the nutritional transition - a lower EC and BMI level - (such as South Asia), present greater uncertainties.</w:t>
      </w:r>
    </w:p>
    <w:p w14:paraId="33B322EA" w14:textId="6BF7BBA0" w:rsidR="0047520C" w:rsidRPr="0047520C" w:rsidRDefault="0047520C" w:rsidP="001A4061">
      <w:pPr>
        <w:spacing w:before="240" w:line="240" w:lineRule="auto"/>
        <w:ind w:firstLine="360"/>
        <w:jc w:val="both"/>
        <w:rPr>
          <w:rFonts w:ascii="Times New Roman" w:hAnsi="Times New Roman" w:cs="Times New Roman"/>
          <w:iCs/>
          <w:sz w:val="24"/>
          <w:szCs w:val="24"/>
          <w:lang w:eastAsia="ko-KR"/>
        </w:rPr>
      </w:pPr>
      <w:r w:rsidRPr="0047520C">
        <w:rPr>
          <w:rFonts w:ascii="Times New Roman" w:hAnsi="Times New Roman" w:cs="Times New Roman"/>
          <w:iCs/>
          <w:sz w:val="24"/>
          <w:szCs w:val="24"/>
          <w:lang w:eastAsia="ko-KR"/>
        </w:rPr>
        <w:t>Often studies that use economic models to project future outcomes are not validated against history, yet this is a critical step. Additionally, this historical assessment provides valuable inputs for examining future changes. The model’s historical projections in</w:t>
      </w:r>
      <w:r>
        <w:rPr>
          <w:rFonts w:ascii="Times New Roman" w:hAnsi="Times New Roman" w:cs="Times New Roman"/>
          <w:iCs/>
          <w:sz w:val="24"/>
          <w:szCs w:val="24"/>
          <w:lang w:eastAsia="ko-KR"/>
        </w:rPr>
        <w:t xml:space="preserve"> (</w:t>
      </w:r>
      <w:r w:rsidRPr="00581D7F">
        <w:rPr>
          <w:rFonts w:ascii="Times New Roman" w:hAnsi="Times New Roman" w:cs="Times New Roman"/>
          <w:b/>
          <w:bCs/>
          <w:iCs/>
          <w:sz w:val="24"/>
          <w:szCs w:val="24"/>
          <w:lang w:eastAsia="ko-KR"/>
        </w:rPr>
        <w:t>Figure S2</w:t>
      </w:r>
      <w:r w:rsidRPr="0047520C">
        <w:rPr>
          <w:rFonts w:ascii="Times New Roman" w:hAnsi="Times New Roman" w:cs="Times New Roman"/>
          <w:iCs/>
          <w:sz w:val="24"/>
          <w:szCs w:val="24"/>
          <w:lang w:eastAsia="ko-KR"/>
        </w:rPr>
        <w:t xml:space="preserve">) perform best at the global level; projections are less accurate at the regional level, but still capture the broad trends. This is consistent with previous studies attempting to validate global agricultural models </w:t>
      </w:r>
      <w:r w:rsidRPr="0047520C">
        <w:rPr>
          <w:rFonts w:ascii="Times New Roman" w:hAnsi="Times New Roman" w:cs="Times New Roman"/>
          <w:iCs/>
          <w:sz w:val="24"/>
          <w:szCs w:val="24"/>
          <w:lang w:eastAsia="ko-KR"/>
        </w:rPr>
        <w:fldChar w:fldCharType="begin"/>
      </w:r>
      <w:r w:rsidR="0023119E">
        <w:rPr>
          <w:rFonts w:ascii="Times New Roman" w:hAnsi="Times New Roman" w:cs="Times New Roman"/>
          <w:iCs/>
          <w:sz w:val="24"/>
          <w:szCs w:val="24"/>
          <w:lang w:eastAsia="ko-KR"/>
        </w:rPr>
        <w:instrText xml:space="preserve"> ADDIN ZOTERO_ITEM CSL_CITATION {"citationID":"a4KGYRj2","properties":{"formattedCitation":"\\super 3,14,15\\nosupersub{}","plainCitation":"3,14,15","noteIndex":0},"citationItems":[{"id":209,"uris":["http://zotero.org/users/5867530/items/JMGEXXLE"],"uri":["http://zotero.org/users/5867530/items/JMGEXXLE"],"itemData":{"id":209,"type":"article-journal","container-title":"Australian Journal of Agricultural and Resource Economics","issue":"4","page":"554–570","title":"Global food security in 2050: the role of agricultural productivity and climate change","volume":"58","author":[{"family":"Baldos","given":"Uris Lantz C."},{"family":"Hertel","given":"Thomas W."}],"issued":{"date-parts":[["2014"]]}}},{"id":223,"uris":["http://zotero.org/users/5867530/items/MULUTKCA"],"uri":["http://zotero.org/users/5867530/items/MULUTKCA"],"itemData":{"id":223,"type":"article-journal","container-title":"Food Policy","page":"101874","title":"Global food waste across the income spectrum: Implications for food prices, production and resource use","author":[{"family":"Barrera","given":"Emiliano Lopez"},{"family":"Hertel","given":"Thomas"}],"issued":{"date-parts":[["2020"]]}}},{"id":71,"uris":["http://zotero.org/users/5867530/items/FIWSLDEP"],"uri":["http://zotero.org/users/5867530/items/FIWSLDEP"],"itemData":{"id":71,"type":"book","ISBN":"0-89629-641-5","publisher":"Intl Food Policy Res Inst","title":"Prospects for global food security: a critical appraisal of past projections and predictions","volume":"35","author":[{"family":"McCalla","given":"Alex F."},{"family":"Revoredo","given":"Cesar L."}],"issued":{"date-parts":[["2001"]]}}}],"schema":"https://github.com/citation-style-language/schema/raw/master/csl-citation.json"} </w:instrText>
      </w:r>
      <w:r w:rsidRPr="0047520C">
        <w:rPr>
          <w:rFonts w:ascii="Times New Roman"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3,14,15</w:t>
      </w:r>
      <w:r w:rsidRPr="0047520C">
        <w:rPr>
          <w:rFonts w:ascii="Times New Roman" w:hAnsi="Times New Roman" w:cs="Times New Roman"/>
          <w:iCs/>
          <w:sz w:val="24"/>
          <w:szCs w:val="24"/>
          <w:lang w:eastAsia="ko-KR"/>
        </w:rPr>
        <w:fldChar w:fldCharType="end"/>
      </w:r>
      <w:r w:rsidRPr="0047520C">
        <w:rPr>
          <w:rFonts w:ascii="Times New Roman" w:hAnsi="Times New Roman" w:cs="Times New Roman"/>
          <w:iCs/>
          <w:sz w:val="24"/>
          <w:szCs w:val="24"/>
          <w:lang w:eastAsia="ko-KR"/>
        </w:rPr>
        <w:t xml:space="preserve">. Also consistent with previous literature, there is considerable regional variation in the model uncertainties. Regions already at higher levels of excessive calorie availability and BMI (such as the US) present lower uncertainties. On the other hand, regions at earlier stages in the nutrition transition, such as South Asia, present larger uncertainties. </w:t>
      </w:r>
    </w:p>
    <w:p w14:paraId="7A4F44FE" w14:textId="20016F3D" w:rsidR="0047520C" w:rsidRPr="0047520C" w:rsidRDefault="0047520C" w:rsidP="001A4061">
      <w:pPr>
        <w:spacing w:line="240" w:lineRule="auto"/>
        <w:ind w:firstLine="360"/>
        <w:jc w:val="both"/>
        <w:rPr>
          <w:rFonts w:ascii="Times New Roman" w:hAnsi="Times New Roman" w:cs="Times New Roman"/>
          <w:iCs/>
          <w:sz w:val="24"/>
          <w:szCs w:val="24"/>
          <w:lang w:eastAsia="ko-KR"/>
        </w:rPr>
      </w:pPr>
      <w:r w:rsidRPr="0047520C">
        <w:rPr>
          <w:rFonts w:ascii="Times New Roman" w:hAnsi="Times New Roman" w:cs="Times New Roman"/>
          <w:iCs/>
          <w:sz w:val="24"/>
          <w:szCs w:val="24"/>
          <w:lang w:eastAsia="ko-KR"/>
        </w:rPr>
        <w:t xml:space="preserve">Following model validation, </w:t>
      </w:r>
      <w:r>
        <w:rPr>
          <w:rFonts w:ascii="Times New Roman" w:hAnsi="Times New Roman" w:cs="Times New Roman"/>
          <w:iCs/>
          <w:sz w:val="24"/>
          <w:szCs w:val="24"/>
          <w:lang w:eastAsia="ko-KR"/>
        </w:rPr>
        <w:t>we</w:t>
      </w:r>
      <w:r w:rsidRPr="0047520C">
        <w:rPr>
          <w:rFonts w:ascii="Times New Roman" w:hAnsi="Times New Roman" w:cs="Times New Roman"/>
          <w:iCs/>
          <w:sz w:val="24"/>
          <w:szCs w:val="24"/>
          <w:lang w:eastAsia="ko-KR"/>
        </w:rPr>
        <w:t xml:space="preserve"> turn to business-as-usual (BAU) projections of adult BMI from 2015 to 2050. The SIMPLE model is projected forward with exogenous shocks to population, per capita incomes, total factor productivity (TFP) growth in agriculture, and biofuel consumption. Growth rates for population and income were derived from the Shared Socioeconomic Pathways </w:t>
      </w:r>
      <w:r w:rsidRPr="0047520C">
        <w:rPr>
          <w:rFonts w:ascii="Times New Roman" w:hAnsi="Times New Roman" w:cs="Times New Roman"/>
          <w:iCs/>
          <w:sz w:val="24"/>
          <w:szCs w:val="24"/>
          <w:lang w:eastAsia="ko-KR"/>
        </w:rPr>
        <w:fldChar w:fldCharType="begin"/>
      </w:r>
      <w:r w:rsidR="0023119E">
        <w:rPr>
          <w:rFonts w:ascii="Times New Roman" w:hAnsi="Times New Roman" w:cs="Times New Roman"/>
          <w:iCs/>
          <w:sz w:val="24"/>
          <w:szCs w:val="24"/>
          <w:lang w:eastAsia="ko-KR"/>
        </w:rPr>
        <w:instrText xml:space="preserve"> ADDIN ZOTERO_ITEM CSL_CITATION {"citationID":"UuFNM5Iq","properties":{"formattedCitation":"\\super 16\\nosupersub{}","plainCitation":"16","noteIndex":0},"citationItems":[{"id":142,"uris":["http://zotero.org/users/5867530/items/CQELE6QM"],"uri":["http://zotero.org/users/5867530/items/CQELE6QM"],"itemData":{"id":142,"type":"article-journal","container-title":"Global Environmental Change","page":"251-267","title":"The marker quantification of the Shared Socioeconomic Pathway 2: A middle-of-the-road scenario for the 21st century","volume":"42","author":[{"family":"Fricko","given":"Oliver"},{"family":"Havlik","given":"Petr"},{"family":"Rogelj","given":"Joeri"},{"family":"Klimont","given":"Zbigniew"},{"family":"Gusti","given":"Mykola"},{"family":"Johnson","given":"Nils"},{"family":"Kolp","given":"Peter"},{"family":"Strubegger","given":"Manfred"},{"family":"Valin","given":"Hugo"},{"family":"Amann","given":"Markus"}],"issued":{"date-parts":[["2017"]]}}}],"schema":"https://github.com/citation-style-language/schema/raw/master/csl-citation.json"} </w:instrText>
      </w:r>
      <w:r w:rsidRPr="0047520C">
        <w:rPr>
          <w:rFonts w:ascii="Times New Roman"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16</w:t>
      </w:r>
      <w:r w:rsidRPr="0047520C">
        <w:rPr>
          <w:rFonts w:ascii="Times New Roman" w:hAnsi="Times New Roman" w:cs="Times New Roman"/>
          <w:iCs/>
          <w:sz w:val="24"/>
          <w:szCs w:val="24"/>
          <w:lang w:eastAsia="ko-KR"/>
        </w:rPr>
        <w:fldChar w:fldCharType="end"/>
      </w:r>
      <w:bookmarkStart w:id="17" w:name="bb0105"/>
      <w:r w:rsidRPr="0047520C">
        <w:rPr>
          <w:rFonts w:ascii="Times New Roman" w:hAnsi="Times New Roman" w:cs="Times New Roman"/>
          <w:iCs/>
          <w:sz w:val="24"/>
          <w:szCs w:val="24"/>
          <w:lang w:eastAsia="ko-KR"/>
        </w:rPr>
        <w:t xml:space="preserve">. The baseline follows the BAU Shared Socioeconomic Pathway (SSP2) which is widely used to evaluate climate change and environmental outcomes. This provides a natural starting point from which to explore integrated solutions for achieving societal objectives to reduce pressure on environmental resources </w:t>
      </w:r>
      <w:r w:rsidRPr="0047520C">
        <w:rPr>
          <w:rFonts w:ascii="Times New Roman" w:hAnsi="Times New Roman" w:cs="Times New Roman"/>
          <w:iCs/>
          <w:sz w:val="24"/>
          <w:szCs w:val="24"/>
          <w:lang w:eastAsia="ko-KR"/>
        </w:rPr>
        <w:fldChar w:fldCharType="begin"/>
      </w:r>
      <w:r w:rsidR="0023119E">
        <w:rPr>
          <w:rFonts w:ascii="Times New Roman" w:hAnsi="Times New Roman" w:cs="Times New Roman"/>
          <w:iCs/>
          <w:sz w:val="24"/>
          <w:szCs w:val="24"/>
          <w:lang w:eastAsia="ko-KR"/>
        </w:rPr>
        <w:instrText xml:space="preserve"> ADDIN ZOTERO_ITEM CSL_CITATION {"citationID":"CZ8Z0RO0","properties":{"formattedCitation":"\\super 16\\nosupersub{}","plainCitation":"16","noteIndex":0},"citationItems":[{"id":142,"uris":["http://zotero.org/users/5867530/items/CQELE6QM"],"uri":["http://zotero.org/users/5867530/items/CQELE6QM"],"itemData":{"id":142,"type":"article-journal","container-title":"Global Environmental Change","page":"251-267","title":"The marker quantification of the Shared Socioeconomic Pathway 2: A middle-of-the-road scenario for the 21st century","volume":"42","author":[{"family":"Fricko","given":"Oliver"},{"family":"Havlik","given":"Petr"},{"family":"Rogelj","given":"Joeri"},{"family":"Klimont","given":"Zbigniew"},{"family":"Gusti","given":"Mykola"},{"family":"Johnson","given":"Nils"},{"family":"Kolp","given":"Peter"},{"family":"Strubegger","given":"Manfred"},{"family":"Valin","given":"Hugo"},{"family":"Amann","given":"Markus"}],"issued":{"date-parts":[["2017"]]}}}],"schema":"https://github.com/citation-style-language/schema/raw/master/csl-citation.json"} </w:instrText>
      </w:r>
      <w:r w:rsidRPr="0047520C">
        <w:rPr>
          <w:rFonts w:ascii="Times New Roman"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16</w:t>
      </w:r>
      <w:r w:rsidRPr="0047520C">
        <w:rPr>
          <w:rFonts w:ascii="Times New Roman" w:hAnsi="Times New Roman" w:cs="Times New Roman"/>
          <w:iCs/>
          <w:sz w:val="24"/>
          <w:szCs w:val="24"/>
          <w:lang w:eastAsia="ko-KR"/>
        </w:rPr>
        <w:fldChar w:fldCharType="end"/>
      </w:r>
      <w:r w:rsidRPr="0047520C">
        <w:rPr>
          <w:rFonts w:ascii="Times New Roman" w:hAnsi="Times New Roman" w:cs="Times New Roman"/>
          <w:iCs/>
          <w:sz w:val="24"/>
          <w:szCs w:val="24"/>
          <w:lang w:eastAsia="ko-KR"/>
        </w:rPr>
        <w:t>. Projected TFP growth rates are based on the historical estimates from </w:t>
      </w:r>
      <w:r w:rsidR="000A4650">
        <w:rPr>
          <w:rFonts w:ascii="Times New Roman" w:hAnsi="Times New Roman" w:cs="Times New Roman"/>
          <w:iCs/>
          <w:sz w:val="24"/>
          <w:szCs w:val="24"/>
          <w:lang w:eastAsia="ko-KR"/>
        </w:rPr>
        <w:t>previous literature</w:t>
      </w:r>
      <w:r w:rsidRPr="0047520C">
        <w:rPr>
          <w:rFonts w:ascii="Times New Roman" w:hAnsi="Times New Roman" w:cs="Times New Roman"/>
          <w:iCs/>
          <w:sz w:val="24"/>
          <w:szCs w:val="24"/>
          <w:lang w:eastAsia="ko-KR"/>
        </w:rPr>
        <w:t xml:space="preserve"> </w:t>
      </w:r>
      <w:r w:rsidRPr="0047520C">
        <w:rPr>
          <w:rFonts w:ascii="Times New Roman" w:hAnsi="Times New Roman" w:cs="Times New Roman"/>
          <w:iCs/>
          <w:sz w:val="24"/>
          <w:szCs w:val="24"/>
          <w:lang w:eastAsia="ko-KR"/>
        </w:rPr>
        <w:fldChar w:fldCharType="begin"/>
      </w:r>
      <w:r w:rsidR="0023119E">
        <w:rPr>
          <w:rFonts w:ascii="Times New Roman" w:hAnsi="Times New Roman" w:cs="Times New Roman"/>
          <w:iCs/>
          <w:sz w:val="24"/>
          <w:szCs w:val="24"/>
          <w:lang w:eastAsia="ko-KR"/>
        </w:rPr>
        <w:instrText xml:space="preserve"> ADDIN ZOTERO_ITEM CSL_CITATION {"citationID":"KEcVqE6w","properties":{"formattedCitation":"\\super 17,18\\nosupersub{}","plainCitation":"17,18","noteIndex":0},"citationItems":[{"id":141,"uris":["http://zotero.org/users/5867530/items/CJ7LV62D"],"uri":["http://zotero.org/users/5867530/items/CJ7LV62D"],"itemData":{"id":141,"type":"article-journal","container-title":"Productivity growth in agriculture: An international perspective","page":"335","title":"16 Productivity Growth and Technology Capital in the Global Agricultural Economy","author":[{"family":"Fuglie","given":"Keith O."}],"issued":{"date-parts":[["2012"]]}}},{"id":433,"uris":["http://zotero.org/users/5867530/items/LCBXS8HE"],"uri":["http://zotero.org/users/5867530/items/LCBXS8HE"],"itemData":{"id":433,"type":"article-journal","container-title":"Agricultural Economics","DOI":"10.1111/j.1574-0862.2007.00218.x","ISSN":"0169-5150, 1574-0862","issue":"1","journalAbbreviation":"Agricultural Economics","language":"en","page":"1-17","source":"DOI.org (Crossref)","title":"Productivity growth and convergence in crop, ruminant, and nonruminant production: measurement and forecasts","title-short":"Productivity growth and convergence in crop, ruminant, and nonruminant production","volume":"37","author":[{"family":"Ludena","given":"Carlos E."},{"family":"Hertel","given":"Thomas W."},{"family":"Preckel","given":"Paul V."},{"family":"Foster","given":"Kenneth"},{"family":"Nin","given":"Alejandro"}],"issued":{"date-parts":[["2007",7]]}}}],"schema":"https://github.com/citation-style-language/schema/raw/master/csl-citation.json"} </w:instrText>
      </w:r>
      <w:r w:rsidRPr="0047520C">
        <w:rPr>
          <w:rFonts w:ascii="Times New Roman"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17,18</w:t>
      </w:r>
      <w:r w:rsidRPr="0047520C">
        <w:rPr>
          <w:rFonts w:ascii="Times New Roman" w:hAnsi="Times New Roman" w:cs="Times New Roman"/>
          <w:iCs/>
          <w:sz w:val="24"/>
          <w:szCs w:val="24"/>
          <w:lang w:eastAsia="ko-KR"/>
        </w:rPr>
        <w:fldChar w:fldCharType="end"/>
      </w:r>
      <w:r w:rsidRPr="0047520C">
        <w:rPr>
          <w:rFonts w:ascii="Times New Roman" w:hAnsi="Times New Roman" w:cs="Times New Roman"/>
          <w:iCs/>
          <w:sz w:val="24"/>
          <w:szCs w:val="24"/>
          <w:lang w:eastAsia="ko-KR"/>
        </w:rPr>
        <w:t xml:space="preserve">. Future growth in global biofuel consumption is from the </w:t>
      </w:r>
      <w:r w:rsidR="00730BDC">
        <w:rPr>
          <w:rFonts w:ascii="Times New Roman" w:hAnsi="Times New Roman" w:cs="Times New Roman"/>
          <w:iCs/>
          <w:sz w:val="24"/>
          <w:szCs w:val="24"/>
          <w:lang w:eastAsia="ko-KR"/>
        </w:rPr>
        <w:t xml:space="preserve">International Energy Agency </w:t>
      </w:r>
      <w:r w:rsidRPr="0047520C">
        <w:rPr>
          <w:rFonts w:ascii="Times New Roman" w:hAnsi="Times New Roman" w:cs="Times New Roman"/>
          <w:iCs/>
          <w:sz w:val="24"/>
          <w:szCs w:val="24"/>
          <w:lang w:eastAsia="ko-KR"/>
        </w:rPr>
        <w:fldChar w:fldCharType="begin"/>
      </w:r>
      <w:r w:rsidR="0023119E">
        <w:rPr>
          <w:rFonts w:ascii="Times New Roman" w:hAnsi="Times New Roman" w:cs="Times New Roman"/>
          <w:iCs/>
          <w:sz w:val="24"/>
          <w:szCs w:val="24"/>
          <w:lang w:eastAsia="ko-KR"/>
        </w:rPr>
        <w:instrText xml:space="preserve"> ADDIN ZOTERO_ITEM CSL_CITATION {"citationID":"4OK7Golg","properties":{"formattedCitation":"\\super 19\\nosupersub{}","plainCitation":"19","noteIndex":0},"citationItems":[{"id":431,"uris":["http://zotero.org/users/5867530/items/JUEQEPVP"],"uri":["http://zotero.org/users/5867530/items/JUEQEPVP"],"itemData":{"id":431,"type":"book","collection-title":"World Energy Outlook","ISBN":"978-92-64-52327-2","language":"en","note":"DOI: 10.1787/caf32f3b-en","publisher":"OECD","source":"DOI.org (Crossref)","title":"World Energy Outlook 2019","URL":"https://www.oecd-ilibrary.org/energy/world-energy-outlook-2019_caf32f3b-en","author":[{"literal":"International Energy Agency"}],"accessed":{"date-parts":[["2021",5,11]]},"issued":{"date-parts":[["2019",11,13]]}}}],"schema":"https://github.com/citation-style-language/schema/raw/master/csl-citation.json"} </w:instrText>
      </w:r>
      <w:r w:rsidRPr="0047520C">
        <w:rPr>
          <w:rFonts w:ascii="Times New Roman"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19</w:t>
      </w:r>
      <w:r w:rsidRPr="0047520C">
        <w:rPr>
          <w:rFonts w:ascii="Times New Roman" w:hAnsi="Times New Roman" w:cs="Times New Roman"/>
          <w:iCs/>
          <w:sz w:val="24"/>
          <w:szCs w:val="24"/>
          <w:lang w:eastAsia="ko-KR"/>
        </w:rPr>
        <w:fldChar w:fldCharType="end"/>
      </w:r>
      <w:r w:rsidRPr="0047520C">
        <w:rPr>
          <w:rFonts w:ascii="Times New Roman" w:hAnsi="Times New Roman" w:cs="Times New Roman"/>
          <w:iCs/>
          <w:sz w:val="24"/>
          <w:szCs w:val="24"/>
          <w:lang w:eastAsia="ko-KR"/>
        </w:rPr>
        <w:t xml:space="preserve">. </w:t>
      </w:r>
      <w:r w:rsidR="00730BDC">
        <w:rPr>
          <w:rFonts w:ascii="Times New Roman" w:hAnsi="Times New Roman" w:cs="Times New Roman"/>
          <w:iCs/>
          <w:sz w:val="24"/>
          <w:szCs w:val="24"/>
          <w:lang w:eastAsia="ko-KR"/>
        </w:rPr>
        <w:t>For a detailed description</w:t>
      </w:r>
      <w:r w:rsidRPr="0047520C">
        <w:rPr>
          <w:rFonts w:ascii="Times New Roman" w:hAnsi="Times New Roman" w:cs="Times New Roman"/>
          <w:iCs/>
          <w:sz w:val="24"/>
          <w:szCs w:val="24"/>
          <w:lang w:eastAsia="ko-KR"/>
        </w:rPr>
        <w:t xml:space="preserve"> of these inputs </w:t>
      </w:r>
      <w:r w:rsidR="00730BDC">
        <w:rPr>
          <w:rFonts w:ascii="Times New Roman" w:hAnsi="Times New Roman" w:cs="Times New Roman"/>
          <w:iCs/>
          <w:sz w:val="24"/>
          <w:szCs w:val="24"/>
          <w:lang w:eastAsia="ko-KR"/>
        </w:rPr>
        <w:t>see the Section “Overview of the SIMPLE Model” below in the Supplementary Information.</w:t>
      </w:r>
    </w:p>
    <w:p w14:paraId="4E16CA3F" w14:textId="6C74046C" w:rsidR="0047520C" w:rsidRPr="0047520C" w:rsidRDefault="0047520C" w:rsidP="001A4061">
      <w:pPr>
        <w:spacing w:line="240" w:lineRule="auto"/>
        <w:ind w:firstLine="360"/>
        <w:jc w:val="both"/>
        <w:rPr>
          <w:rFonts w:ascii="Times New Roman" w:hAnsi="Times New Roman" w:cs="Times New Roman"/>
          <w:iCs/>
          <w:sz w:val="24"/>
          <w:szCs w:val="24"/>
          <w:lang w:eastAsia="ko-KR"/>
        </w:rPr>
      </w:pPr>
      <w:r w:rsidRPr="0047520C">
        <w:rPr>
          <w:rFonts w:ascii="Times New Roman" w:hAnsi="Times New Roman" w:cs="Times New Roman"/>
          <w:iCs/>
          <w:sz w:val="24"/>
          <w:szCs w:val="24"/>
          <w:lang w:eastAsia="ko-KR"/>
        </w:rPr>
        <w:lastRenderedPageBreak/>
        <w:t xml:space="preserve">The projections of </w:t>
      </w:r>
      <w:proofErr w:type="spellStart"/>
      <w:r w:rsidRPr="0047520C">
        <w:rPr>
          <w:rFonts w:ascii="Times New Roman" w:hAnsi="Times New Roman" w:cs="Times New Roman"/>
          <w:iCs/>
          <w:sz w:val="24"/>
          <w:szCs w:val="24"/>
          <w:lang w:eastAsia="ko-KR"/>
        </w:rPr>
        <w:t>PoO</w:t>
      </w:r>
      <w:proofErr w:type="spellEnd"/>
      <w:r w:rsidRPr="0047520C">
        <w:rPr>
          <w:rFonts w:ascii="Times New Roman" w:hAnsi="Times New Roman" w:cs="Times New Roman"/>
          <w:iCs/>
          <w:sz w:val="24"/>
          <w:szCs w:val="24"/>
          <w:lang w:eastAsia="ko-KR"/>
        </w:rPr>
        <w:t xml:space="preserve"> to 2050 (</w:t>
      </w:r>
      <w:r w:rsidRPr="00581D7F">
        <w:rPr>
          <w:rFonts w:ascii="Times New Roman" w:hAnsi="Times New Roman" w:cs="Times New Roman"/>
          <w:b/>
          <w:bCs/>
          <w:iCs/>
          <w:sz w:val="24"/>
          <w:szCs w:val="24"/>
          <w:lang w:eastAsia="ko-KR"/>
        </w:rPr>
        <w:t>Figure S3</w:t>
      </w:r>
      <w:r w:rsidRPr="0047520C">
        <w:rPr>
          <w:rFonts w:ascii="Times New Roman" w:hAnsi="Times New Roman" w:cs="Times New Roman"/>
          <w:iCs/>
          <w:sz w:val="24"/>
          <w:szCs w:val="24"/>
          <w:lang w:eastAsia="ko-KR"/>
        </w:rPr>
        <w:t>) rely on the incorporation of the FAO PoU’s extension</w:t>
      </w:r>
      <w:r w:rsidR="00396AB6">
        <w:rPr>
          <w:rFonts w:ascii="Times New Roman" w:hAnsi="Times New Roman" w:cs="Times New Roman"/>
          <w:iCs/>
          <w:sz w:val="24"/>
          <w:szCs w:val="24"/>
          <w:lang w:eastAsia="ko-KR"/>
        </w:rPr>
        <w:noBreakHyphen/>
      </w:r>
      <w:r w:rsidR="00396AB6">
        <w:rPr>
          <w:rFonts w:ascii="Times New Roman" w:hAnsi="Times New Roman" w:cs="Times New Roman"/>
          <w:iCs/>
          <w:sz w:val="24"/>
          <w:szCs w:val="24"/>
          <w:lang w:eastAsia="ko-KR"/>
        </w:rPr>
        <w:noBreakHyphen/>
      </w:r>
      <w:r w:rsidRPr="0047520C">
        <w:rPr>
          <w:rFonts w:ascii="Times New Roman" w:hAnsi="Times New Roman" w:cs="Times New Roman"/>
          <w:iCs/>
          <w:sz w:val="24"/>
          <w:szCs w:val="24"/>
          <w:lang w:eastAsia="ko-KR"/>
        </w:rPr>
        <w:t xml:space="preserve">albeit with the regionally calibrated parameters–into the SIMPLE model which produces estimates of total caloric availability (acquisition) </w:t>
      </w:r>
      <w:r w:rsidRPr="0047520C">
        <w:rPr>
          <w:rFonts w:ascii="Times New Roman" w:hAnsi="Times New Roman" w:cs="Times New Roman"/>
          <w:iCs/>
          <w:sz w:val="24"/>
          <w:szCs w:val="24"/>
          <w:lang w:eastAsia="ko-KR"/>
        </w:rPr>
        <w:fldChar w:fldCharType="begin"/>
      </w:r>
      <w:r w:rsidR="00CF49D0">
        <w:rPr>
          <w:rFonts w:ascii="Times New Roman" w:hAnsi="Times New Roman" w:cs="Times New Roman"/>
          <w:iCs/>
          <w:sz w:val="24"/>
          <w:szCs w:val="24"/>
          <w:lang w:eastAsia="ko-KR"/>
        </w:rPr>
        <w:instrText xml:space="preserve"> ADDIN ZOTERO_ITEM CSL_CITATION {"citationID":"Lj4X7Two","properties":{"formattedCitation":"\\super 2,12\\nosupersub{}","plainCitation":"2,12","noteIndex":0},"citationItems":[{"id":547,"uris":["http://zotero.org/users/5867530/items/RIY4DGAY"],"uri":["http://zotero.org/users/5867530/items/RIY4DGAY"],"itemData":{"id":547,"type":"article-journal","title":"Hunger and Obesity: the “double burden” of malnutrition in a SIMPLE framework","author":[{"family":"Barrera","given":"Emiliano Lopez"}],"issued":{"date-parts":[["2018"]]}}},{"id":60,"uris":["http://zotero.org/users/5867530/items/VXBJAZIQ"],"uri":["http://zotero.org/users/5867530/items/VXBJAZIQ"],"itemData":{"id":60,"type":"article-journal","container-title":"Aust J Agric Resour Econ","DOI":"10.1111/1467-8489.12048","ISSN":"1364985X","issue":"4","language":"en","page":"554–570","title":"Global food security in 2050: the role of agricultural productivity and climate change","title-short":"Global food security in 2050","volume":"58","author":[{"family":"Baldos","given":"Uris Lantz C."},{"family":"Hertel","given":"Thomas W."}],"issued":{"date-parts":[["2014",10]]}}}],"schema":"https://github.com/citation-style-language/schema/raw/master/csl-citation.json"} </w:instrText>
      </w:r>
      <w:r w:rsidRPr="0047520C">
        <w:rPr>
          <w:rFonts w:ascii="Times New Roman" w:hAnsi="Times New Roman" w:cs="Times New Roman"/>
          <w:iCs/>
          <w:sz w:val="24"/>
          <w:szCs w:val="24"/>
          <w:lang w:eastAsia="ko-KR"/>
        </w:rPr>
        <w:fldChar w:fldCharType="separate"/>
      </w:r>
      <w:r w:rsidR="00CF49D0" w:rsidRPr="00CF49D0">
        <w:rPr>
          <w:rFonts w:ascii="Times New Roman" w:hAnsi="Times New Roman" w:cs="Times New Roman"/>
          <w:sz w:val="24"/>
          <w:szCs w:val="24"/>
          <w:vertAlign w:val="superscript"/>
        </w:rPr>
        <w:t>2,12</w:t>
      </w:r>
      <w:r w:rsidRPr="0047520C">
        <w:rPr>
          <w:rFonts w:ascii="Times New Roman" w:hAnsi="Times New Roman" w:cs="Times New Roman"/>
          <w:iCs/>
          <w:sz w:val="24"/>
          <w:szCs w:val="24"/>
          <w:lang w:eastAsia="ko-KR"/>
        </w:rPr>
        <w:fldChar w:fldCharType="end"/>
      </w:r>
      <w:r w:rsidRPr="0047520C">
        <w:rPr>
          <w:rFonts w:ascii="Times New Roman" w:hAnsi="Times New Roman" w:cs="Times New Roman"/>
          <w:iCs/>
          <w:sz w:val="24"/>
          <w:szCs w:val="24"/>
          <w:lang w:eastAsia="ko-KR"/>
        </w:rPr>
        <w:t xml:space="preserve">. Following projected increases in global average per-capita availability of calories, the share of population over consuming calories is projected to increase in virtually every region and at the global level. Additionally, those that regions that are already at latter stages in the nutrition transition --projected to have relatively lower growth in SC-- are the ones that are projected to have relatively lower growth in </w:t>
      </w:r>
      <w:proofErr w:type="spellStart"/>
      <w:r w:rsidRPr="0047520C">
        <w:rPr>
          <w:rFonts w:ascii="Times New Roman" w:hAnsi="Times New Roman" w:cs="Times New Roman"/>
          <w:iCs/>
          <w:sz w:val="24"/>
          <w:szCs w:val="24"/>
          <w:lang w:eastAsia="ko-KR"/>
        </w:rPr>
        <w:t>PoO</w:t>
      </w:r>
      <w:proofErr w:type="spellEnd"/>
      <w:r w:rsidRPr="0047520C">
        <w:rPr>
          <w:rFonts w:ascii="Times New Roman" w:hAnsi="Times New Roman" w:cs="Times New Roman"/>
          <w:iCs/>
          <w:sz w:val="24"/>
          <w:szCs w:val="24"/>
          <w:lang w:eastAsia="ko-KR"/>
        </w:rPr>
        <w:t xml:space="preserve"> (i.e., Canda &amp; US and Europe). In the other hand, those regions that are at earlier stages in the nutrition transition --projected to have relatively larger growth in SC-- are the ones that are projected to have relatively lower growth in </w:t>
      </w:r>
      <w:proofErr w:type="spellStart"/>
      <w:r w:rsidRPr="0047520C">
        <w:rPr>
          <w:rFonts w:ascii="Times New Roman" w:hAnsi="Times New Roman" w:cs="Times New Roman"/>
          <w:iCs/>
          <w:sz w:val="24"/>
          <w:szCs w:val="24"/>
          <w:lang w:eastAsia="ko-KR"/>
        </w:rPr>
        <w:t>PoO</w:t>
      </w:r>
      <w:proofErr w:type="spellEnd"/>
      <w:r w:rsidRPr="0047520C">
        <w:rPr>
          <w:rFonts w:ascii="Times New Roman" w:hAnsi="Times New Roman" w:cs="Times New Roman"/>
          <w:iCs/>
          <w:sz w:val="24"/>
          <w:szCs w:val="24"/>
          <w:lang w:eastAsia="ko-KR"/>
        </w:rPr>
        <w:t xml:space="preserve"> (i.e., South Asia and Sub-Saharan Africa). When this is combined with the projected growth in population, the millions of adults overconsuming calories are projected to more than double towards 2050 and regions already dealing with malnutrition, such as South Asia, double burden are projected to dominate excessive acquisition of calories towards 2050. </w:t>
      </w:r>
    </w:p>
    <w:p w14:paraId="5B59A408" w14:textId="77777777" w:rsidR="0047520C" w:rsidRPr="0047520C" w:rsidRDefault="0047520C" w:rsidP="001A4061">
      <w:pPr>
        <w:spacing w:line="240" w:lineRule="auto"/>
        <w:jc w:val="both"/>
        <w:rPr>
          <w:rFonts w:ascii="Times New Roman" w:hAnsi="Times New Roman" w:cs="Times New Roman"/>
          <w:sz w:val="24"/>
          <w:szCs w:val="24"/>
          <w:lang w:eastAsia="ko-KR"/>
        </w:rPr>
      </w:pPr>
      <w:r w:rsidRPr="0047520C">
        <w:rPr>
          <w:rFonts w:ascii="Times New Roman" w:hAnsi="Times New Roman" w:cs="Times New Roman"/>
          <w:iCs/>
          <w:noProof/>
          <w:sz w:val="24"/>
          <w:szCs w:val="24"/>
          <w:lang w:eastAsia="ko-KR"/>
        </w:rPr>
        <w:drawing>
          <wp:inline distT="0" distB="0" distL="0" distR="0" wp14:anchorId="2326F47F" wp14:editId="23AA4A92">
            <wp:extent cx="6404112" cy="3917245"/>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413434" cy="3922947"/>
                    </a:xfrm>
                    <a:prstGeom prst="rect">
                      <a:avLst/>
                    </a:prstGeom>
                    <a:noFill/>
                    <a:ln>
                      <a:noFill/>
                    </a:ln>
                  </pic:spPr>
                </pic:pic>
              </a:graphicData>
            </a:graphic>
          </wp:inline>
        </w:drawing>
      </w:r>
    </w:p>
    <w:p w14:paraId="18F6BC3F" w14:textId="22B0AEBF" w:rsidR="0047520C" w:rsidRPr="001A4061" w:rsidRDefault="0047520C" w:rsidP="001A4061">
      <w:pPr>
        <w:pStyle w:val="Descripcin"/>
        <w:spacing w:after="0"/>
        <w:rPr>
          <w:rFonts w:ascii="Times New Roman" w:hAnsi="Times New Roman" w:cs="Times New Roman"/>
          <w:b/>
          <w:bCs/>
          <w:i w:val="0"/>
          <w:iCs w:val="0"/>
          <w:color w:val="auto"/>
          <w:sz w:val="20"/>
          <w:szCs w:val="20"/>
          <w:lang w:eastAsia="ko-KR"/>
        </w:rPr>
      </w:pPr>
      <w:bookmarkStart w:id="18" w:name="_Ref75540424"/>
      <w:bookmarkStart w:id="19" w:name="_Toc75803884"/>
      <w:bookmarkStart w:id="20" w:name="_Toc97739380"/>
      <w:r w:rsidRPr="001A4061">
        <w:rPr>
          <w:rFonts w:ascii="Times New Roman" w:hAnsi="Times New Roman" w:cs="Times New Roman"/>
          <w:b/>
          <w:bCs/>
          <w:i w:val="0"/>
          <w:iCs w:val="0"/>
          <w:color w:val="auto"/>
          <w:sz w:val="20"/>
          <w:szCs w:val="20"/>
          <w:lang w:eastAsia="ko-KR"/>
        </w:rPr>
        <w:t xml:space="preserve">Figure </w:t>
      </w:r>
      <w:bookmarkEnd w:id="18"/>
      <w:r w:rsidRPr="001A4061">
        <w:rPr>
          <w:rFonts w:ascii="Times New Roman" w:hAnsi="Times New Roman" w:cs="Times New Roman"/>
          <w:b/>
          <w:bCs/>
          <w:i w:val="0"/>
          <w:iCs w:val="0"/>
          <w:color w:val="auto"/>
          <w:sz w:val="20"/>
          <w:szCs w:val="20"/>
          <w:lang w:eastAsia="ko-KR"/>
        </w:rPr>
        <w:t>S</w:t>
      </w:r>
      <w:r w:rsidRPr="001A4061">
        <w:rPr>
          <w:rFonts w:ascii="Times New Roman" w:hAnsi="Times New Roman" w:cs="Times New Roman"/>
          <w:b/>
          <w:bCs/>
          <w:i w:val="0"/>
          <w:iCs w:val="0"/>
          <w:color w:val="auto"/>
          <w:sz w:val="20"/>
          <w:szCs w:val="20"/>
          <w:lang w:eastAsia="ko-KR"/>
        </w:rPr>
        <w:fldChar w:fldCharType="begin"/>
      </w:r>
      <w:r w:rsidRPr="001A4061">
        <w:rPr>
          <w:rFonts w:ascii="Times New Roman" w:hAnsi="Times New Roman" w:cs="Times New Roman"/>
          <w:b/>
          <w:bCs/>
          <w:i w:val="0"/>
          <w:iCs w:val="0"/>
          <w:color w:val="auto"/>
          <w:sz w:val="20"/>
          <w:szCs w:val="20"/>
          <w:lang w:eastAsia="ko-KR"/>
        </w:rPr>
        <w:instrText xml:space="preserve"> SEQ Figure_S \* ARABIC </w:instrText>
      </w:r>
      <w:r w:rsidRPr="001A4061">
        <w:rPr>
          <w:rFonts w:ascii="Times New Roman" w:hAnsi="Times New Roman" w:cs="Times New Roman"/>
          <w:b/>
          <w:bCs/>
          <w:i w:val="0"/>
          <w:iCs w:val="0"/>
          <w:color w:val="auto"/>
          <w:sz w:val="20"/>
          <w:szCs w:val="20"/>
          <w:lang w:eastAsia="ko-KR"/>
        </w:rPr>
        <w:fldChar w:fldCharType="separate"/>
      </w:r>
      <w:r w:rsidR="00473FA6" w:rsidRPr="001A4061">
        <w:rPr>
          <w:rFonts w:ascii="Times New Roman" w:hAnsi="Times New Roman" w:cs="Times New Roman"/>
          <w:b/>
          <w:bCs/>
          <w:i w:val="0"/>
          <w:iCs w:val="0"/>
          <w:noProof/>
          <w:color w:val="auto"/>
          <w:sz w:val="20"/>
          <w:szCs w:val="20"/>
          <w:lang w:eastAsia="ko-KR"/>
        </w:rPr>
        <w:t>3</w:t>
      </w:r>
      <w:r w:rsidRPr="001A4061">
        <w:rPr>
          <w:rFonts w:ascii="Times New Roman" w:hAnsi="Times New Roman" w:cs="Times New Roman"/>
          <w:b/>
          <w:bCs/>
          <w:i w:val="0"/>
          <w:iCs w:val="0"/>
          <w:color w:val="auto"/>
          <w:sz w:val="20"/>
          <w:szCs w:val="20"/>
          <w:lang w:eastAsia="ko-KR"/>
        </w:rPr>
        <w:fldChar w:fldCharType="end"/>
      </w:r>
      <w:r w:rsidRPr="001A4061">
        <w:rPr>
          <w:rFonts w:ascii="Times New Roman" w:hAnsi="Times New Roman" w:cs="Times New Roman"/>
          <w:b/>
          <w:bCs/>
          <w:i w:val="0"/>
          <w:iCs w:val="0"/>
          <w:color w:val="auto"/>
          <w:sz w:val="20"/>
          <w:szCs w:val="20"/>
          <w:lang w:eastAsia="ko-KR"/>
        </w:rPr>
        <w:t xml:space="preserve">. Baseline projections of the </w:t>
      </w:r>
      <w:proofErr w:type="spellStart"/>
      <w:r w:rsidRPr="001A4061">
        <w:rPr>
          <w:rFonts w:ascii="Times New Roman" w:hAnsi="Times New Roman" w:cs="Times New Roman"/>
          <w:b/>
          <w:bCs/>
          <w:i w:val="0"/>
          <w:iCs w:val="0"/>
          <w:color w:val="auto"/>
          <w:sz w:val="20"/>
          <w:szCs w:val="20"/>
          <w:lang w:eastAsia="ko-KR"/>
        </w:rPr>
        <w:t>PoO</w:t>
      </w:r>
      <w:proofErr w:type="spellEnd"/>
      <w:r w:rsidRPr="001A4061">
        <w:rPr>
          <w:rFonts w:ascii="Times New Roman" w:hAnsi="Times New Roman" w:cs="Times New Roman"/>
          <w:b/>
          <w:bCs/>
          <w:i w:val="0"/>
          <w:iCs w:val="0"/>
          <w:color w:val="auto"/>
          <w:sz w:val="20"/>
          <w:szCs w:val="20"/>
          <w:lang w:eastAsia="ko-KR"/>
        </w:rPr>
        <w:t xml:space="preserve"> towards 2050.</w:t>
      </w:r>
      <w:bookmarkEnd w:id="19"/>
      <w:bookmarkEnd w:id="20"/>
    </w:p>
    <w:p w14:paraId="4CA08198" w14:textId="50FEFC97" w:rsidR="0047520C" w:rsidRPr="001A4061" w:rsidRDefault="0047520C" w:rsidP="005A3D62">
      <w:pPr>
        <w:spacing w:line="240" w:lineRule="auto"/>
        <w:jc w:val="both"/>
        <w:rPr>
          <w:rFonts w:ascii="Times New Roman" w:hAnsi="Times New Roman" w:cs="Times New Roman"/>
          <w:iCs/>
          <w:sz w:val="20"/>
          <w:szCs w:val="20"/>
          <w:lang w:eastAsia="ko-KR"/>
        </w:rPr>
      </w:pPr>
      <w:r w:rsidRPr="001A4061">
        <w:rPr>
          <w:rFonts w:ascii="Times New Roman" w:hAnsi="Times New Roman" w:cs="Times New Roman"/>
          <w:iCs/>
          <w:sz w:val="20"/>
          <w:szCs w:val="20"/>
          <w:lang w:eastAsia="ko-KR"/>
        </w:rPr>
        <w:t xml:space="preserve">The green and blue curves in panel </w:t>
      </w:r>
      <w:r w:rsidRPr="001A4061">
        <w:rPr>
          <w:rFonts w:ascii="Times New Roman" w:hAnsi="Times New Roman" w:cs="Times New Roman"/>
          <w:b/>
          <w:bCs/>
          <w:iCs/>
          <w:sz w:val="20"/>
          <w:szCs w:val="20"/>
          <w:lang w:eastAsia="ko-KR"/>
        </w:rPr>
        <w:t>a-g</w:t>
      </w:r>
      <w:r w:rsidRPr="001A4061">
        <w:rPr>
          <w:rFonts w:ascii="Times New Roman" w:hAnsi="Times New Roman" w:cs="Times New Roman"/>
          <w:iCs/>
          <w:sz w:val="20"/>
          <w:szCs w:val="20"/>
          <w:lang w:eastAsia="ko-KR"/>
        </w:rPr>
        <w:t xml:space="preserve"> represent the probability distribution of habitual (i.e., annual average) daily energy consumption (purchasing)</w:t>
      </w:r>
      <w:r w:rsidR="00730BDC" w:rsidRPr="001A4061">
        <w:rPr>
          <w:rFonts w:ascii="Times New Roman" w:hAnsi="Times New Roman" w:cs="Times New Roman"/>
          <w:iCs/>
          <w:sz w:val="20"/>
          <w:szCs w:val="20"/>
          <w:lang w:eastAsia="ko-KR"/>
        </w:rPr>
        <w:t xml:space="preserve"> </w:t>
      </w:r>
      <w:r w:rsidRPr="001A4061">
        <w:rPr>
          <w:rFonts w:ascii="Times New Roman" w:hAnsi="Times New Roman" w:cs="Times New Roman"/>
          <w:iCs/>
          <w:sz w:val="20"/>
          <w:szCs w:val="20"/>
          <w:lang w:eastAsia="ko-KR"/>
        </w:rPr>
        <w:t>projected to 2015 and 2050 respectively. Gray shaded areas delimit the region were purchasing of calories are greater than the average daily energy requirements (ER). The green and blue bars represent the Prevalence of Overconsumption (over-acquisition) of calories projected to 2015 and 2050 respectively. Regions are ordered across the income spectrum (from higher to lower income according to World Bank 2019 classification) through panels a to f. Panel g presents projected results at the global level.</w:t>
      </w:r>
    </w:p>
    <w:p w14:paraId="04B887CF" w14:textId="5381C4A1" w:rsidR="0047520C" w:rsidRDefault="0047520C" w:rsidP="00422944">
      <w:pPr>
        <w:spacing w:line="240" w:lineRule="auto"/>
        <w:ind w:firstLine="360"/>
        <w:jc w:val="both"/>
        <w:rPr>
          <w:rFonts w:ascii="Times New Roman" w:hAnsi="Times New Roman" w:cs="Times New Roman"/>
          <w:iCs/>
          <w:sz w:val="24"/>
          <w:szCs w:val="24"/>
          <w:lang w:eastAsia="ko-KR"/>
        </w:rPr>
      </w:pPr>
      <w:r w:rsidRPr="0047520C">
        <w:rPr>
          <w:rFonts w:ascii="Times New Roman" w:hAnsi="Times New Roman" w:cs="Times New Roman"/>
          <w:iCs/>
          <w:sz w:val="24"/>
          <w:szCs w:val="24"/>
          <w:lang w:eastAsia="ko-KR"/>
        </w:rPr>
        <w:t xml:space="preserve">The average daily excessive consumption of calories (EC=SC-ER) is projected to increase around 58% women and 60% in men at the global level. Consistently with the findings on the </w:t>
      </w:r>
      <w:proofErr w:type="spellStart"/>
      <w:r w:rsidRPr="0047520C">
        <w:rPr>
          <w:rFonts w:ascii="Times New Roman" w:hAnsi="Times New Roman" w:cs="Times New Roman"/>
          <w:iCs/>
          <w:sz w:val="24"/>
          <w:szCs w:val="24"/>
          <w:lang w:eastAsia="ko-KR"/>
        </w:rPr>
        <w:t>PoO</w:t>
      </w:r>
      <w:proofErr w:type="spellEnd"/>
      <w:r w:rsidRPr="0047520C">
        <w:rPr>
          <w:rFonts w:ascii="Times New Roman" w:hAnsi="Times New Roman" w:cs="Times New Roman"/>
          <w:iCs/>
          <w:sz w:val="24"/>
          <w:szCs w:val="24"/>
          <w:lang w:eastAsia="ko-KR"/>
        </w:rPr>
        <w:t xml:space="preserve"> projections, the projected growth in EC is especially large in regions such us South Asia and China, where the EC is project to growth around 98% (105%) and 82% (84%) respectively, in adult women (men). </w:t>
      </w:r>
      <w:r w:rsidR="00730BDC">
        <w:rPr>
          <w:rFonts w:ascii="Times New Roman" w:hAnsi="Times New Roman" w:cs="Times New Roman"/>
          <w:iCs/>
          <w:sz w:val="24"/>
          <w:szCs w:val="24"/>
          <w:lang w:eastAsia="ko-KR"/>
        </w:rPr>
        <w:t xml:space="preserve">We </w:t>
      </w:r>
      <w:r w:rsidRPr="0047520C">
        <w:rPr>
          <w:rFonts w:ascii="Times New Roman" w:hAnsi="Times New Roman" w:cs="Times New Roman"/>
          <w:iCs/>
          <w:sz w:val="24"/>
          <w:szCs w:val="24"/>
          <w:lang w:eastAsia="ko-KR"/>
        </w:rPr>
        <w:t>rely on the incorporation of the Model 1 into a global partial equilibrium of the food sector (SIMPLE) for projecting average adult BMI (</w:t>
      </w:r>
      <w:r w:rsidR="00730BDC" w:rsidRPr="00730BDC">
        <w:rPr>
          <w:rFonts w:ascii="Times New Roman" w:hAnsi="Times New Roman" w:cs="Times New Roman"/>
          <w:b/>
          <w:bCs/>
          <w:iCs/>
          <w:sz w:val="24"/>
          <w:szCs w:val="24"/>
          <w:lang w:eastAsia="ko-KR"/>
        </w:rPr>
        <w:t>Figure S3</w:t>
      </w:r>
      <w:r w:rsidRPr="0047520C">
        <w:rPr>
          <w:rFonts w:ascii="Times New Roman" w:hAnsi="Times New Roman" w:cs="Times New Roman"/>
          <w:iCs/>
          <w:sz w:val="24"/>
          <w:szCs w:val="24"/>
          <w:lang w:eastAsia="ko-KR"/>
        </w:rPr>
        <w:t xml:space="preserve">) and age-specific adult BMI </w:t>
      </w:r>
      <w:r w:rsidR="00730BDC">
        <w:rPr>
          <w:rFonts w:ascii="Times New Roman" w:hAnsi="Times New Roman" w:cs="Times New Roman"/>
          <w:iCs/>
          <w:sz w:val="24"/>
          <w:szCs w:val="24"/>
          <w:lang w:eastAsia="ko-KR"/>
        </w:rPr>
        <w:t>(</w:t>
      </w:r>
      <w:r w:rsidR="00730BDC" w:rsidRPr="00730BDC">
        <w:rPr>
          <w:rFonts w:ascii="Times New Roman" w:hAnsi="Times New Roman" w:cs="Times New Roman"/>
          <w:b/>
          <w:bCs/>
          <w:iCs/>
          <w:sz w:val="24"/>
          <w:szCs w:val="24"/>
          <w:lang w:eastAsia="ko-KR"/>
        </w:rPr>
        <w:t xml:space="preserve">Figure </w:t>
      </w:r>
      <w:r w:rsidR="00332FE2">
        <w:rPr>
          <w:rFonts w:ascii="Times New Roman" w:hAnsi="Times New Roman" w:cs="Times New Roman"/>
          <w:b/>
          <w:bCs/>
          <w:iCs/>
          <w:sz w:val="24"/>
          <w:szCs w:val="24"/>
          <w:lang w:eastAsia="ko-KR"/>
        </w:rPr>
        <w:t>2</w:t>
      </w:r>
      <w:r w:rsidR="00730BDC" w:rsidRPr="00730BDC">
        <w:rPr>
          <w:rFonts w:ascii="Times New Roman" w:hAnsi="Times New Roman" w:cs="Times New Roman"/>
          <w:b/>
          <w:bCs/>
          <w:iCs/>
          <w:sz w:val="24"/>
          <w:szCs w:val="24"/>
          <w:lang w:eastAsia="ko-KR"/>
        </w:rPr>
        <w:t xml:space="preserve"> a-c and Figure S10</w:t>
      </w:r>
      <w:r w:rsidR="00730BDC">
        <w:rPr>
          <w:rFonts w:ascii="Times New Roman" w:hAnsi="Times New Roman" w:cs="Times New Roman"/>
          <w:iCs/>
          <w:sz w:val="24"/>
          <w:szCs w:val="24"/>
          <w:lang w:eastAsia="ko-KR"/>
        </w:rPr>
        <w:t>)</w:t>
      </w:r>
      <w:r w:rsidRPr="0047520C">
        <w:rPr>
          <w:rFonts w:ascii="Times New Roman" w:hAnsi="Times New Roman" w:cs="Times New Roman"/>
          <w:iCs/>
          <w:sz w:val="24"/>
          <w:szCs w:val="24"/>
          <w:lang w:eastAsia="ko-KR"/>
        </w:rPr>
        <w:t xml:space="preserve"> towards 2050, for both, men and women.</w:t>
      </w:r>
      <w:bookmarkEnd w:id="17"/>
    </w:p>
    <w:p w14:paraId="4EE5FFDB" w14:textId="1A2D0D1D" w:rsidR="00D3605A" w:rsidRPr="00D61E59" w:rsidRDefault="00D3605A" w:rsidP="00A3723B">
      <w:pPr>
        <w:keepNext/>
        <w:spacing w:before="240" w:after="60" w:line="240" w:lineRule="auto"/>
        <w:outlineLvl w:val="0"/>
        <w:rPr>
          <w:rFonts w:ascii="Times New Roman" w:eastAsia="Times New Roman" w:hAnsi="Times New Roman" w:cs="Times New Roman"/>
          <w:b/>
          <w:bCs/>
          <w:kern w:val="32"/>
          <w:sz w:val="24"/>
          <w:szCs w:val="24"/>
        </w:rPr>
      </w:pPr>
      <w:r w:rsidRPr="00D61E59">
        <w:rPr>
          <w:rFonts w:ascii="Times New Roman" w:eastAsia="Times New Roman" w:hAnsi="Times New Roman" w:cs="Times New Roman"/>
          <w:b/>
          <w:bCs/>
          <w:kern w:val="32"/>
          <w:sz w:val="24"/>
          <w:szCs w:val="24"/>
        </w:rPr>
        <w:lastRenderedPageBreak/>
        <w:t>Baseline projections of average adults BMI</w:t>
      </w:r>
      <w:r w:rsidR="001645F6" w:rsidRPr="00D61E59">
        <w:rPr>
          <w:rFonts w:ascii="Times New Roman" w:eastAsia="Times New Roman" w:hAnsi="Times New Roman" w:cs="Times New Roman"/>
          <w:b/>
          <w:bCs/>
          <w:kern w:val="32"/>
          <w:sz w:val="24"/>
          <w:szCs w:val="24"/>
        </w:rPr>
        <w:t>.</w:t>
      </w:r>
    </w:p>
    <w:p w14:paraId="68954ED8" w14:textId="77777777" w:rsidR="00D3605A" w:rsidRPr="00D3605A" w:rsidRDefault="00D3605A" w:rsidP="00A3723B">
      <w:pPr>
        <w:keepNext/>
        <w:spacing w:after="0" w:line="24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noProof/>
          <w:color w:val="000000"/>
          <w:sz w:val="24"/>
          <w:szCs w:val="24"/>
        </w:rPr>
        <w:drawing>
          <wp:inline distT="0" distB="0" distL="0" distR="0" wp14:anchorId="397DA1B3" wp14:editId="0C7D1A02">
            <wp:extent cx="6295697" cy="2564524"/>
            <wp:effectExtent l="0" t="0" r="0" b="0"/>
            <wp:docPr id="44" name="Imagen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310355" cy="2570495"/>
                    </a:xfrm>
                    <a:prstGeom prst="rect">
                      <a:avLst/>
                    </a:prstGeom>
                    <a:noFill/>
                    <a:ln>
                      <a:noFill/>
                    </a:ln>
                  </pic:spPr>
                </pic:pic>
              </a:graphicData>
            </a:graphic>
          </wp:inline>
        </w:drawing>
      </w:r>
    </w:p>
    <w:p w14:paraId="42FEAFF3" w14:textId="176B1FB6" w:rsidR="00D3605A" w:rsidRPr="00A3723B" w:rsidRDefault="00D3605A" w:rsidP="00A3723B">
      <w:pPr>
        <w:pStyle w:val="Descripcin"/>
        <w:spacing w:after="0"/>
        <w:rPr>
          <w:rFonts w:ascii="Times New Roman" w:eastAsia="Malgun Gothic" w:hAnsi="Times New Roman" w:cs="Times New Roman"/>
          <w:b/>
          <w:i w:val="0"/>
          <w:iCs w:val="0"/>
          <w:color w:val="auto"/>
          <w:sz w:val="20"/>
          <w:szCs w:val="20"/>
          <w:lang w:eastAsia="ko-KR"/>
        </w:rPr>
      </w:pPr>
      <w:bookmarkStart w:id="21" w:name="_Toc82619226"/>
      <w:bookmarkStart w:id="22" w:name="_Toc97739381"/>
      <w:r w:rsidRPr="00A3723B">
        <w:rPr>
          <w:rFonts w:ascii="Times New Roman" w:eastAsia="Malgun Gothic" w:hAnsi="Times New Roman" w:cs="Times New Roman"/>
          <w:b/>
          <w:i w:val="0"/>
          <w:iCs w:val="0"/>
          <w:color w:val="auto"/>
          <w:sz w:val="20"/>
          <w:szCs w:val="20"/>
          <w:lang w:eastAsia="ko-KR"/>
        </w:rPr>
        <w:t xml:space="preserve">Figure </w:t>
      </w:r>
      <w:r w:rsidR="00670F02" w:rsidRPr="00A3723B">
        <w:rPr>
          <w:rFonts w:ascii="Times New Roman" w:eastAsia="Malgun Gothic" w:hAnsi="Times New Roman" w:cs="Times New Roman"/>
          <w:b/>
          <w:i w:val="0"/>
          <w:iCs w:val="0"/>
          <w:color w:val="auto"/>
          <w:sz w:val="20"/>
          <w:szCs w:val="20"/>
          <w:lang w:eastAsia="ko-KR"/>
        </w:rPr>
        <w:t>S</w:t>
      </w:r>
      <w:r w:rsidR="00382175" w:rsidRPr="00A3723B">
        <w:rPr>
          <w:rFonts w:ascii="Times New Roman" w:eastAsia="Malgun Gothic" w:hAnsi="Times New Roman" w:cs="Times New Roman"/>
          <w:b/>
          <w:i w:val="0"/>
          <w:iCs w:val="0"/>
          <w:color w:val="auto"/>
          <w:sz w:val="20"/>
          <w:szCs w:val="20"/>
          <w:lang w:eastAsia="ko-KR"/>
        </w:rPr>
        <w:fldChar w:fldCharType="begin"/>
      </w:r>
      <w:r w:rsidR="00382175" w:rsidRPr="00A3723B">
        <w:rPr>
          <w:rFonts w:ascii="Times New Roman" w:eastAsia="Malgun Gothic" w:hAnsi="Times New Roman" w:cs="Times New Roman"/>
          <w:b/>
          <w:i w:val="0"/>
          <w:iCs w:val="0"/>
          <w:color w:val="auto"/>
          <w:sz w:val="20"/>
          <w:szCs w:val="20"/>
          <w:lang w:eastAsia="ko-KR"/>
        </w:rPr>
        <w:instrText xml:space="preserve"> SEQ Figure_S \* ARABIC </w:instrText>
      </w:r>
      <w:r w:rsidR="00382175" w:rsidRPr="00A3723B">
        <w:rPr>
          <w:rFonts w:ascii="Times New Roman" w:eastAsia="Malgun Gothic" w:hAnsi="Times New Roman" w:cs="Times New Roman"/>
          <w:b/>
          <w:i w:val="0"/>
          <w:iCs w:val="0"/>
          <w:color w:val="auto"/>
          <w:sz w:val="20"/>
          <w:szCs w:val="20"/>
          <w:lang w:eastAsia="ko-KR"/>
        </w:rPr>
        <w:fldChar w:fldCharType="separate"/>
      </w:r>
      <w:r w:rsidR="00473FA6" w:rsidRPr="00A3723B">
        <w:rPr>
          <w:rFonts w:ascii="Times New Roman" w:eastAsia="Malgun Gothic" w:hAnsi="Times New Roman" w:cs="Times New Roman"/>
          <w:b/>
          <w:i w:val="0"/>
          <w:iCs w:val="0"/>
          <w:noProof/>
          <w:color w:val="auto"/>
          <w:sz w:val="20"/>
          <w:szCs w:val="20"/>
          <w:lang w:eastAsia="ko-KR"/>
        </w:rPr>
        <w:t>4</w:t>
      </w:r>
      <w:r w:rsidR="00382175" w:rsidRPr="00A3723B">
        <w:rPr>
          <w:rFonts w:ascii="Times New Roman" w:eastAsia="Malgun Gothic" w:hAnsi="Times New Roman" w:cs="Times New Roman"/>
          <w:b/>
          <w:i w:val="0"/>
          <w:iCs w:val="0"/>
          <w:color w:val="auto"/>
          <w:sz w:val="20"/>
          <w:szCs w:val="20"/>
          <w:lang w:eastAsia="ko-KR"/>
        </w:rPr>
        <w:fldChar w:fldCharType="end"/>
      </w:r>
      <w:r w:rsidRPr="00A3723B">
        <w:rPr>
          <w:rFonts w:ascii="Times New Roman" w:eastAsia="Malgun Gothic" w:hAnsi="Times New Roman" w:cs="Times New Roman"/>
          <w:b/>
          <w:i w:val="0"/>
          <w:iCs w:val="0"/>
          <w:color w:val="auto"/>
          <w:sz w:val="20"/>
          <w:szCs w:val="20"/>
          <w:lang w:eastAsia="ko-KR"/>
        </w:rPr>
        <w:t>. Baseline projections of average adult BMI towards 2050</w:t>
      </w:r>
      <w:bookmarkEnd w:id="21"/>
      <w:bookmarkEnd w:id="22"/>
    </w:p>
    <w:p w14:paraId="3FB0E44E" w14:textId="15B144FE" w:rsidR="00D3605A" w:rsidRPr="00A3723B" w:rsidRDefault="00D3605A" w:rsidP="00A3723B">
      <w:pPr>
        <w:spacing w:after="0" w:line="240" w:lineRule="auto"/>
        <w:jc w:val="both"/>
        <w:rPr>
          <w:rFonts w:ascii="Times New Roman" w:eastAsia="Malgun Gothic" w:hAnsi="Times New Roman" w:cs="Times New Roman"/>
          <w:bCs/>
          <w:sz w:val="20"/>
          <w:szCs w:val="20"/>
          <w:lang w:eastAsia="ko-KR"/>
        </w:rPr>
      </w:pPr>
      <w:r w:rsidRPr="00A3723B">
        <w:rPr>
          <w:rFonts w:ascii="Times New Roman" w:eastAsia="Malgun Gothic" w:hAnsi="Times New Roman" w:cs="Times New Roman"/>
          <w:bCs/>
          <w:sz w:val="20"/>
          <w:szCs w:val="20"/>
          <w:lang w:eastAsia="ko-KR"/>
        </w:rPr>
        <w:t>The bars represent the percentage change in average BMI projected from 2015 to 2050 in the baseline scenario, for both, adult men and women. Error bars represent 95% confidence intervals.</w:t>
      </w:r>
    </w:p>
    <w:p w14:paraId="003354D0" w14:textId="212EA1E3" w:rsidR="00D3605A" w:rsidRPr="00E93D71" w:rsidRDefault="00D3605A" w:rsidP="00A3723B">
      <w:pPr>
        <w:keepNext/>
        <w:spacing w:before="240" w:after="60" w:line="240" w:lineRule="auto"/>
        <w:outlineLvl w:val="0"/>
        <w:rPr>
          <w:rFonts w:ascii="Times New Roman" w:eastAsia="Times New Roman" w:hAnsi="Times New Roman" w:cs="Times New Roman"/>
          <w:b/>
          <w:bCs/>
          <w:kern w:val="32"/>
          <w:sz w:val="24"/>
          <w:szCs w:val="24"/>
        </w:rPr>
      </w:pPr>
      <w:bookmarkStart w:id="23" w:name="_Hlk75683270"/>
      <w:r w:rsidRPr="00E93D71">
        <w:rPr>
          <w:rFonts w:ascii="Times New Roman" w:eastAsia="Times New Roman" w:hAnsi="Times New Roman" w:cs="Times New Roman"/>
          <w:b/>
          <w:bCs/>
          <w:kern w:val="32"/>
          <w:sz w:val="24"/>
          <w:szCs w:val="24"/>
        </w:rPr>
        <w:t>Flexitarian Diets results</w:t>
      </w:r>
      <w:r w:rsidR="001645F6" w:rsidRPr="00E93D71">
        <w:rPr>
          <w:rFonts w:ascii="Times New Roman" w:eastAsia="Times New Roman" w:hAnsi="Times New Roman" w:cs="Times New Roman"/>
          <w:b/>
          <w:bCs/>
          <w:kern w:val="32"/>
          <w:sz w:val="24"/>
          <w:szCs w:val="24"/>
        </w:rPr>
        <w:t>.</w:t>
      </w:r>
    </w:p>
    <w:bookmarkEnd w:id="23"/>
    <w:p w14:paraId="4870D12C" w14:textId="77777777" w:rsidR="008C13F9" w:rsidRDefault="00D3605A" w:rsidP="00EB163E">
      <w:pPr>
        <w:spacing w:after="0" w:line="240" w:lineRule="auto"/>
        <w:rPr>
          <w:rFonts w:ascii="Times New Roman" w:eastAsia="Malgun Gothic" w:hAnsi="Times New Roman" w:cs="Times New Roman"/>
          <w:b/>
          <w:sz w:val="20"/>
          <w:szCs w:val="20"/>
          <w:lang w:eastAsia="ko-KR"/>
        </w:rPr>
      </w:pPr>
      <w:r w:rsidRPr="00D3605A">
        <w:rPr>
          <w:noProof/>
        </w:rPr>
        <w:drawing>
          <wp:inline distT="0" distB="0" distL="0" distR="0" wp14:anchorId="5E581E8D" wp14:editId="76E1E76A">
            <wp:extent cx="6423377" cy="3217333"/>
            <wp:effectExtent l="0" t="0" r="0" b="0"/>
            <wp:docPr id="45" name="Imagen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423377" cy="3217333"/>
                    </a:xfrm>
                    <a:prstGeom prst="rect">
                      <a:avLst/>
                    </a:prstGeom>
                    <a:noFill/>
                    <a:ln>
                      <a:noFill/>
                    </a:ln>
                  </pic:spPr>
                </pic:pic>
              </a:graphicData>
            </a:graphic>
          </wp:inline>
        </w:drawing>
      </w:r>
      <w:bookmarkStart w:id="24" w:name="_Ref75684337"/>
      <w:bookmarkStart w:id="25" w:name="_Toc82619227"/>
    </w:p>
    <w:p w14:paraId="36E202E0" w14:textId="306C5E77" w:rsidR="00D3605A" w:rsidRPr="00EB163E" w:rsidRDefault="00D3605A" w:rsidP="00EB163E">
      <w:pPr>
        <w:spacing w:after="0" w:line="240" w:lineRule="auto"/>
        <w:rPr>
          <w:rFonts w:ascii="Times New Roman" w:eastAsia="Malgun Gothic" w:hAnsi="Times New Roman" w:cs="Times New Roman"/>
          <w:b/>
          <w:sz w:val="20"/>
          <w:szCs w:val="20"/>
          <w:lang w:eastAsia="ko-KR"/>
        </w:rPr>
      </w:pPr>
      <w:bookmarkStart w:id="26" w:name="_Toc97739382"/>
      <w:r w:rsidRPr="00EB163E">
        <w:rPr>
          <w:rFonts w:ascii="Times New Roman" w:eastAsia="Malgun Gothic" w:hAnsi="Times New Roman" w:cs="Times New Roman"/>
          <w:b/>
          <w:sz w:val="20"/>
          <w:szCs w:val="20"/>
          <w:lang w:eastAsia="ko-KR"/>
        </w:rPr>
        <w:t xml:space="preserve">Figure </w:t>
      </w:r>
      <w:bookmarkEnd w:id="24"/>
      <w:r w:rsidR="00670F02" w:rsidRPr="00EB163E">
        <w:rPr>
          <w:rFonts w:ascii="Times New Roman" w:eastAsia="Malgun Gothic" w:hAnsi="Times New Roman" w:cs="Times New Roman"/>
          <w:b/>
          <w:sz w:val="20"/>
          <w:szCs w:val="20"/>
          <w:lang w:eastAsia="ko-KR"/>
        </w:rPr>
        <w:t>S</w:t>
      </w:r>
      <w:r w:rsidR="00382175" w:rsidRPr="00EB163E">
        <w:rPr>
          <w:rFonts w:ascii="Times New Roman" w:eastAsia="Malgun Gothic" w:hAnsi="Times New Roman" w:cs="Times New Roman"/>
          <w:b/>
          <w:sz w:val="20"/>
          <w:szCs w:val="20"/>
          <w:lang w:eastAsia="ko-KR"/>
        </w:rPr>
        <w:fldChar w:fldCharType="begin"/>
      </w:r>
      <w:r w:rsidR="00382175" w:rsidRPr="00EB163E">
        <w:rPr>
          <w:rFonts w:ascii="Times New Roman" w:eastAsia="Malgun Gothic" w:hAnsi="Times New Roman" w:cs="Times New Roman"/>
          <w:b/>
          <w:sz w:val="20"/>
          <w:szCs w:val="20"/>
          <w:lang w:eastAsia="ko-KR"/>
        </w:rPr>
        <w:instrText xml:space="preserve"> SEQ Figure_S \* ARABIC </w:instrText>
      </w:r>
      <w:r w:rsidR="00382175" w:rsidRPr="00EB163E">
        <w:rPr>
          <w:rFonts w:ascii="Times New Roman" w:eastAsia="Malgun Gothic" w:hAnsi="Times New Roman" w:cs="Times New Roman"/>
          <w:b/>
          <w:sz w:val="20"/>
          <w:szCs w:val="20"/>
          <w:lang w:eastAsia="ko-KR"/>
        </w:rPr>
        <w:fldChar w:fldCharType="separate"/>
      </w:r>
      <w:r w:rsidR="00473FA6" w:rsidRPr="00EB163E">
        <w:rPr>
          <w:rFonts w:ascii="Times New Roman" w:eastAsia="Malgun Gothic" w:hAnsi="Times New Roman" w:cs="Times New Roman"/>
          <w:b/>
          <w:sz w:val="20"/>
          <w:szCs w:val="20"/>
          <w:lang w:eastAsia="ko-KR"/>
        </w:rPr>
        <w:t>5</w:t>
      </w:r>
      <w:r w:rsidR="00382175" w:rsidRPr="00EB163E">
        <w:rPr>
          <w:rFonts w:ascii="Times New Roman" w:eastAsia="Malgun Gothic" w:hAnsi="Times New Roman" w:cs="Times New Roman"/>
          <w:b/>
          <w:sz w:val="20"/>
          <w:szCs w:val="20"/>
          <w:lang w:eastAsia="ko-KR"/>
        </w:rPr>
        <w:fldChar w:fldCharType="end"/>
      </w:r>
      <w:r w:rsidR="00382175" w:rsidRPr="00EB163E">
        <w:rPr>
          <w:rFonts w:ascii="Times New Roman" w:eastAsia="Malgun Gothic" w:hAnsi="Times New Roman" w:cs="Times New Roman"/>
          <w:b/>
          <w:sz w:val="20"/>
          <w:szCs w:val="20"/>
          <w:lang w:eastAsia="ko-KR"/>
        </w:rPr>
        <w:t>.</w:t>
      </w:r>
      <w:r w:rsidRPr="00EB163E">
        <w:rPr>
          <w:rFonts w:ascii="Times New Roman" w:eastAsia="Malgun Gothic" w:hAnsi="Times New Roman" w:cs="Times New Roman"/>
          <w:b/>
          <w:sz w:val="20"/>
          <w:szCs w:val="20"/>
          <w:lang w:eastAsia="ko-KR"/>
        </w:rPr>
        <w:t xml:space="preserve"> Projected changes in BMI for men and women.</w:t>
      </w:r>
      <w:bookmarkEnd w:id="25"/>
      <w:bookmarkEnd w:id="26"/>
    </w:p>
    <w:p w14:paraId="1089F05F" w14:textId="192B9FCB" w:rsidR="00D3605A" w:rsidRPr="00A3723B" w:rsidRDefault="00D3605A" w:rsidP="00EB163E">
      <w:pPr>
        <w:spacing w:after="0" w:line="240" w:lineRule="auto"/>
        <w:jc w:val="both"/>
        <w:rPr>
          <w:rFonts w:ascii="Times New Roman" w:eastAsia="Malgun Gothic" w:hAnsi="Times New Roman" w:cs="Times New Roman"/>
          <w:bCs/>
          <w:sz w:val="20"/>
          <w:szCs w:val="20"/>
          <w:lang w:eastAsia="ko-KR"/>
        </w:rPr>
      </w:pPr>
      <w:r w:rsidRPr="00A3723B">
        <w:rPr>
          <w:rFonts w:ascii="Times New Roman" w:eastAsia="Malgun Gothic" w:hAnsi="Times New Roman" w:cs="Times New Roman"/>
          <w:bCs/>
          <w:sz w:val="20"/>
          <w:szCs w:val="20"/>
          <w:lang w:eastAsia="ko-KR"/>
        </w:rPr>
        <w:t>The bars represent the projected percentage changes with respect to the 2050 baseline case caused by shifting towards diets following intake recommended in the flexitarian diets pathway (FLX) in those regions. Omitted regions are not subjected to the diet changes. Error bars represent 95% confidence intervals.</w:t>
      </w:r>
    </w:p>
    <w:p w14:paraId="16D71E44" w14:textId="77777777" w:rsidR="00D3605A" w:rsidRPr="00D3605A" w:rsidRDefault="00D3605A" w:rsidP="00D3605A">
      <w:pPr>
        <w:keepNext/>
        <w:spacing w:after="0" w:line="36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b/>
          <w:bCs/>
          <w:noProof/>
          <w:color w:val="000000"/>
          <w:sz w:val="32"/>
          <w:szCs w:val="32"/>
        </w:rPr>
        <w:lastRenderedPageBreak/>
        <w:drawing>
          <wp:inline distT="0" distB="0" distL="0" distR="0" wp14:anchorId="08DEA7DF" wp14:editId="60DAC6CA">
            <wp:extent cx="5943600" cy="4902850"/>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4902850"/>
                    </a:xfrm>
                    <a:prstGeom prst="rect">
                      <a:avLst/>
                    </a:prstGeom>
                    <a:noFill/>
                    <a:ln>
                      <a:noFill/>
                    </a:ln>
                  </pic:spPr>
                </pic:pic>
              </a:graphicData>
            </a:graphic>
          </wp:inline>
        </w:drawing>
      </w:r>
    </w:p>
    <w:p w14:paraId="55B0E18E" w14:textId="71CDE713" w:rsidR="00D3605A" w:rsidRPr="00E05A85" w:rsidRDefault="00D3605A" w:rsidP="00382175">
      <w:pPr>
        <w:pStyle w:val="Descripcin"/>
        <w:spacing w:after="0"/>
        <w:rPr>
          <w:rFonts w:ascii="Times New Roman" w:eastAsia="Malgun Gothic" w:hAnsi="Times New Roman" w:cs="Times New Roman"/>
          <w:b/>
          <w:i w:val="0"/>
          <w:iCs w:val="0"/>
          <w:color w:val="auto"/>
          <w:sz w:val="20"/>
          <w:szCs w:val="20"/>
          <w:lang w:eastAsia="ko-KR"/>
        </w:rPr>
      </w:pPr>
      <w:bookmarkStart w:id="27" w:name="_Ref75694818"/>
      <w:bookmarkStart w:id="28" w:name="_Toc82619228"/>
      <w:bookmarkStart w:id="29" w:name="_Toc97739383"/>
      <w:r w:rsidRPr="00E05A85">
        <w:rPr>
          <w:rFonts w:ascii="Times New Roman" w:eastAsia="Malgun Gothic" w:hAnsi="Times New Roman" w:cs="Times New Roman"/>
          <w:b/>
          <w:i w:val="0"/>
          <w:iCs w:val="0"/>
          <w:color w:val="auto"/>
          <w:sz w:val="20"/>
          <w:szCs w:val="20"/>
          <w:lang w:eastAsia="ko-KR"/>
        </w:rPr>
        <w:t xml:space="preserve">Figure </w:t>
      </w:r>
      <w:bookmarkEnd w:id="27"/>
      <w:r w:rsidR="00670F02" w:rsidRPr="00E05A85">
        <w:rPr>
          <w:rFonts w:ascii="Times New Roman" w:eastAsia="Malgun Gothic" w:hAnsi="Times New Roman" w:cs="Times New Roman"/>
          <w:b/>
          <w:i w:val="0"/>
          <w:iCs w:val="0"/>
          <w:color w:val="auto"/>
          <w:sz w:val="20"/>
          <w:szCs w:val="20"/>
          <w:lang w:eastAsia="ko-KR"/>
        </w:rPr>
        <w:t>S</w:t>
      </w:r>
      <w:r w:rsidR="00382175" w:rsidRPr="00E05A85">
        <w:rPr>
          <w:rFonts w:ascii="Times New Roman" w:eastAsia="Malgun Gothic" w:hAnsi="Times New Roman" w:cs="Times New Roman"/>
          <w:b/>
          <w:i w:val="0"/>
          <w:iCs w:val="0"/>
          <w:color w:val="auto"/>
          <w:sz w:val="20"/>
          <w:szCs w:val="20"/>
          <w:lang w:eastAsia="ko-KR"/>
        </w:rPr>
        <w:fldChar w:fldCharType="begin"/>
      </w:r>
      <w:r w:rsidR="00382175" w:rsidRPr="00E05A85">
        <w:rPr>
          <w:rFonts w:ascii="Times New Roman" w:eastAsia="Malgun Gothic" w:hAnsi="Times New Roman" w:cs="Times New Roman"/>
          <w:b/>
          <w:i w:val="0"/>
          <w:iCs w:val="0"/>
          <w:color w:val="auto"/>
          <w:sz w:val="20"/>
          <w:szCs w:val="20"/>
          <w:lang w:eastAsia="ko-KR"/>
        </w:rPr>
        <w:instrText xml:space="preserve"> SEQ Figure_S \* ARABIC </w:instrText>
      </w:r>
      <w:r w:rsidR="00382175" w:rsidRPr="00E05A85">
        <w:rPr>
          <w:rFonts w:ascii="Times New Roman" w:eastAsia="Malgun Gothic" w:hAnsi="Times New Roman" w:cs="Times New Roman"/>
          <w:b/>
          <w:i w:val="0"/>
          <w:iCs w:val="0"/>
          <w:color w:val="auto"/>
          <w:sz w:val="20"/>
          <w:szCs w:val="20"/>
          <w:lang w:eastAsia="ko-KR"/>
        </w:rPr>
        <w:fldChar w:fldCharType="separate"/>
      </w:r>
      <w:r w:rsidR="00473FA6" w:rsidRPr="00E05A85">
        <w:rPr>
          <w:rFonts w:ascii="Times New Roman" w:eastAsia="Malgun Gothic" w:hAnsi="Times New Roman" w:cs="Times New Roman"/>
          <w:b/>
          <w:i w:val="0"/>
          <w:iCs w:val="0"/>
          <w:noProof/>
          <w:color w:val="auto"/>
          <w:sz w:val="20"/>
          <w:szCs w:val="20"/>
          <w:lang w:eastAsia="ko-KR"/>
        </w:rPr>
        <w:t>6</w:t>
      </w:r>
      <w:r w:rsidR="00382175" w:rsidRPr="00E05A85">
        <w:rPr>
          <w:rFonts w:ascii="Times New Roman" w:eastAsia="Malgun Gothic" w:hAnsi="Times New Roman" w:cs="Times New Roman"/>
          <w:b/>
          <w:i w:val="0"/>
          <w:iCs w:val="0"/>
          <w:color w:val="auto"/>
          <w:sz w:val="20"/>
          <w:szCs w:val="20"/>
          <w:lang w:eastAsia="ko-KR"/>
        </w:rPr>
        <w:fldChar w:fldCharType="end"/>
      </w:r>
      <w:r w:rsidR="00382175" w:rsidRPr="00E05A85">
        <w:rPr>
          <w:rFonts w:ascii="Times New Roman" w:eastAsia="Malgun Gothic" w:hAnsi="Times New Roman" w:cs="Times New Roman"/>
          <w:b/>
          <w:i w:val="0"/>
          <w:iCs w:val="0"/>
          <w:color w:val="auto"/>
          <w:sz w:val="20"/>
          <w:szCs w:val="20"/>
          <w:lang w:eastAsia="ko-KR"/>
        </w:rPr>
        <w:t xml:space="preserve">. </w:t>
      </w:r>
      <w:r w:rsidRPr="00E05A85">
        <w:rPr>
          <w:rFonts w:ascii="Times New Roman" w:eastAsia="Malgun Gothic" w:hAnsi="Times New Roman" w:cs="Times New Roman"/>
          <w:b/>
          <w:i w:val="0"/>
          <w:iCs w:val="0"/>
          <w:color w:val="auto"/>
          <w:sz w:val="20"/>
          <w:szCs w:val="20"/>
          <w:lang w:eastAsia="ko-KR"/>
        </w:rPr>
        <w:t>Shifting towards healthy dietary intake levels reduce caloric undernutrition and land use.</w:t>
      </w:r>
      <w:bookmarkEnd w:id="28"/>
      <w:bookmarkEnd w:id="29"/>
    </w:p>
    <w:p w14:paraId="66936C6D" w14:textId="3113F013" w:rsidR="00D3605A" w:rsidRPr="00D3605A" w:rsidRDefault="00D3605A" w:rsidP="00382175">
      <w:pPr>
        <w:spacing w:after="0" w:line="240" w:lineRule="auto"/>
        <w:jc w:val="both"/>
        <w:rPr>
          <w:rFonts w:ascii="Times New Roman" w:eastAsia="Malgun Gothic" w:hAnsi="Times New Roman" w:cs="Times New Roman"/>
          <w:bCs/>
          <w:sz w:val="24"/>
          <w:szCs w:val="24"/>
          <w:lang w:eastAsia="ko-KR"/>
        </w:rPr>
      </w:pPr>
      <w:r w:rsidRPr="00E05A85">
        <w:rPr>
          <w:rFonts w:ascii="Times New Roman" w:eastAsia="Malgun Gothic" w:hAnsi="Times New Roman" w:cs="Times New Roman"/>
          <w:bCs/>
          <w:sz w:val="20"/>
          <w:szCs w:val="20"/>
          <w:lang w:eastAsia="ko-KR"/>
        </w:rPr>
        <w:t xml:space="preserve">Bars represent percentage changes in 2050 baseline outcomes caused by shifting towards diets following flexitarian diets pathway (FLX) in the regions in italic and marked with asterisk starting with Central Asia and ending with Japan and Korea. Regions exogenously shifted to the FLX are in italic and marked with an asterisk, consumption patterns in the remaining regions are endogenous. Panel </w:t>
      </w:r>
      <w:r w:rsidRPr="00E05A85">
        <w:rPr>
          <w:rFonts w:ascii="Times New Roman" w:eastAsia="Malgun Gothic" w:hAnsi="Times New Roman" w:cs="Times New Roman"/>
          <w:b/>
          <w:bCs/>
          <w:sz w:val="20"/>
          <w:szCs w:val="20"/>
          <w:lang w:eastAsia="ko-KR"/>
        </w:rPr>
        <w:t>a</w:t>
      </w:r>
      <w:r w:rsidRPr="00E05A85">
        <w:rPr>
          <w:rFonts w:ascii="Times New Roman" w:eastAsia="Malgun Gothic" w:hAnsi="Times New Roman" w:cs="Times New Roman"/>
          <w:bCs/>
          <w:sz w:val="20"/>
          <w:szCs w:val="20"/>
          <w:lang w:eastAsia="ko-KR"/>
        </w:rPr>
        <w:t xml:space="preserve"> represents the percentage change in global crop price, panel </w:t>
      </w:r>
      <w:r w:rsidRPr="00E05A85">
        <w:rPr>
          <w:rFonts w:ascii="Times New Roman" w:eastAsia="Malgun Gothic" w:hAnsi="Times New Roman" w:cs="Times New Roman"/>
          <w:b/>
          <w:bCs/>
          <w:sz w:val="20"/>
          <w:szCs w:val="20"/>
          <w:lang w:eastAsia="ko-KR"/>
        </w:rPr>
        <w:t>b</w:t>
      </w:r>
      <w:r w:rsidRPr="00E05A85">
        <w:rPr>
          <w:rFonts w:ascii="Times New Roman" w:eastAsia="Malgun Gothic" w:hAnsi="Times New Roman" w:cs="Times New Roman"/>
          <w:bCs/>
          <w:sz w:val="20"/>
          <w:szCs w:val="20"/>
          <w:lang w:eastAsia="ko-KR"/>
        </w:rPr>
        <w:t xml:space="preserve"> represents reductions in undernutrition headcounts in those regions where diets are endogenously determined as a function of prices, and panel </w:t>
      </w:r>
      <w:r w:rsidRPr="00E05A85">
        <w:rPr>
          <w:rFonts w:ascii="Times New Roman" w:eastAsia="Malgun Gothic" w:hAnsi="Times New Roman" w:cs="Times New Roman"/>
          <w:b/>
          <w:bCs/>
          <w:sz w:val="20"/>
          <w:szCs w:val="20"/>
          <w:lang w:eastAsia="ko-KR"/>
        </w:rPr>
        <w:t>c</w:t>
      </w:r>
      <w:r w:rsidRPr="00E05A85">
        <w:rPr>
          <w:rFonts w:ascii="Times New Roman" w:eastAsia="Malgun Gothic" w:hAnsi="Times New Roman" w:cs="Times New Roman"/>
          <w:bCs/>
          <w:sz w:val="20"/>
          <w:szCs w:val="20"/>
          <w:lang w:eastAsia="ko-KR"/>
        </w:rPr>
        <w:t xml:space="preserve"> represents changes in cropland use. Colored segments of each bar decompose the total change into three different components of the shift from current consumption levels: the change within the food basket composition (i.e., the FLX scenario implies reductions in livestock consumption with respect to the baseline case), reductions in food intake, and reductions in food waste </w:t>
      </w:r>
      <w:r w:rsidRPr="00E05A85">
        <w:rPr>
          <w:rFonts w:ascii="Times New Roman" w:eastAsia="Malgun Gothic" w:hAnsi="Times New Roman" w:cs="Times New Roman"/>
          <w:bCs/>
          <w:sz w:val="20"/>
          <w:szCs w:val="20"/>
          <w:lang w:eastAsia="ko-KR"/>
        </w:rPr>
        <w:fldChar w:fldCharType="begin"/>
      </w:r>
      <w:r w:rsidR="0023119E">
        <w:rPr>
          <w:rFonts w:ascii="Times New Roman" w:eastAsia="Malgun Gothic" w:hAnsi="Times New Roman" w:cs="Times New Roman"/>
          <w:bCs/>
          <w:sz w:val="20"/>
          <w:szCs w:val="20"/>
          <w:lang w:eastAsia="ko-KR"/>
        </w:rPr>
        <w:instrText xml:space="preserve"> ADDIN ZOTERO_ITEM CSL_CITATION {"citationID":"tk9MG9hy","properties":{"formattedCitation":"\\super 3\\nosupersub{}","plainCitation":"3","noteIndex":0},"citationItems":[{"id":223,"uris":["http://zotero.org/users/5867530/items/MULUTKCA"],"uri":["http://zotero.org/users/5867530/items/MULUTKCA"],"itemData":{"id":223,"type":"article-journal","container-title":"Food Policy","page":"101874","title":"Global food waste across the income spectrum: Implications for food prices, production and resource use","author":[{"family":"Barrera","given":"Emiliano Lopez"},{"family":"Hertel","given":"Thomas"}],"issued":{"date-parts":[["2020"]]}}}],"schema":"https://github.com/citation-style-language/schema/raw/master/csl-citation.json"} </w:instrText>
      </w:r>
      <w:r w:rsidRPr="00E05A85">
        <w:rPr>
          <w:rFonts w:ascii="Times New Roman" w:eastAsia="Malgun Gothic" w:hAnsi="Times New Roman" w:cs="Times New Roman"/>
          <w:bCs/>
          <w:sz w:val="20"/>
          <w:szCs w:val="20"/>
          <w:lang w:eastAsia="ko-KR"/>
        </w:rPr>
        <w:fldChar w:fldCharType="separate"/>
      </w:r>
      <w:r w:rsidR="0023119E" w:rsidRPr="0023119E">
        <w:rPr>
          <w:rFonts w:ascii="Times New Roman" w:hAnsi="Times New Roman" w:cs="Times New Roman"/>
          <w:sz w:val="20"/>
          <w:szCs w:val="24"/>
          <w:vertAlign w:val="superscript"/>
        </w:rPr>
        <w:t>3</w:t>
      </w:r>
      <w:r w:rsidRPr="00E05A85">
        <w:rPr>
          <w:rFonts w:ascii="Times New Roman" w:eastAsia="Malgun Gothic" w:hAnsi="Times New Roman" w:cs="Times New Roman"/>
          <w:bCs/>
          <w:sz w:val="20"/>
          <w:szCs w:val="20"/>
          <w:lang w:eastAsia="ko-KR"/>
        </w:rPr>
        <w:fldChar w:fldCharType="end"/>
      </w:r>
      <w:r w:rsidRPr="00E05A85">
        <w:rPr>
          <w:rFonts w:ascii="Times New Roman" w:eastAsia="Malgun Gothic" w:hAnsi="Times New Roman" w:cs="Times New Roman"/>
          <w:bCs/>
          <w:sz w:val="20"/>
          <w:szCs w:val="20"/>
          <w:lang w:eastAsia="ko-KR"/>
        </w:rPr>
        <w:t xml:space="preserve">. </w:t>
      </w:r>
      <w:r w:rsidRPr="00D3605A">
        <w:rPr>
          <w:rFonts w:ascii="Times New Roman" w:eastAsia="Malgun Gothic" w:hAnsi="Times New Roman" w:cs="Times New Roman"/>
          <w:b/>
          <w:bCs/>
          <w:color w:val="000000"/>
          <w:sz w:val="24"/>
          <w:szCs w:val="24"/>
          <w:lang w:eastAsia="ko-KR"/>
        </w:rPr>
        <w:br w:type="page"/>
      </w:r>
    </w:p>
    <w:p w14:paraId="40B37913" w14:textId="77777777" w:rsidR="00D3605A" w:rsidRPr="00D3605A" w:rsidRDefault="00D3605A" w:rsidP="00D3605A">
      <w:pPr>
        <w:keepNext/>
        <w:spacing w:after="0" w:line="36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b/>
          <w:bCs/>
          <w:noProof/>
          <w:color w:val="000000"/>
          <w:sz w:val="24"/>
          <w:szCs w:val="24"/>
        </w:rPr>
        <w:lastRenderedPageBreak/>
        <w:drawing>
          <wp:inline distT="0" distB="0" distL="0" distR="0" wp14:anchorId="440916BD" wp14:editId="2BBA24F5">
            <wp:extent cx="5943600" cy="4933302"/>
            <wp:effectExtent l="0" t="0" r="0" b="127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4933302"/>
                    </a:xfrm>
                    <a:prstGeom prst="rect">
                      <a:avLst/>
                    </a:prstGeom>
                    <a:noFill/>
                    <a:ln>
                      <a:noFill/>
                    </a:ln>
                  </pic:spPr>
                </pic:pic>
              </a:graphicData>
            </a:graphic>
          </wp:inline>
        </w:drawing>
      </w:r>
    </w:p>
    <w:p w14:paraId="4038A1D3" w14:textId="66EDDFCD" w:rsidR="00D3605A" w:rsidRPr="00E05A85" w:rsidRDefault="00D3605A" w:rsidP="00382175">
      <w:pPr>
        <w:pStyle w:val="Descripcin"/>
        <w:spacing w:after="0"/>
        <w:rPr>
          <w:rFonts w:ascii="Times New Roman" w:eastAsia="Malgun Gothic" w:hAnsi="Times New Roman" w:cs="Times New Roman"/>
          <w:bCs/>
          <w:i w:val="0"/>
          <w:iCs w:val="0"/>
          <w:color w:val="auto"/>
          <w:sz w:val="20"/>
          <w:szCs w:val="20"/>
          <w:lang w:eastAsia="ko-KR"/>
        </w:rPr>
      </w:pPr>
      <w:bookmarkStart w:id="30" w:name="_Ref75694830"/>
      <w:bookmarkStart w:id="31" w:name="_Toc82619229"/>
      <w:bookmarkStart w:id="32" w:name="_Toc97739384"/>
      <w:r w:rsidRPr="00E05A85">
        <w:rPr>
          <w:rFonts w:ascii="Times New Roman" w:eastAsia="Malgun Gothic" w:hAnsi="Times New Roman" w:cs="Times New Roman"/>
          <w:b/>
          <w:i w:val="0"/>
          <w:iCs w:val="0"/>
          <w:color w:val="auto"/>
          <w:sz w:val="20"/>
          <w:szCs w:val="20"/>
          <w:lang w:eastAsia="ko-KR"/>
        </w:rPr>
        <w:t xml:space="preserve">Figure </w:t>
      </w:r>
      <w:bookmarkEnd w:id="30"/>
      <w:r w:rsidR="00670F02" w:rsidRPr="00E05A85">
        <w:rPr>
          <w:rFonts w:ascii="Times New Roman" w:eastAsia="Malgun Gothic" w:hAnsi="Times New Roman" w:cs="Times New Roman"/>
          <w:b/>
          <w:i w:val="0"/>
          <w:iCs w:val="0"/>
          <w:color w:val="auto"/>
          <w:sz w:val="20"/>
          <w:szCs w:val="20"/>
          <w:lang w:eastAsia="ko-KR"/>
        </w:rPr>
        <w:t>S</w:t>
      </w:r>
      <w:r w:rsidR="00382175" w:rsidRPr="00E05A85">
        <w:rPr>
          <w:rFonts w:ascii="Times New Roman" w:eastAsia="Malgun Gothic" w:hAnsi="Times New Roman" w:cs="Times New Roman"/>
          <w:b/>
          <w:i w:val="0"/>
          <w:iCs w:val="0"/>
          <w:color w:val="auto"/>
          <w:sz w:val="20"/>
          <w:szCs w:val="20"/>
          <w:lang w:eastAsia="ko-KR"/>
        </w:rPr>
        <w:fldChar w:fldCharType="begin"/>
      </w:r>
      <w:r w:rsidR="00382175" w:rsidRPr="00E05A85">
        <w:rPr>
          <w:rFonts w:ascii="Times New Roman" w:eastAsia="Malgun Gothic" w:hAnsi="Times New Roman" w:cs="Times New Roman"/>
          <w:b/>
          <w:i w:val="0"/>
          <w:iCs w:val="0"/>
          <w:color w:val="auto"/>
          <w:sz w:val="20"/>
          <w:szCs w:val="20"/>
          <w:lang w:eastAsia="ko-KR"/>
        </w:rPr>
        <w:instrText xml:space="preserve"> SEQ Figure_S \* ARABIC </w:instrText>
      </w:r>
      <w:r w:rsidR="00382175" w:rsidRPr="00E05A85">
        <w:rPr>
          <w:rFonts w:ascii="Times New Roman" w:eastAsia="Malgun Gothic" w:hAnsi="Times New Roman" w:cs="Times New Roman"/>
          <w:b/>
          <w:i w:val="0"/>
          <w:iCs w:val="0"/>
          <w:color w:val="auto"/>
          <w:sz w:val="20"/>
          <w:szCs w:val="20"/>
          <w:lang w:eastAsia="ko-KR"/>
        </w:rPr>
        <w:fldChar w:fldCharType="separate"/>
      </w:r>
      <w:r w:rsidR="00473FA6" w:rsidRPr="00E05A85">
        <w:rPr>
          <w:rFonts w:ascii="Times New Roman" w:eastAsia="Malgun Gothic" w:hAnsi="Times New Roman" w:cs="Times New Roman"/>
          <w:b/>
          <w:i w:val="0"/>
          <w:iCs w:val="0"/>
          <w:noProof/>
          <w:color w:val="auto"/>
          <w:sz w:val="20"/>
          <w:szCs w:val="20"/>
          <w:lang w:eastAsia="ko-KR"/>
        </w:rPr>
        <w:t>7</w:t>
      </w:r>
      <w:r w:rsidR="00382175" w:rsidRPr="00E05A85">
        <w:rPr>
          <w:rFonts w:ascii="Times New Roman" w:eastAsia="Malgun Gothic" w:hAnsi="Times New Roman" w:cs="Times New Roman"/>
          <w:b/>
          <w:i w:val="0"/>
          <w:iCs w:val="0"/>
          <w:color w:val="auto"/>
          <w:sz w:val="20"/>
          <w:szCs w:val="20"/>
          <w:lang w:eastAsia="ko-KR"/>
        </w:rPr>
        <w:fldChar w:fldCharType="end"/>
      </w:r>
      <w:r w:rsidR="00FB3805" w:rsidRPr="00E05A85">
        <w:rPr>
          <w:rFonts w:ascii="Times New Roman" w:eastAsia="Malgun Gothic" w:hAnsi="Times New Roman" w:cs="Times New Roman"/>
          <w:b/>
          <w:i w:val="0"/>
          <w:iCs w:val="0"/>
          <w:color w:val="auto"/>
          <w:sz w:val="20"/>
          <w:szCs w:val="20"/>
          <w:lang w:eastAsia="ko-KR"/>
        </w:rPr>
        <w:t xml:space="preserve">. </w:t>
      </w:r>
      <w:r w:rsidRPr="00E05A85">
        <w:rPr>
          <w:rFonts w:ascii="Times New Roman" w:eastAsia="Malgun Gothic" w:hAnsi="Times New Roman" w:cs="Times New Roman"/>
          <w:b/>
          <w:i w:val="0"/>
          <w:iCs w:val="0"/>
          <w:color w:val="auto"/>
          <w:sz w:val="20"/>
          <w:szCs w:val="20"/>
          <w:lang w:eastAsia="ko-KR"/>
        </w:rPr>
        <w:t>Shifting towards healthy dietary intake levels reduce Green House Emissions.</w:t>
      </w:r>
      <w:bookmarkEnd w:id="31"/>
      <w:bookmarkEnd w:id="32"/>
    </w:p>
    <w:p w14:paraId="27923DB6" w14:textId="410B1BC1" w:rsidR="008D3AD6" w:rsidRDefault="00D3605A" w:rsidP="00382175">
      <w:pPr>
        <w:spacing w:after="0" w:line="240" w:lineRule="auto"/>
        <w:jc w:val="both"/>
        <w:rPr>
          <w:rFonts w:ascii="Times New Roman" w:eastAsia="Malgun Gothic" w:hAnsi="Times New Roman" w:cs="Times New Roman"/>
          <w:bCs/>
          <w:sz w:val="20"/>
          <w:szCs w:val="20"/>
          <w:lang w:eastAsia="ko-KR"/>
        </w:rPr>
      </w:pPr>
      <w:r w:rsidRPr="00E05A85">
        <w:rPr>
          <w:rFonts w:ascii="Times New Roman" w:eastAsia="Malgun Gothic" w:hAnsi="Times New Roman" w:cs="Times New Roman"/>
          <w:bCs/>
          <w:sz w:val="20"/>
          <w:szCs w:val="20"/>
          <w:lang w:eastAsia="ko-KR"/>
        </w:rPr>
        <w:t xml:space="preserve">Bars represent percentage changes with respect to the 2050 baseline case, caused by shifting towards diets following flexitarian diets pathway (FLX) in the regions in italic and marked with an asterisk. Results represent the breakout between three different components within the shifts in diets: the change within the food basket composition (i.e., the FLX scenario implies reductions in livestock consumption with respect to the baseline case), reductions in food intake, and reductions in food waste </w:t>
      </w:r>
      <w:r w:rsidRPr="00E05A85">
        <w:rPr>
          <w:rFonts w:ascii="Times New Roman" w:eastAsia="Malgun Gothic" w:hAnsi="Times New Roman" w:cs="Times New Roman"/>
          <w:bCs/>
          <w:sz w:val="20"/>
          <w:szCs w:val="20"/>
          <w:lang w:eastAsia="ko-KR"/>
        </w:rPr>
        <w:fldChar w:fldCharType="begin"/>
      </w:r>
      <w:r w:rsidR="0023119E">
        <w:rPr>
          <w:rFonts w:ascii="Times New Roman" w:eastAsia="Malgun Gothic" w:hAnsi="Times New Roman" w:cs="Times New Roman"/>
          <w:bCs/>
          <w:sz w:val="20"/>
          <w:szCs w:val="20"/>
          <w:lang w:eastAsia="ko-KR"/>
        </w:rPr>
        <w:instrText xml:space="preserve"> ADDIN ZOTERO_ITEM CSL_CITATION {"citationID":"1aHbh6nM","properties":{"formattedCitation":"\\super 3\\nosupersub{}","plainCitation":"3","noteIndex":0},"citationItems":[{"id":223,"uris":["http://zotero.org/users/5867530/items/MULUTKCA"],"uri":["http://zotero.org/users/5867530/items/MULUTKCA"],"itemData":{"id":223,"type":"article-journal","container-title":"Food Policy","page":"101874","title":"Global food waste across the income spectrum: Implications for food prices, production and resource use","author":[{"family":"Barrera","given":"Emiliano Lopez"},{"family":"Hertel","given":"Thomas"}],"issued":{"date-parts":[["2020"]]}}}],"schema":"https://github.com/citation-style-language/schema/raw/master/csl-citation.json"} </w:instrText>
      </w:r>
      <w:r w:rsidRPr="00E05A85">
        <w:rPr>
          <w:rFonts w:ascii="Times New Roman" w:eastAsia="Malgun Gothic" w:hAnsi="Times New Roman" w:cs="Times New Roman"/>
          <w:bCs/>
          <w:sz w:val="20"/>
          <w:szCs w:val="20"/>
          <w:lang w:eastAsia="ko-KR"/>
        </w:rPr>
        <w:fldChar w:fldCharType="separate"/>
      </w:r>
      <w:r w:rsidR="0023119E" w:rsidRPr="0023119E">
        <w:rPr>
          <w:rFonts w:ascii="Times New Roman" w:hAnsi="Times New Roman" w:cs="Times New Roman"/>
          <w:sz w:val="20"/>
          <w:szCs w:val="24"/>
          <w:vertAlign w:val="superscript"/>
        </w:rPr>
        <w:t>3</w:t>
      </w:r>
      <w:r w:rsidRPr="00E05A85">
        <w:rPr>
          <w:rFonts w:ascii="Times New Roman" w:eastAsia="Malgun Gothic" w:hAnsi="Times New Roman" w:cs="Times New Roman"/>
          <w:bCs/>
          <w:sz w:val="20"/>
          <w:szCs w:val="20"/>
          <w:lang w:eastAsia="ko-KR"/>
        </w:rPr>
        <w:fldChar w:fldCharType="end"/>
      </w:r>
      <w:r w:rsidRPr="00E05A85">
        <w:rPr>
          <w:rFonts w:ascii="Times New Roman" w:eastAsia="Malgun Gothic" w:hAnsi="Times New Roman" w:cs="Times New Roman"/>
          <w:bCs/>
          <w:sz w:val="20"/>
          <w:szCs w:val="20"/>
          <w:lang w:eastAsia="ko-KR"/>
        </w:rPr>
        <w:t>.</w:t>
      </w:r>
    </w:p>
    <w:p w14:paraId="5697023D" w14:textId="738745EB" w:rsidR="00D3605A" w:rsidRPr="00D3605A" w:rsidRDefault="00D3605A" w:rsidP="00382175">
      <w:pPr>
        <w:spacing w:after="0" w:line="240" w:lineRule="auto"/>
        <w:jc w:val="both"/>
        <w:rPr>
          <w:rFonts w:ascii="Times New Roman" w:eastAsia="Malgun Gothic" w:hAnsi="Times New Roman" w:cs="Times New Roman"/>
          <w:bCs/>
          <w:sz w:val="24"/>
          <w:szCs w:val="24"/>
          <w:lang w:eastAsia="ko-KR"/>
        </w:rPr>
      </w:pPr>
      <w:r w:rsidRPr="00D3605A">
        <w:rPr>
          <w:rFonts w:ascii="Times New Roman" w:eastAsia="Malgun Gothic" w:hAnsi="Times New Roman" w:cs="Times New Roman"/>
          <w:color w:val="000000"/>
          <w:sz w:val="20"/>
          <w:szCs w:val="14"/>
          <w:lang w:eastAsia="ko-KR"/>
        </w:rPr>
        <w:br w:type="page"/>
      </w:r>
    </w:p>
    <w:p w14:paraId="7A3DC76E" w14:textId="77777777" w:rsidR="00D3605A" w:rsidRPr="00E05A85" w:rsidRDefault="00D3605A" w:rsidP="00D3605A">
      <w:pPr>
        <w:keepNext/>
        <w:spacing w:after="0" w:line="360" w:lineRule="auto"/>
        <w:jc w:val="center"/>
        <w:rPr>
          <w:rFonts w:ascii="Times New Roman" w:eastAsia="Malgun Gothic" w:hAnsi="Times New Roman" w:cs="Times New Roman"/>
          <w:color w:val="000000"/>
          <w:sz w:val="20"/>
          <w:szCs w:val="20"/>
          <w:lang w:eastAsia="ko-KR"/>
        </w:rPr>
      </w:pPr>
      <w:r w:rsidRPr="00E05A85">
        <w:rPr>
          <w:rFonts w:ascii="Calibri" w:eastAsia="Times New Roman" w:hAnsi="Calibri" w:cs="Times New Roman"/>
          <w:noProof/>
          <w:sz w:val="20"/>
          <w:szCs w:val="20"/>
        </w:rPr>
        <w:lastRenderedPageBreak/>
        <w:drawing>
          <wp:inline distT="0" distB="0" distL="0" distR="0" wp14:anchorId="1F288BBF" wp14:editId="7185CF76">
            <wp:extent cx="5402057" cy="7863840"/>
            <wp:effectExtent l="0" t="0" r="0" b="381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848"/>
                    <a:stretch/>
                  </pic:blipFill>
                  <pic:spPr bwMode="auto">
                    <a:xfrm>
                      <a:off x="0" y="0"/>
                      <a:ext cx="5402057" cy="7863840"/>
                    </a:xfrm>
                    <a:prstGeom prst="rect">
                      <a:avLst/>
                    </a:prstGeom>
                    <a:noFill/>
                    <a:ln>
                      <a:noFill/>
                    </a:ln>
                    <a:extLst>
                      <a:ext uri="{53640926-AAD7-44D8-BBD7-CCE9431645EC}">
                        <a14:shadowObscured xmlns:a14="http://schemas.microsoft.com/office/drawing/2010/main"/>
                      </a:ext>
                    </a:extLst>
                  </pic:spPr>
                </pic:pic>
              </a:graphicData>
            </a:graphic>
          </wp:inline>
        </w:drawing>
      </w:r>
    </w:p>
    <w:p w14:paraId="2F18CF08" w14:textId="6A3594CE" w:rsidR="00D3605A" w:rsidRPr="00E05A85" w:rsidRDefault="00D3605A" w:rsidP="00382175">
      <w:pPr>
        <w:pStyle w:val="Descripcin"/>
        <w:rPr>
          <w:rFonts w:ascii="Times New Roman" w:eastAsia="Malgun Gothic" w:hAnsi="Times New Roman" w:cs="Times New Roman"/>
          <w:b/>
          <w:i w:val="0"/>
          <w:iCs w:val="0"/>
          <w:color w:val="auto"/>
          <w:sz w:val="20"/>
          <w:szCs w:val="20"/>
          <w:lang w:eastAsia="ko-KR"/>
        </w:rPr>
      </w:pPr>
      <w:bookmarkStart w:id="33" w:name="_Ref75798029"/>
      <w:bookmarkStart w:id="34" w:name="_Toc82619230"/>
      <w:bookmarkStart w:id="35" w:name="_Toc97739385"/>
      <w:r w:rsidRPr="00E05A85">
        <w:rPr>
          <w:rFonts w:ascii="Times New Roman" w:eastAsia="Malgun Gothic" w:hAnsi="Times New Roman" w:cs="Times New Roman"/>
          <w:b/>
          <w:i w:val="0"/>
          <w:iCs w:val="0"/>
          <w:color w:val="auto"/>
          <w:sz w:val="20"/>
          <w:szCs w:val="20"/>
          <w:lang w:eastAsia="ko-KR"/>
        </w:rPr>
        <w:t xml:space="preserve">Figure </w:t>
      </w:r>
      <w:bookmarkStart w:id="36" w:name="_Hlk75797448"/>
      <w:bookmarkEnd w:id="33"/>
      <w:r w:rsidR="00670F02" w:rsidRPr="00E05A85">
        <w:rPr>
          <w:rFonts w:ascii="Times New Roman" w:eastAsia="Malgun Gothic" w:hAnsi="Times New Roman" w:cs="Times New Roman"/>
          <w:b/>
          <w:i w:val="0"/>
          <w:iCs w:val="0"/>
          <w:color w:val="auto"/>
          <w:sz w:val="20"/>
          <w:szCs w:val="20"/>
          <w:lang w:eastAsia="ko-KR"/>
        </w:rPr>
        <w:t>S</w:t>
      </w:r>
      <w:r w:rsidR="00382175" w:rsidRPr="00E05A85">
        <w:rPr>
          <w:rFonts w:ascii="Times New Roman" w:eastAsia="Malgun Gothic" w:hAnsi="Times New Roman" w:cs="Times New Roman"/>
          <w:b/>
          <w:i w:val="0"/>
          <w:iCs w:val="0"/>
          <w:color w:val="auto"/>
          <w:sz w:val="20"/>
          <w:szCs w:val="20"/>
          <w:lang w:eastAsia="ko-KR"/>
        </w:rPr>
        <w:fldChar w:fldCharType="begin"/>
      </w:r>
      <w:r w:rsidR="00382175" w:rsidRPr="00E05A85">
        <w:rPr>
          <w:rFonts w:ascii="Times New Roman" w:eastAsia="Malgun Gothic" w:hAnsi="Times New Roman" w:cs="Times New Roman"/>
          <w:b/>
          <w:i w:val="0"/>
          <w:iCs w:val="0"/>
          <w:color w:val="auto"/>
          <w:sz w:val="20"/>
          <w:szCs w:val="20"/>
          <w:lang w:eastAsia="ko-KR"/>
        </w:rPr>
        <w:instrText xml:space="preserve"> SEQ Figure_S \* ARABIC </w:instrText>
      </w:r>
      <w:r w:rsidR="00382175" w:rsidRPr="00E05A85">
        <w:rPr>
          <w:rFonts w:ascii="Times New Roman" w:eastAsia="Malgun Gothic" w:hAnsi="Times New Roman" w:cs="Times New Roman"/>
          <w:b/>
          <w:i w:val="0"/>
          <w:iCs w:val="0"/>
          <w:color w:val="auto"/>
          <w:sz w:val="20"/>
          <w:szCs w:val="20"/>
          <w:lang w:eastAsia="ko-KR"/>
        </w:rPr>
        <w:fldChar w:fldCharType="separate"/>
      </w:r>
      <w:r w:rsidR="00473FA6" w:rsidRPr="00E05A85">
        <w:rPr>
          <w:rFonts w:ascii="Times New Roman" w:eastAsia="Malgun Gothic" w:hAnsi="Times New Roman" w:cs="Times New Roman"/>
          <w:b/>
          <w:i w:val="0"/>
          <w:iCs w:val="0"/>
          <w:noProof/>
          <w:color w:val="auto"/>
          <w:sz w:val="20"/>
          <w:szCs w:val="20"/>
          <w:lang w:eastAsia="ko-KR"/>
        </w:rPr>
        <w:t>8</w:t>
      </w:r>
      <w:r w:rsidR="00382175" w:rsidRPr="00E05A85">
        <w:rPr>
          <w:rFonts w:ascii="Times New Roman" w:eastAsia="Malgun Gothic" w:hAnsi="Times New Roman" w:cs="Times New Roman"/>
          <w:b/>
          <w:i w:val="0"/>
          <w:iCs w:val="0"/>
          <w:color w:val="auto"/>
          <w:sz w:val="20"/>
          <w:szCs w:val="20"/>
          <w:lang w:eastAsia="ko-KR"/>
        </w:rPr>
        <w:fldChar w:fldCharType="end"/>
      </w:r>
      <w:r w:rsidR="00382175" w:rsidRPr="00E05A85">
        <w:rPr>
          <w:rFonts w:ascii="Times New Roman" w:eastAsia="Malgun Gothic" w:hAnsi="Times New Roman" w:cs="Times New Roman"/>
          <w:b/>
          <w:i w:val="0"/>
          <w:iCs w:val="0"/>
          <w:color w:val="auto"/>
          <w:sz w:val="20"/>
          <w:szCs w:val="20"/>
          <w:lang w:eastAsia="ko-KR"/>
        </w:rPr>
        <w:t>.</w:t>
      </w:r>
      <w:r w:rsidRPr="00E05A85">
        <w:rPr>
          <w:rFonts w:ascii="Times New Roman" w:eastAsia="Malgun Gothic" w:hAnsi="Times New Roman" w:cs="Times New Roman"/>
          <w:b/>
          <w:i w:val="0"/>
          <w:iCs w:val="0"/>
          <w:color w:val="auto"/>
          <w:sz w:val="20"/>
          <w:szCs w:val="20"/>
          <w:lang w:eastAsia="ko-KR"/>
        </w:rPr>
        <w:t xml:space="preserve"> BMI across cohorts and over time at different income levels for adult women.</w:t>
      </w:r>
      <w:bookmarkEnd w:id="34"/>
      <w:bookmarkEnd w:id="35"/>
      <w:bookmarkEnd w:id="36"/>
    </w:p>
    <w:p w14:paraId="65CB3A59" w14:textId="77777777" w:rsidR="00D3605A" w:rsidRPr="00E05A85" w:rsidRDefault="00D3605A" w:rsidP="00D3605A">
      <w:pPr>
        <w:spacing w:after="0" w:line="360" w:lineRule="auto"/>
        <w:jc w:val="center"/>
        <w:rPr>
          <w:rFonts w:ascii="Times New Roman" w:eastAsia="Malgun Gothic" w:hAnsi="Times New Roman" w:cs="Times New Roman"/>
          <w:color w:val="000000"/>
          <w:sz w:val="20"/>
          <w:szCs w:val="20"/>
          <w:lang w:eastAsia="ko-KR"/>
        </w:rPr>
      </w:pPr>
      <w:r w:rsidRPr="00D3605A">
        <w:rPr>
          <w:rFonts w:ascii="Calibri" w:eastAsia="Times New Roman" w:hAnsi="Calibri" w:cs="Times New Roman"/>
          <w:noProof/>
          <w:sz w:val="24"/>
          <w:szCs w:val="24"/>
        </w:rPr>
        <w:drawing>
          <wp:inline distT="0" distB="0" distL="0" distR="0" wp14:anchorId="3574E119" wp14:editId="5FEC400A">
            <wp:extent cx="5506571" cy="7863840"/>
            <wp:effectExtent l="0" t="0" r="0" b="381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06571" cy="7863840"/>
                    </a:xfrm>
                    <a:prstGeom prst="rect">
                      <a:avLst/>
                    </a:prstGeom>
                    <a:noFill/>
                    <a:ln>
                      <a:noFill/>
                    </a:ln>
                  </pic:spPr>
                </pic:pic>
              </a:graphicData>
            </a:graphic>
          </wp:inline>
        </w:drawing>
      </w:r>
    </w:p>
    <w:p w14:paraId="2DE923BC" w14:textId="62386DAE" w:rsidR="00D3605A" w:rsidRPr="00E05A85" w:rsidRDefault="00D3605A" w:rsidP="00382175">
      <w:pPr>
        <w:pStyle w:val="Descripcin"/>
        <w:rPr>
          <w:rFonts w:ascii="Times New Roman" w:eastAsia="Malgun Gothic" w:hAnsi="Times New Roman" w:cs="Times New Roman"/>
          <w:b/>
          <w:i w:val="0"/>
          <w:iCs w:val="0"/>
          <w:color w:val="auto"/>
          <w:sz w:val="20"/>
          <w:szCs w:val="20"/>
          <w:lang w:eastAsia="ko-KR"/>
        </w:rPr>
      </w:pPr>
      <w:bookmarkStart w:id="37" w:name="_Ref75798062"/>
      <w:bookmarkStart w:id="38" w:name="_Toc82619231"/>
      <w:bookmarkStart w:id="39" w:name="_Toc97739386"/>
      <w:r w:rsidRPr="00E05A85">
        <w:rPr>
          <w:rFonts w:ascii="Times New Roman" w:eastAsia="Malgun Gothic" w:hAnsi="Times New Roman" w:cs="Times New Roman"/>
          <w:b/>
          <w:i w:val="0"/>
          <w:iCs w:val="0"/>
          <w:color w:val="auto"/>
          <w:sz w:val="20"/>
          <w:szCs w:val="20"/>
          <w:lang w:eastAsia="ko-KR"/>
        </w:rPr>
        <w:t xml:space="preserve">Figure </w:t>
      </w:r>
      <w:bookmarkEnd w:id="37"/>
      <w:r w:rsidR="00670F02" w:rsidRPr="00E05A85">
        <w:rPr>
          <w:rFonts w:ascii="Times New Roman" w:eastAsia="Malgun Gothic" w:hAnsi="Times New Roman" w:cs="Times New Roman"/>
          <w:b/>
          <w:i w:val="0"/>
          <w:iCs w:val="0"/>
          <w:color w:val="auto"/>
          <w:sz w:val="20"/>
          <w:szCs w:val="20"/>
          <w:lang w:eastAsia="ko-KR"/>
        </w:rPr>
        <w:t>S</w:t>
      </w:r>
      <w:r w:rsidR="00382175" w:rsidRPr="00E05A85">
        <w:rPr>
          <w:rFonts w:ascii="Times New Roman" w:eastAsia="Malgun Gothic" w:hAnsi="Times New Roman" w:cs="Times New Roman"/>
          <w:b/>
          <w:i w:val="0"/>
          <w:iCs w:val="0"/>
          <w:color w:val="auto"/>
          <w:sz w:val="20"/>
          <w:szCs w:val="20"/>
          <w:lang w:eastAsia="ko-KR"/>
        </w:rPr>
        <w:fldChar w:fldCharType="begin"/>
      </w:r>
      <w:r w:rsidR="00382175" w:rsidRPr="00E05A85">
        <w:rPr>
          <w:rFonts w:ascii="Times New Roman" w:eastAsia="Malgun Gothic" w:hAnsi="Times New Roman" w:cs="Times New Roman"/>
          <w:b/>
          <w:i w:val="0"/>
          <w:iCs w:val="0"/>
          <w:color w:val="auto"/>
          <w:sz w:val="20"/>
          <w:szCs w:val="20"/>
          <w:lang w:eastAsia="ko-KR"/>
        </w:rPr>
        <w:instrText xml:space="preserve"> SEQ Figure_S \* ARABIC </w:instrText>
      </w:r>
      <w:r w:rsidR="00382175" w:rsidRPr="00E05A85">
        <w:rPr>
          <w:rFonts w:ascii="Times New Roman" w:eastAsia="Malgun Gothic" w:hAnsi="Times New Roman" w:cs="Times New Roman"/>
          <w:b/>
          <w:i w:val="0"/>
          <w:iCs w:val="0"/>
          <w:color w:val="auto"/>
          <w:sz w:val="20"/>
          <w:szCs w:val="20"/>
          <w:lang w:eastAsia="ko-KR"/>
        </w:rPr>
        <w:fldChar w:fldCharType="separate"/>
      </w:r>
      <w:r w:rsidR="00473FA6" w:rsidRPr="00E05A85">
        <w:rPr>
          <w:rFonts w:ascii="Times New Roman" w:eastAsia="Malgun Gothic" w:hAnsi="Times New Roman" w:cs="Times New Roman"/>
          <w:b/>
          <w:i w:val="0"/>
          <w:iCs w:val="0"/>
          <w:noProof/>
          <w:color w:val="auto"/>
          <w:sz w:val="20"/>
          <w:szCs w:val="20"/>
          <w:lang w:eastAsia="ko-KR"/>
        </w:rPr>
        <w:t>9</w:t>
      </w:r>
      <w:r w:rsidR="00382175" w:rsidRPr="00E05A85">
        <w:rPr>
          <w:rFonts w:ascii="Times New Roman" w:eastAsia="Malgun Gothic" w:hAnsi="Times New Roman" w:cs="Times New Roman"/>
          <w:b/>
          <w:i w:val="0"/>
          <w:iCs w:val="0"/>
          <w:color w:val="auto"/>
          <w:sz w:val="20"/>
          <w:szCs w:val="20"/>
          <w:lang w:eastAsia="ko-KR"/>
        </w:rPr>
        <w:fldChar w:fldCharType="end"/>
      </w:r>
      <w:r w:rsidRPr="00E05A85">
        <w:rPr>
          <w:rFonts w:ascii="Times New Roman" w:eastAsia="Malgun Gothic" w:hAnsi="Times New Roman" w:cs="Times New Roman"/>
          <w:b/>
          <w:i w:val="0"/>
          <w:iCs w:val="0"/>
          <w:color w:val="auto"/>
          <w:sz w:val="20"/>
          <w:szCs w:val="20"/>
          <w:lang w:eastAsia="ko-KR"/>
        </w:rPr>
        <w:t>. BMI across cohorts and over time at different income levels fo</w:t>
      </w:r>
      <w:r w:rsidR="00382175" w:rsidRPr="00E05A85">
        <w:rPr>
          <w:rFonts w:ascii="Times New Roman" w:eastAsia="Malgun Gothic" w:hAnsi="Times New Roman" w:cs="Times New Roman"/>
          <w:b/>
          <w:i w:val="0"/>
          <w:iCs w:val="0"/>
          <w:color w:val="auto"/>
          <w:sz w:val="20"/>
          <w:szCs w:val="20"/>
          <w:lang w:eastAsia="ko-KR"/>
        </w:rPr>
        <w:t>r</w:t>
      </w:r>
      <w:r w:rsidRPr="00E05A85">
        <w:rPr>
          <w:rFonts w:ascii="Times New Roman" w:eastAsia="Malgun Gothic" w:hAnsi="Times New Roman" w:cs="Times New Roman"/>
          <w:b/>
          <w:i w:val="0"/>
          <w:iCs w:val="0"/>
          <w:color w:val="auto"/>
          <w:sz w:val="20"/>
          <w:szCs w:val="20"/>
          <w:lang w:eastAsia="ko-KR"/>
        </w:rPr>
        <w:t xml:space="preserve"> adult men.</w:t>
      </w:r>
      <w:bookmarkEnd w:id="38"/>
      <w:bookmarkEnd w:id="39"/>
    </w:p>
    <w:p w14:paraId="5CD96B1E" w14:textId="77777777" w:rsidR="00D3605A" w:rsidRPr="00E05A85" w:rsidRDefault="00D3605A" w:rsidP="00D3605A">
      <w:pPr>
        <w:keepNext/>
        <w:spacing w:after="0" w:line="240" w:lineRule="auto"/>
        <w:jc w:val="center"/>
        <w:rPr>
          <w:rFonts w:ascii="Times New Roman" w:eastAsia="Malgun Gothic" w:hAnsi="Times New Roman" w:cs="Times New Roman"/>
          <w:bCs/>
          <w:sz w:val="20"/>
          <w:szCs w:val="20"/>
          <w:lang w:eastAsia="ko-KR"/>
        </w:rPr>
      </w:pPr>
      <w:r w:rsidRPr="00E05A85">
        <w:rPr>
          <w:rFonts w:ascii="Calibri" w:eastAsia="Times New Roman" w:hAnsi="Calibri" w:cs="Times New Roman"/>
          <w:noProof/>
          <w:sz w:val="20"/>
          <w:szCs w:val="20"/>
        </w:rPr>
        <w:drawing>
          <wp:inline distT="0" distB="0" distL="0" distR="0" wp14:anchorId="0561B62C" wp14:editId="1096771A">
            <wp:extent cx="5943600" cy="66611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r="4487" b="1184"/>
                    <a:stretch/>
                  </pic:blipFill>
                  <pic:spPr bwMode="auto">
                    <a:xfrm>
                      <a:off x="0" y="0"/>
                      <a:ext cx="5943600" cy="6661150"/>
                    </a:xfrm>
                    <a:prstGeom prst="rect">
                      <a:avLst/>
                    </a:prstGeom>
                    <a:noFill/>
                    <a:ln>
                      <a:noFill/>
                    </a:ln>
                    <a:extLst>
                      <a:ext uri="{53640926-AAD7-44D8-BBD7-CCE9431645EC}">
                        <a14:shadowObscured xmlns:a14="http://schemas.microsoft.com/office/drawing/2010/main"/>
                      </a:ext>
                    </a:extLst>
                  </pic:spPr>
                </pic:pic>
              </a:graphicData>
            </a:graphic>
          </wp:inline>
        </w:drawing>
      </w:r>
      <w:bookmarkStart w:id="40" w:name="_Ref75797656"/>
    </w:p>
    <w:p w14:paraId="465FB69C" w14:textId="00942961" w:rsidR="00D3605A" w:rsidRPr="00E05A85" w:rsidRDefault="00D3605A" w:rsidP="00382175">
      <w:pPr>
        <w:pStyle w:val="Descripcin"/>
        <w:rPr>
          <w:rFonts w:ascii="Times New Roman" w:eastAsia="Malgun Gothic" w:hAnsi="Times New Roman" w:cs="Times New Roman"/>
          <w:bCs/>
          <w:i w:val="0"/>
          <w:iCs w:val="0"/>
          <w:color w:val="auto"/>
          <w:sz w:val="20"/>
          <w:szCs w:val="20"/>
          <w:lang w:eastAsia="ko-KR"/>
        </w:rPr>
      </w:pPr>
      <w:bookmarkStart w:id="41" w:name="_Toc82619232"/>
      <w:bookmarkStart w:id="42" w:name="_Toc97739387"/>
      <w:r w:rsidRPr="00E05A85">
        <w:rPr>
          <w:rFonts w:ascii="Times New Roman" w:eastAsia="Malgun Gothic" w:hAnsi="Times New Roman" w:cs="Times New Roman"/>
          <w:b/>
          <w:i w:val="0"/>
          <w:iCs w:val="0"/>
          <w:color w:val="auto"/>
          <w:sz w:val="20"/>
          <w:szCs w:val="20"/>
          <w:lang w:eastAsia="ko-KR"/>
        </w:rPr>
        <w:t xml:space="preserve">Figure </w:t>
      </w:r>
      <w:bookmarkEnd w:id="40"/>
      <w:r w:rsidR="00670F02" w:rsidRPr="00E05A85">
        <w:rPr>
          <w:rFonts w:ascii="Times New Roman" w:eastAsia="Malgun Gothic" w:hAnsi="Times New Roman" w:cs="Times New Roman"/>
          <w:b/>
          <w:i w:val="0"/>
          <w:iCs w:val="0"/>
          <w:color w:val="auto"/>
          <w:sz w:val="20"/>
          <w:szCs w:val="20"/>
          <w:lang w:eastAsia="ko-KR"/>
        </w:rPr>
        <w:t>S</w:t>
      </w:r>
      <w:r w:rsidR="00382175" w:rsidRPr="00E05A85">
        <w:rPr>
          <w:rFonts w:ascii="Times New Roman" w:eastAsia="Malgun Gothic" w:hAnsi="Times New Roman" w:cs="Times New Roman"/>
          <w:b/>
          <w:i w:val="0"/>
          <w:iCs w:val="0"/>
          <w:color w:val="auto"/>
          <w:sz w:val="20"/>
          <w:szCs w:val="20"/>
          <w:lang w:eastAsia="ko-KR"/>
        </w:rPr>
        <w:fldChar w:fldCharType="begin"/>
      </w:r>
      <w:r w:rsidR="00382175" w:rsidRPr="00E05A85">
        <w:rPr>
          <w:rFonts w:ascii="Times New Roman" w:eastAsia="Malgun Gothic" w:hAnsi="Times New Roman" w:cs="Times New Roman"/>
          <w:b/>
          <w:i w:val="0"/>
          <w:iCs w:val="0"/>
          <w:color w:val="auto"/>
          <w:sz w:val="20"/>
          <w:szCs w:val="20"/>
          <w:lang w:eastAsia="ko-KR"/>
        </w:rPr>
        <w:instrText xml:space="preserve"> SEQ Figure_S \* ARABIC </w:instrText>
      </w:r>
      <w:r w:rsidR="00382175" w:rsidRPr="00E05A85">
        <w:rPr>
          <w:rFonts w:ascii="Times New Roman" w:eastAsia="Malgun Gothic" w:hAnsi="Times New Roman" w:cs="Times New Roman"/>
          <w:b/>
          <w:i w:val="0"/>
          <w:iCs w:val="0"/>
          <w:color w:val="auto"/>
          <w:sz w:val="20"/>
          <w:szCs w:val="20"/>
          <w:lang w:eastAsia="ko-KR"/>
        </w:rPr>
        <w:fldChar w:fldCharType="separate"/>
      </w:r>
      <w:r w:rsidR="00473FA6" w:rsidRPr="00E05A85">
        <w:rPr>
          <w:rFonts w:ascii="Times New Roman" w:eastAsia="Malgun Gothic" w:hAnsi="Times New Roman" w:cs="Times New Roman"/>
          <w:b/>
          <w:i w:val="0"/>
          <w:iCs w:val="0"/>
          <w:noProof/>
          <w:color w:val="auto"/>
          <w:sz w:val="20"/>
          <w:szCs w:val="20"/>
          <w:lang w:eastAsia="ko-KR"/>
        </w:rPr>
        <w:t>10</w:t>
      </w:r>
      <w:r w:rsidR="00382175" w:rsidRPr="00E05A85">
        <w:rPr>
          <w:rFonts w:ascii="Times New Roman" w:eastAsia="Malgun Gothic" w:hAnsi="Times New Roman" w:cs="Times New Roman"/>
          <w:b/>
          <w:i w:val="0"/>
          <w:iCs w:val="0"/>
          <w:color w:val="auto"/>
          <w:sz w:val="20"/>
          <w:szCs w:val="20"/>
          <w:lang w:eastAsia="ko-KR"/>
        </w:rPr>
        <w:fldChar w:fldCharType="end"/>
      </w:r>
      <w:r w:rsidR="00382175" w:rsidRPr="00E05A85">
        <w:rPr>
          <w:rFonts w:ascii="Times New Roman" w:eastAsia="Malgun Gothic" w:hAnsi="Times New Roman" w:cs="Times New Roman"/>
          <w:b/>
          <w:i w:val="0"/>
          <w:iCs w:val="0"/>
          <w:color w:val="auto"/>
          <w:sz w:val="20"/>
          <w:szCs w:val="20"/>
          <w:lang w:eastAsia="ko-KR"/>
        </w:rPr>
        <w:t>.</w:t>
      </w:r>
      <w:r w:rsidRPr="00E05A85">
        <w:rPr>
          <w:rFonts w:ascii="Times New Roman" w:eastAsia="Malgun Gothic" w:hAnsi="Times New Roman" w:cs="Times New Roman"/>
          <w:b/>
          <w:i w:val="0"/>
          <w:iCs w:val="0"/>
          <w:color w:val="auto"/>
          <w:sz w:val="20"/>
          <w:szCs w:val="20"/>
          <w:lang w:eastAsia="ko-KR"/>
        </w:rPr>
        <w:t xml:space="preserve"> Projections of the age-specific average adult BMI.</w:t>
      </w:r>
      <w:bookmarkEnd w:id="41"/>
      <w:bookmarkEnd w:id="42"/>
    </w:p>
    <w:p w14:paraId="60ED621A" w14:textId="73705424" w:rsidR="00D3605A" w:rsidRDefault="00D3605A" w:rsidP="00D3605A">
      <w:pPr>
        <w:spacing w:after="0" w:line="240" w:lineRule="auto"/>
        <w:jc w:val="both"/>
        <w:rPr>
          <w:rFonts w:ascii="Times New Roman" w:eastAsia="Malgun Gothic" w:hAnsi="Times New Roman" w:cs="Times New Roman"/>
          <w:bCs/>
          <w:sz w:val="24"/>
          <w:szCs w:val="18"/>
          <w:lang w:eastAsia="ko-KR"/>
        </w:rPr>
      </w:pPr>
      <w:r w:rsidRPr="00D3605A">
        <w:rPr>
          <w:rFonts w:ascii="Times New Roman" w:eastAsia="Malgun Gothic" w:hAnsi="Times New Roman" w:cs="Times New Roman"/>
          <w:bCs/>
          <w:sz w:val="24"/>
          <w:szCs w:val="18"/>
          <w:lang w:eastAsia="ko-KR"/>
        </w:rPr>
        <w:br w:type="page"/>
      </w:r>
    </w:p>
    <w:p w14:paraId="77EF86F5" w14:textId="24955C64" w:rsidR="00730BDC" w:rsidRPr="00E05A85" w:rsidRDefault="00730BDC" w:rsidP="00E05A85">
      <w:pPr>
        <w:keepNext/>
        <w:spacing w:before="240" w:after="60" w:line="240" w:lineRule="auto"/>
        <w:outlineLvl w:val="0"/>
        <w:rPr>
          <w:rFonts w:ascii="Times New Roman" w:eastAsia="Times New Roman" w:hAnsi="Times New Roman" w:cs="Times New Roman"/>
          <w:b/>
          <w:bCs/>
          <w:kern w:val="32"/>
          <w:sz w:val="24"/>
          <w:szCs w:val="24"/>
        </w:rPr>
      </w:pPr>
      <w:bookmarkStart w:id="43" w:name="_Toc75803828"/>
      <w:r w:rsidRPr="00E05A85">
        <w:rPr>
          <w:rFonts w:ascii="Times New Roman" w:eastAsia="Times New Roman" w:hAnsi="Times New Roman" w:cs="Times New Roman"/>
          <w:b/>
          <w:bCs/>
          <w:kern w:val="32"/>
          <w:sz w:val="24"/>
          <w:szCs w:val="24"/>
        </w:rPr>
        <w:t>The Disease Burden Attributable to Weight-Related Risk Factors: Population Attributable Fractions (PAFs)</w:t>
      </w:r>
      <w:bookmarkEnd w:id="43"/>
    </w:p>
    <w:p w14:paraId="3B1962BC" w14:textId="08EAE35C" w:rsidR="00730BDC" w:rsidRPr="00E05A85" w:rsidRDefault="00730BDC" w:rsidP="00E05A85">
      <w:pPr>
        <w:spacing w:after="0" w:line="240" w:lineRule="auto"/>
        <w:jc w:val="both"/>
        <w:rPr>
          <w:rFonts w:ascii="Times New Roman" w:eastAsia="Malgun Gothic" w:hAnsi="Times New Roman" w:cs="Times New Roman"/>
          <w:iCs/>
          <w:sz w:val="24"/>
          <w:szCs w:val="24"/>
          <w:lang w:eastAsia="ko-KR"/>
        </w:rPr>
      </w:pPr>
      <w:r w:rsidRPr="00E05A85">
        <w:rPr>
          <w:rFonts w:ascii="Times New Roman" w:eastAsia="Malgun Gothic" w:hAnsi="Times New Roman" w:cs="Times New Roman"/>
          <w:iCs/>
          <w:sz w:val="24"/>
          <w:szCs w:val="24"/>
          <w:lang w:eastAsia="ko-KR"/>
        </w:rPr>
        <w:t>The projected growth in average adult BMI (</w:t>
      </w:r>
      <w:r w:rsidRPr="00E05A85">
        <w:rPr>
          <w:rFonts w:ascii="Times New Roman" w:eastAsia="Malgun Gothic" w:hAnsi="Times New Roman" w:cs="Times New Roman"/>
          <w:b/>
          <w:bCs/>
          <w:iCs/>
          <w:sz w:val="24"/>
          <w:szCs w:val="24"/>
          <w:lang w:eastAsia="ko-KR"/>
        </w:rPr>
        <w:t>Figure S4</w:t>
      </w:r>
      <w:r w:rsidRPr="00E05A85">
        <w:rPr>
          <w:rFonts w:ascii="Times New Roman" w:eastAsia="Malgun Gothic" w:hAnsi="Times New Roman" w:cs="Times New Roman"/>
          <w:iCs/>
          <w:sz w:val="24"/>
          <w:szCs w:val="24"/>
          <w:lang w:eastAsia="ko-KR"/>
        </w:rPr>
        <w:t xml:space="preserve">) will boost already worrisome trends in adult obesity. Additionally, also by reaching higher levels of BMI at younger ages </w:t>
      </w:r>
      <w:r w:rsidR="00332FE2" w:rsidRPr="00E05A85">
        <w:rPr>
          <w:rFonts w:ascii="Times New Roman" w:eastAsia="Malgun Gothic" w:hAnsi="Times New Roman" w:cs="Times New Roman"/>
          <w:iCs/>
          <w:sz w:val="24"/>
          <w:szCs w:val="24"/>
          <w:lang w:eastAsia="ko-KR"/>
        </w:rPr>
        <w:t>(</w:t>
      </w:r>
      <w:r w:rsidRPr="00E05A85">
        <w:rPr>
          <w:rFonts w:ascii="Times New Roman" w:hAnsi="Times New Roman" w:cs="Times New Roman"/>
          <w:b/>
          <w:bCs/>
          <w:iCs/>
          <w:sz w:val="24"/>
          <w:szCs w:val="24"/>
          <w:lang w:eastAsia="ko-KR"/>
        </w:rPr>
        <w:t xml:space="preserve">Figure </w:t>
      </w:r>
      <w:r w:rsidR="00332FE2" w:rsidRPr="00E05A85">
        <w:rPr>
          <w:rFonts w:ascii="Times New Roman" w:hAnsi="Times New Roman" w:cs="Times New Roman"/>
          <w:b/>
          <w:bCs/>
          <w:iCs/>
          <w:sz w:val="24"/>
          <w:szCs w:val="24"/>
          <w:lang w:eastAsia="ko-KR"/>
        </w:rPr>
        <w:t>2</w:t>
      </w:r>
      <w:r w:rsidRPr="00E05A85">
        <w:rPr>
          <w:rFonts w:ascii="Times New Roman" w:hAnsi="Times New Roman" w:cs="Times New Roman"/>
          <w:b/>
          <w:bCs/>
          <w:iCs/>
          <w:sz w:val="24"/>
          <w:szCs w:val="24"/>
          <w:lang w:eastAsia="ko-KR"/>
        </w:rPr>
        <w:t>a-c and Figure</w:t>
      </w:r>
      <w:r w:rsidR="00332FE2" w:rsidRPr="00E05A85">
        <w:rPr>
          <w:rFonts w:ascii="Times New Roman" w:hAnsi="Times New Roman" w:cs="Times New Roman"/>
          <w:b/>
          <w:bCs/>
          <w:iCs/>
          <w:sz w:val="24"/>
          <w:szCs w:val="24"/>
          <w:lang w:eastAsia="ko-KR"/>
        </w:rPr>
        <w:t> </w:t>
      </w:r>
      <w:r w:rsidRPr="00E05A85">
        <w:rPr>
          <w:rFonts w:ascii="Times New Roman" w:hAnsi="Times New Roman" w:cs="Times New Roman"/>
          <w:b/>
          <w:bCs/>
          <w:iCs/>
          <w:sz w:val="24"/>
          <w:szCs w:val="24"/>
          <w:lang w:eastAsia="ko-KR"/>
        </w:rPr>
        <w:t>S10</w:t>
      </w:r>
      <w:r w:rsidRPr="00E05A85">
        <w:rPr>
          <w:rFonts w:ascii="Times New Roman" w:hAnsi="Times New Roman" w:cs="Times New Roman"/>
          <w:iCs/>
          <w:sz w:val="24"/>
          <w:szCs w:val="24"/>
          <w:lang w:eastAsia="ko-KR"/>
        </w:rPr>
        <w:t xml:space="preserve">) </w:t>
      </w:r>
      <w:r w:rsidRPr="00E05A85">
        <w:rPr>
          <w:rFonts w:ascii="Times New Roman" w:eastAsia="Malgun Gothic" w:hAnsi="Times New Roman" w:cs="Times New Roman"/>
          <w:iCs/>
          <w:sz w:val="24"/>
          <w:szCs w:val="24"/>
          <w:lang w:eastAsia="ko-KR"/>
        </w:rPr>
        <w:t xml:space="preserve">individuals will increase the number of years that they are exposed to the health risks related to overweight and obesity. </w:t>
      </w:r>
      <w:r w:rsidR="00496F8F" w:rsidRPr="00E05A85">
        <w:rPr>
          <w:rFonts w:ascii="Times New Roman" w:eastAsia="Malgun Gothic" w:hAnsi="Times New Roman" w:cs="Times New Roman"/>
          <w:iCs/>
          <w:sz w:val="24"/>
          <w:szCs w:val="24"/>
          <w:lang w:eastAsia="ko-KR"/>
        </w:rPr>
        <w:t>We</w:t>
      </w:r>
      <w:r w:rsidRPr="00E05A85">
        <w:rPr>
          <w:rFonts w:ascii="Times New Roman" w:eastAsia="Malgun Gothic" w:hAnsi="Times New Roman" w:cs="Times New Roman"/>
          <w:iCs/>
          <w:sz w:val="24"/>
          <w:szCs w:val="24"/>
          <w:lang w:eastAsia="ko-KR"/>
        </w:rPr>
        <w:t xml:space="preserve"> estimate the disease burden attributable to weight-related risk factors by calculating population attributable fractions (PAFs). The PAFs represent the proportions of disease cases that would be avoided when the risk exposure is changed from a baseline situation to a counterfactual situation and are calculated using the following general formula:</w:t>
      </w:r>
    </w:p>
    <w:p w14:paraId="57ED9858" w14:textId="4BC7BBD3" w:rsidR="00730BDC" w:rsidRPr="00E05A85" w:rsidRDefault="00730BDC" w:rsidP="00E05A85">
      <w:pPr>
        <w:spacing w:before="120" w:after="120" w:line="240" w:lineRule="auto"/>
        <w:jc w:val="both"/>
        <w:rPr>
          <w:rFonts w:ascii="Times New Roman" w:eastAsia="Malgun Gothic" w:hAnsi="Times New Roman" w:cs="Times New Roman"/>
          <w:iCs/>
          <w:sz w:val="24"/>
          <w:szCs w:val="24"/>
          <w:lang w:eastAsia="ko-KR"/>
        </w:rPr>
      </w:pPr>
      <m:oMathPara>
        <m:oMath>
          <m:r>
            <w:rPr>
              <w:rFonts w:ascii="Cambria Math" w:eastAsia="Malgun Gothic" w:hAnsi="Cambria Math" w:cs="Times New Roman"/>
              <w:sz w:val="24"/>
              <w:szCs w:val="24"/>
              <w:lang w:eastAsia="ko-KR"/>
            </w:rPr>
            <m:t>PAF=</m:t>
          </m:r>
          <m:f>
            <m:fPr>
              <m:ctrlPr>
                <w:rPr>
                  <w:rFonts w:ascii="Cambria Math" w:eastAsia="Malgun Gothic" w:hAnsi="Cambria Math" w:cs="Times New Roman"/>
                  <w:i/>
                  <w:iCs/>
                  <w:sz w:val="24"/>
                  <w:szCs w:val="24"/>
                  <w:lang w:eastAsia="ko-KR"/>
                </w:rPr>
              </m:ctrlPr>
            </m:fPr>
            <m:num>
              <m:nary>
                <m:naryPr>
                  <m:limLoc m:val="undOvr"/>
                  <m:subHide m:val="1"/>
                  <m:supHide m:val="1"/>
                  <m:ctrlPr>
                    <w:rPr>
                      <w:rFonts w:ascii="Cambria Math" w:eastAsia="Malgun Gothic" w:hAnsi="Cambria Math" w:cs="Times New Roman"/>
                      <w:i/>
                      <w:iCs/>
                      <w:sz w:val="24"/>
                      <w:szCs w:val="24"/>
                      <w:lang w:eastAsia="ko-KR"/>
                    </w:rPr>
                  </m:ctrlPr>
                </m:naryPr>
                <m:sub/>
                <m:sup/>
                <m:e>
                  <m:r>
                    <w:rPr>
                      <w:rFonts w:ascii="Cambria Math" w:eastAsia="Malgun Gothic" w:hAnsi="Cambria Math" w:cs="Times New Roman"/>
                      <w:sz w:val="24"/>
                      <w:szCs w:val="24"/>
                      <w:lang w:eastAsia="ko-KR"/>
                    </w:rPr>
                    <m:t>RR</m:t>
                  </m:r>
                  <m:d>
                    <m:dPr>
                      <m:ctrlPr>
                        <w:rPr>
                          <w:rFonts w:ascii="Cambria Math" w:eastAsia="Malgun Gothic" w:hAnsi="Cambria Math" w:cs="Times New Roman"/>
                          <w:i/>
                          <w:iCs/>
                          <w:sz w:val="24"/>
                          <w:szCs w:val="24"/>
                          <w:lang w:eastAsia="ko-KR"/>
                        </w:rPr>
                      </m:ctrlPr>
                    </m:dPr>
                    <m:e>
                      <m:r>
                        <w:rPr>
                          <w:rFonts w:ascii="Cambria Math" w:eastAsia="Malgun Gothic" w:hAnsi="Cambria Math" w:cs="Times New Roman"/>
                          <w:sz w:val="24"/>
                          <w:szCs w:val="24"/>
                          <w:lang w:eastAsia="ko-KR"/>
                        </w:rPr>
                        <m:t>x</m:t>
                      </m:r>
                    </m:e>
                  </m:d>
                  <m:r>
                    <w:rPr>
                      <w:rFonts w:ascii="Cambria Math" w:eastAsia="Malgun Gothic" w:hAnsi="Cambria Math" w:cs="Times New Roman"/>
                      <w:sz w:val="24"/>
                      <w:szCs w:val="24"/>
                      <w:lang w:eastAsia="ko-KR"/>
                    </w:rPr>
                    <m:t>P</m:t>
                  </m:r>
                  <m:d>
                    <m:dPr>
                      <m:ctrlPr>
                        <w:rPr>
                          <w:rFonts w:ascii="Cambria Math" w:eastAsia="Malgun Gothic" w:hAnsi="Cambria Math" w:cs="Times New Roman"/>
                          <w:i/>
                          <w:iCs/>
                          <w:sz w:val="24"/>
                          <w:szCs w:val="24"/>
                          <w:lang w:eastAsia="ko-KR"/>
                        </w:rPr>
                      </m:ctrlPr>
                    </m:dPr>
                    <m:e>
                      <m:r>
                        <w:rPr>
                          <w:rFonts w:ascii="Cambria Math" w:eastAsia="Malgun Gothic" w:hAnsi="Cambria Math" w:cs="Times New Roman"/>
                          <w:sz w:val="24"/>
                          <w:szCs w:val="24"/>
                          <w:lang w:eastAsia="ko-KR"/>
                        </w:rPr>
                        <m:t>x</m:t>
                      </m:r>
                    </m:e>
                  </m:d>
                  <m:r>
                    <w:rPr>
                      <w:rFonts w:ascii="Cambria Math" w:eastAsia="Malgun Gothic" w:hAnsi="Cambria Math" w:cs="Times New Roman"/>
                      <w:sz w:val="24"/>
                      <w:szCs w:val="24"/>
                      <w:lang w:eastAsia="ko-KR"/>
                    </w:rPr>
                    <m:t>dx-</m:t>
                  </m:r>
                  <m:nary>
                    <m:naryPr>
                      <m:limLoc m:val="undOvr"/>
                      <m:subHide m:val="1"/>
                      <m:supHide m:val="1"/>
                      <m:ctrlPr>
                        <w:rPr>
                          <w:rFonts w:ascii="Cambria Math" w:eastAsia="Malgun Gothic" w:hAnsi="Cambria Math" w:cs="Times New Roman"/>
                          <w:i/>
                          <w:iCs/>
                          <w:sz w:val="24"/>
                          <w:szCs w:val="24"/>
                          <w:lang w:eastAsia="ko-KR"/>
                        </w:rPr>
                      </m:ctrlPr>
                    </m:naryPr>
                    <m:sub/>
                    <m:sup/>
                    <m:e>
                      <m:r>
                        <w:rPr>
                          <w:rFonts w:ascii="Cambria Math" w:eastAsia="Malgun Gothic" w:hAnsi="Cambria Math" w:cs="Times New Roman"/>
                          <w:sz w:val="24"/>
                          <w:szCs w:val="24"/>
                          <w:lang w:eastAsia="ko-KR"/>
                        </w:rPr>
                        <m:t>RR</m:t>
                      </m:r>
                      <m:d>
                        <m:dPr>
                          <m:ctrlPr>
                            <w:rPr>
                              <w:rFonts w:ascii="Cambria Math" w:eastAsia="Malgun Gothic" w:hAnsi="Cambria Math" w:cs="Times New Roman"/>
                              <w:i/>
                              <w:iCs/>
                              <w:sz w:val="24"/>
                              <w:szCs w:val="24"/>
                              <w:lang w:eastAsia="ko-KR"/>
                            </w:rPr>
                          </m:ctrlPr>
                        </m:dPr>
                        <m:e>
                          <m:r>
                            <w:rPr>
                              <w:rFonts w:ascii="Cambria Math" w:eastAsia="Malgun Gothic" w:hAnsi="Cambria Math" w:cs="Times New Roman"/>
                              <w:sz w:val="24"/>
                              <w:szCs w:val="24"/>
                              <w:lang w:eastAsia="ko-KR"/>
                            </w:rPr>
                            <m:t>x</m:t>
                          </m:r>
                        </m:e>
                      </m:d>
                      <m:sSup>
                        <m:sSupPr>
                          <m:ctrlPr>
                            <w:rPr>
                              <w:rFonts w:ascii="Cambria Math" w:eastAsia="Malgun Gothic" w:hAnsi="Cambria Math" w:cs="Times New Roman"/>
                              <w:i/>
                              <w:iCs/>
                              <w:sz w:val="24"/>
                              <w:szCs w:val="24"/>
                              <w:lang w:eastAsia="ko-KR"/>
                            </w:rPr>
                          </m:ctrlPr>
                        </m:sSupPr>
                        <m:e>
                          <m:r>
                            <w:rPr>
                              <w:rFonts w:ascii="Cambria Math" w:eastAsia="Malgun Gothic" w:hAnsi="Cambria Math" w:cs="Times New Roman"/>
                              <w:sz w:val="24"/>
                              <w:szCs w:val="24"/>
                              <w:lang w:eastAsia="ko-KR"/>
                            </w:rPr>
                            <m:t>P</m:t>
                          </m:r>
                        </m:e>
                        <m:sup>
                          <m:r>
                            <w:rPr>
                              <w:rFonts w:ascii="Cambria Math" w:eastAsia="Malgun Gothic" w:hAnsi="Cambria Math" w:cs="Times New Roman"/>
                              <w:sz w:val="24"/>
                              <w:szCs w:val="24"/>
                              <w:lang w:eastAsia="ko-KR"/>
                            </w:rPr>
                            <m:t>'</m:t>
                          </m:r>
                        </m:sup>
                      </m:sSup>
                    </m:e>
                  </m:nary>
                </m:e>
              </m:nary>
              <m:d>
                <m:dPr>
                  <m:ctrlPr>
                    <w:rPr>
                      <w:rFonts w:ascii="Cambria Math" w:eastAsia="Malgun Gothic" w:hAnsi="Cambria Math" w:cs="Times New Roman"/>
                      <w:i/>
                      <w:iCs/>
                      <w:sz w:val="24"/>
                      <w:szCs w:val="24"/>
                      <w:lang w:eastAsia="ko-KR"/>
                    </w:rPr>
                  </m:ctrlPr>
                </m:dPr>
                <m:e>
                  <m:r>
                    <w:rPr>
                      <w:rFonts w:ascii="Cambria Math" w:eastAsia="Malgun Gothic" w:hAnsi="Cambria Math" w:cs="Times New Roman"/>
                      <w:sz w:val="24"/>
                      <w:szCs w:val="24"/>
                      <w:lang w:eastAsia="ko-KR"/>
                    </w:rPr>
                    <m:t>x</m:t>
                  </m:r>
                </m:e>
              </m:d>
              <m:r>
                <w:rPr>
                  <w:rFonts w:ascii="Cambria Math" w:eastAsia="Malgun Gothic" w:hAnsi="Cambria Math" w:cs="Times New Roman"/>
                  <w:sz w:val="24"/>
                  <w:szCs w:val="24"/>
                  <w:lang w:eastAsia="ko-KR"/>
                </w:rPr>
                <m:t>d(x)</m:t>
              </m:r>
            </m:num>
            <m:den>
              <m:nary>
                <m:naryPr>
                  <m:limLoc m:val="undOvr"/>
                  <m:subHide m:val="1"/>
                  <m:supHide m:val="1"/>
                  <m:ctrlPr>
                    <w:rPr>
                      <w:rFonts w:ascii="Cambria Math" w:eastAsia="Malgun Gothic" w:hAnsi="Cambria Math" w:cs="Times New Roman"/>
                      <w:i/>
                      <w:iCs/>
                      <w:sz w:val="24"/>
                      <w:szCs w:val="24"/>
                      <w:lang w:eastAsia="ko-KR"/>
                    </w:rPr>
                  </m:ctrlPr>
                </m:naryPr>
                <m:sub/>
                <m:sup/>
                <m:e>
                  <m:r>
                    <w:rPr>
                      <w:rFonts w:ascii="Cambria Math" w:eastAsia="Malgun Gothic" w:hAnsi="Cambria Math" w:cs="Times New Roman"/>
                      <w:sz w:val="24"/>
                      <w:szCs w:val="24"/>
                      <w:lang w:eastAsia="ko-KR"/>
                    </w:rPr>
                    <m:t>RR</m:t>
                  </m:r>
                  <m:d>
                    <m:dPr>
                      <m:ctrlPr>
                        <w:rPr>
                          <w:rFonts w:ascii="Cambria Math" w:eastAsia="Malgun Gothic" w:hAnsi="Cambria Math" w:cs="Times New Roman"/>
                          <w:i/>
                          <w:iCs/>
                          <w:sz w:val="24"/>
                          <w:szCs w:val="24"/>
                          <w:lang w:eastAsia="ko-KR"/>
                        </w:rPr>
                      </m:ctrlPr>
                    </m:dPr>
                    <m:e>
                      <m:r>
                        <w:rPr>
                          <w:rFonts w:ascii="Cambria Math" w:eastAsia="Malgun Gothic" w:hAnsi="Cambria Math" w:cs="Times New Roman"/>
                          <w:sz w:val="24"/>
                          <w:szCs w:val="24"/>
                          <w:lang w:eastAsia="ko-KR"/>
                        </w:rPr>
                        <m:t>x</m:t>
                      </m:r>
                    </m:e>
                  </m:d>
                  <m:r>
                    <w:rPr>
                      <w:rFonts w:ascii="Cambria Math" w:eastAsia="Malgun Gothic" w:hAnsi="Cambria Math" w:cs="Times New Roman"/>
                      <w:sz w:val="24"/>
                      <w:szCs w:val="24"/>
                      <w:lang w:eastAsia="ko-KR"/>
                    </w:rPr>
                    <m:t>P</m:t>
                  </m:r>
                  <m:d>
                    <m:dPr>
                      <m:ctrlPr>
                        <w:rPr>
                          <w:rFonts w:ascii="Cambria Math" w:eastAsia="Malgun Gothic" w:hAnsi="Cambria Math" w:cs="Times New Roman"/>
                          <w:i/>
                          <w:iCs/>
                          <w:sz w:val="24"/>
                          <w:szCs w:val="24"/>
                          <w:lang w:eastAsia="ko-KR"/>
                        </w:rPr>
                      </m:ctrlPr>
                    </m:dPr>
                    <m:e>
                      <m:r>
                        <w:rPr>
                          <w:rFonts w:ascii="Cambria Math" w:eastAsia="Malgun Gothic" w:hAnsi="Cambria Math" w:cs="Times New Roman"/>
                          <w:sz w:val="24"/>
                          <w:szCs w:val="24"/>
                          <w:lang w:eastAsia="ko-KR"/>
                        </w:rPr>
                        <m:t>x</m:t>
                      </m:r>
                    </m:e>
                  </m:d>
                  <m:r>
                    <w:rPr>
                      <w:rFonts w:ascii="Cambria Math" w:eastAsia="Malgun Gothic" w:hAnsi="Cambria Math" w:cs="Times New Roman"/>
                      <w:sz w:val="24"/>
                      <w:szCs w:val="24"/>
                      <w:lang w:eastAsia="ko-KR"/>
                    </w:rPr>
                    <m:t>dx</m:t>
                  </m:r>
                </m:e>
              </m:nary>
            </m:den>
          </m:f>
        </m:oMath>
      </m:oMathPara>
    </w:p>
    <w:p w14:paraId="50FA3DD6" w14:textId="70D3827A" w:rsidR="00730BDC" w:rsidRPr="00E05A85" w:rsidRDefault="00730BDC" w:rsidP="00E05A85">
      <w:pPr>
        <w:spacing w:after="0" w:line="240" w:lineRule="auto"/>
        <w:ind w:firstLine="360"/>
        <w:jc w:val="both"/>
        <w:rPr>
          <w:rFonts w:ascii="Times New Roman" w:eastAsia="Malgun Gothic" w:hAnsi="Times New Roman" w:cs="Times New Roman"/>
          <w:iCs/>
          <w:sz w:val="24"/>
          <w:szCs w:val="24"/>
          <w:lang w:eastAsia="ko-KR"/>
        </w:rPr>
      </w:pPr>
      <w:r w:rsidRPr="00E05A85">
        <w:rPr>
          <w:rFonts w:ascii="Times New Roman" w:eastAsia="Malgun Gothic" w:hAnsi="Times New Roman" w:cs="Times New Roman"/>
          <w:iCs/>
          <w:sz w:val="24"/>
          <w:szCs w:val="24"/>
          <w:lang w:eastAsia="ko-KR"/>
        </w:rPr>
        <w:t xml:space="preserve">In </w:t>
      </w:r>
      <w:r w:rsidR="00EC678A">
        <w:rPr>
          <w:rFonts w:ascii="Times New Roman" w:eastAsia="Malgun Gothic" w:hAnsi="Times New Roman" w:cs="Times New Roman"/>
          <w:iCs/>
          <w:sz w:val="24"/>
          <w:szCs w:val="24"/>
          <w:lang w:eastAsia="ko-KR"/>
        </w:rPr>
        <w:t xml:space="preserve">this </w:t>
      </w:r>
      <w:r w:rsidRPr="00E05A85">
        <w:rPr>
          <w:rFonts w:ascii="Times New Roman" w:eastAsia="Malgun Gothic" w:hAnsi="Times New Roman" w:cs="Times New Roman"/>
          <w:iCs/>
          <w:sz w:val="24"/>
          <w:szCs w:val="24"/>
          <w:lang w:eastAsia="ko-KR"/>
        </w:rPr>
        <w:t xml:space="preserve">equation </w:t>
      </w:r>
      <w:r w:rsidRPr="00E05A85">
        <w:rPr>
          <w:rFonts w:ascii="Times New Roman" w:eastAsia="Malgun Gothic" w:hAnsi="Times New Roman" w:cs="Times New Roman"/>
          <w:i/>
          <w:iCs/>
          <w:sz w:val="24"/>
          <w:szCs w:val="24"/>
          <w:lang w:eastAsia="ko-KR"/>
        </w:rPr>
        <w:t xml:space="preserve">RR (x) </w:t>
      </w:r>
      <w:r w:rsidRPr="00E05A85">
        <w:rPr>
          <w:rFonts w:ascii="Times New Roman" w:eastAsia="Malgun Gothic" w:hAnsi="Times New Roman" w:cs="Times New Roman"/>
          <w:iCs/>
          <w:sz w:val="24"/>
          <w:szCs w:val="24"/>
          <w:lang w:eastAsia="ko-KR"/>
        </w:rPr>
        <w:t xml:space="preserve">is the relative risk of disease for risk factor level x, </w:t>
      </w:r>
      <w:r w:rsidRPr="00E05A85">
        <w:rPr>
          <w:rFonts w:ascii="Times New Roman" w:eastAsia="Malgun Gothic" w:hAnsi="Times New Roman" w:cs="Times New Roman"/>
          <w:i/>
          <w:iCs/>
          <w:sz w:val="24"/>
          <w:szCs w:val="24"/>
          <w:lang w:eastAsia="ko-KR"/>
        </w:rPr>
        <w:t>P(x)</w:t>
      </w:r>
      <w:r w:rsidRPr="00E05A85">
        <w:rPr>
          <w:rFonts w:ascii="Times New Roman" w:eastAsia="Malgun Gothic" w:hAnsi="Times New Roman" w:cs="Times New Roman"/>
          <w:iCs/>
          <w:sz w:val="24"/>
          <w:szCs w:val="24"/>
          <w:lang w:eastAsia="ko-KR"/>
        </w:rPr>
        <w:t xml:space="preserve">is the number of people in the population with risk factor level x in the baseline scenario, and </w:t>
      </w:r>
      <w:r w:rsidRPr="00E05A85">
        <w:rPr>
          <w:rFonts w:ascii="Times New Roman" w:eastAsia="Malgun Gothic" w:hAnsi="Times New Roman" w:cs="Times New Roman"/>
          <w:i/>
          <w:iCs/>
          <w:sz w:val="24"/>
          <w:szCs w:val="24"/>
          <w:lang w:eastAsia="ko-KR"/>
        </w:rPr>
        <w:t>P’(x)</w:t>
      </w:r>
      <w:r w:rsidRPr="00E05A85">
        <w:rPr>
          <w:rFonts w:ascii="Times New Roman" w:eastAsia="Malgun Gothic" w:hAnsi="Times New Roman" w:cs="Times New Roman"/>
          <w:iCs/>
          <w:sz w:val="24"/>
          <w:szCs w:val="24"/>
          <w:lang w:eastAsia="ko-KR"/>
        </w:rPr>
        <w:t xml:space="preserve"> is the number of people in the population with the risk factor level x in the counterfactual scenario. </w:t>
      </w:r>
      <w:r w:rsidR="00496F8F" w:rsidRPr="00E05A85">
        <w:rPr>
          <w:rFonts w:ascii="Times New Roman" w:eastAsia="Malgun Gothic" w:hAnsi="Times New Roman" w:cs="Times New Roman"/>
          <w:iCs/>
          <w:sz w:val="24"/>
          <w:szCs w:val="24"/>
          <w:lang w:eastAsia="ko-KR"/>
        </w:rPr>
        <w:t>We</w:t>
      </w:r>
      <w:r w:rsidRPr="00E05A85">
        <w:rPr>
          <w:rFonts w:ascii="Times New Roman" w:eastAsia="Malgun Gothic" w:hAnsi="Times New Roman" w:cs="Times New Roman"/>
          <w:iCs/>
          <w:sz w:val="24"/>
          <w:szCs w:val="24"/>
          <w:lang w:eastAsia="ko-KR"/>
        </w:rPr>
        <w:t xml:space="preserve"> assume that changes in relative risks follow a dose-response relationship </w:t>
      </w:r>
      <w:r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{"citationID":"izDhwA6B","properties":{"formattedCitation":"\\super 20\\nosupersub{}","plainCitation":"20","noteIndex":0},"citationItems":[{"id":456,"uris":["http://zotero.org/users/5867530/items/FHWZGC8R"],"uri":["http://zotero.org/users/5867530/items/FHWZGC8R"],"itemData":{"id":456,"type":"article-journal","container-title":"The Lancet","DOI":"10.1016/S0140-6736(12)61766-8","ISSN":"01406736","issue":"9859","journalAbbreviation":"The Lancet","language":"en","page":"2224-2260","source":"DOI.org (Crossref)","title":"A comparative risk assessment of burden of disease and injury attributable to 67 risk factors and risk factor clusters in 21 regions, 1990–2010: a systematic analysis for the Global Burden of Disease Study 2010","title-short":"A comparative risk assessment of burden of disease and injury attributable to 67 risk factors and risk factor clusters in 21 regions, 1990–2010","volume":"380","author":[{"family":"Lim","given":"Stephen S"},{"family":"Vos","given":"Theo"},{"family":"Flaxman","given":"Abraham D"},{"family":"Danaei","given":"Goodarz"},{"family":"Shibuya","given":"Kenji"},{"family":"Adair-Rohani","given":"Heather"},{"family":"AlMazroa","given":"Mohammad A"},{"family":"Amann","given":"Markus"},{"family":"Anderson","given":"H Ross"},{"family":"Andrews","given":"Kathryn G"},{"family":"Aryee","given":"Martin"},{"family":"Atkinson","given":"Charles"},{"family":"Bacchus","given":"Loraine J"},{"family":"Bahalim","given":"Adil N"},{"family":"Balakrishnan","given":"Kalpana"},{"family":"Balmes","given":"John"},{"family":"Barker-Collo","given":"Suzanne"},{"family":"Baxter","given":"Amanda"},{"family":"Bell","given":"Michelle L"},{"family":"Blore","given":"Jed D"},{"family":"Blyth","given":"Fiona"},{"family":"Bonner","given":"Carissa"},{"family":"Borges","given":"Guilherme"},{"family":"Bourne","given":"Rupert"},{"family":"Boussinesq","given":"Michel"},{"family":"Brauer","given":"Michael"},{"family":"Brooks","given":"Peter"},{"family":"Bruce","given":"Nigel G"},{"family":"Brunekreef","given":"Bert"},{"family":"Bryan-Hancock","given":"Claire"},{"family":"Bucello","given":"Chiara"},{"family":"Buchbinder","given":"Rachelle"},{"family":"Bull","given":"Fiona"},{"family":"Burnett","given":"Richard T"},{"family":"Byers","given":"Tim E"},{"family":"Calabria","given":"Bianca"},{"family":"Carapetis","given":"Jonathan"},{"family":"Carnahan","given":"Emily"},{"family":"Chafe","given":"Zoe"},{"family":"Charlson","given":"Fiona"},{"family":"Chen","given":"Honglei"},{"family":"Chen","given":"Jian Shen"},{"family":"Cheng","given":"Andrew Tai-Ann"},{"family":"Child","given":"Jennifer Christine"},{"family":"Cohen","given":"Aaron"},{"family":"Colson","given":"K Ellicott"},{"family":"Cowie","given":"Benjamin C"},{"family":"Darby","given":"Sarah"},{"family":"Darling","given":"Susan"},{"family":"Davis","given":"Adrian"},{"family":"Degenhardt","given":"Louisa"},{"family":"Dentener","given":"Frank"},{"family":"Des Jarlais","given":"Don C"},{"family":"Devries","given":"Karen"},{"family":"Dherani","given":"Mukesh"},{"family":"Ding","given":"Eric L"},{"family":"Dorsey","given":"E Ray"},{"family":"Driscoll","given":"Tim"},{"family":"Edmond","given":"Karen"},{"family":"Ali","given":"Suad Eltahir"},{"family":"Engell","given":"Rebecca E"},{"family":"Erwin","given":"Patricia J"},{"family":"Fahimi","given":"Saman"},{"family":"Falder","given":"Gail"},{"family":"Farzadfar","given":"Farshad"},{"family":"Ferrari","given":"Alize"},{"family":"Finucane","given":"Mariel M"},{"family":"Flaxman","given":"Seth"},{"family":"Fowkes","given":"Francis Gerry R"},{"family":"Freedman","given":"Greg"},{"family":"Freeman","given":"Michael K"},{"family":"Gakidou","given":"Emmanuela"},{"family":"Ghosh","given":"Santu"},{"family":"Giovannucci","given":"Edward"},{"family":"Gmel","given":"Gerhard"},{"family":"Graham","given":"Kathryn"},{"family":"Grainger","given":"Rebecca"},{"family":"Grant","given":"Bridget"},{"family":"Gunnell","given":"David"},{"family":"Gutierrez","given":"Hialy R"},{"family":"Hall","given":"Wayne"},{"family":"Hoek","given":"Hans W"},{"family":"Hogan","given":"Anthony"},{"family":"Hosgood","given":"H Dean"},{"family":"Hoy","given":"Damian"},{"family":"Hu","given":"Howard"},{"family":"Hubbell","given":"Bryan J"},{"family":"Hutchings","given":"Sally J"},{"family":"Ibeanusi","given":"Sydney E"},{"family":"Jacklyn","given":"Gemma L"},{"family":"Jasrasaria","given":"Rashmi"},{"family":"Jonas","given":"Jost B"},{"family":"Kan","given":"Haidong"},{"family":"Kanis","given":"John A"},{"family":"Kassebaum","given":"Nicholas"},{"family":"Kawakami","given":"Norito"},{"family":"Khang","given":"Young-Ho"},{"family":"Khatibzadeh","given":"Shahab"},{"family":"Khoo","given":"Jon-Paul"},{"family":"Kok","given":"Cindy"},{"family":"Laden","given":"Francine"},{"family":"Lalloo","given":"Ratilal"},{"family":"Lan","given":"Qing"},{"family":"Lathlean","given":"Tim"},{"family":"Leasher","given":"Janet L"},{"family":"Leigh","given":"James"},{"family":"Li","given":"Yang"},{"family":"Lin","given":"John Kent"},{"family":"Lipshultz","given":"Steven E"},{"family":"London","given":"Stephanie"},{"family":"Lozano","given":"Rafael"},{"family":"Lu","given":"Yuan"},{"family":"Mak","given":"Joelle"},{"family":"Malekzadeh","given":"Reza"},{"family":"Mallinger","given":"Leslie"},{"family":"Marcenes","given":"Wagner"},{"family":"March","given":"Lyn"},{"family":"Marks","given":"Robin"},{"family":"Martin","given":"Randall"},{"family":"McGale","given":"Paul"},{"family":"McGrath","given":"John"},{"family":"Mehta","given":"Sumi"},{"family":"Memish","given":"Ziad A"},{"family":"Mensah","given":"George A"},{"family":"Merriman","given":"Tony R"},{"family":"Micha","given":"Renata"},{"family":"Michaud","given":"Catherine"},{"family":"Mishra","given":"Vinod"},{"family":"Hanafiah","given":"Khayriyyah Mohd"},{"family":"Mokdad","given":"Ali A"},{"family":"Morawska","given":"Lidia"},{"family":"Mozaffarian","given":"Dariush"},{"family":"Murphy","given":"Tasha"},{"family":"Naghavi","given":"Mohsen"},{"family":"Neal","given":"Bruce"},{"family":"Nelson","given":"Paul K"},{"family":"Nolla","given":"Joan Miquel"},{"family":"Norman","given":"Rosana"},{"family":"Olives","given":"Casey"},{"family":"Omer","given":"Saad B"},{"family":"Orchard","given":"Jessica"},{"family":"Osborne","given":"Richard"},{"family":"Ostro","given":"Bart"},{"family":"Page","given":"Andrew"},{"family":"Pandey","given":"Kiran D"},{"family":"Parry","given":"Charles DH"},{"family":"Passmore","given":"Erin"},{"family":"Patra","given":"Jayadeep"},{"family":"Pearce","given":"Neil"},{"family":"Pelizzari","given":"Pamela M"},{"family":"Petzold","given":"Max"},{"family":"Phillips","given":"Michael R"},{"family":"Pope","given":"Dan"},{"family":"Pope","given":"C Arden"},{"family":"Powles","given":"John"},{"family":"Rao","given":"Mayuree"},{"family":"Razavi","given":"Homie"},{"family":"Rehfuess","given":"Eva A"},{"family":"Rehm","given":"Jürgen T"},{"family":"Ritz","given":"Beate"},{"family":"Rivara","given":"Frederick P"},{"family":"Roberts","given":"Thomas"},{"family":"Robinson","given":"Carolyn"},{"family":"Rodriguez-Portales","given":"Jose A"},{"family":"Romieu","given":"Isabelle"},{"family":"Room","given":"Robin"},{"family":"Rosenfeld","given":"Lisa C"},{"family":"Roy","given":"Ananya"},{"family":"Rushton","given":"Lesley"},{"family":"Salomon","given":"Joshua A"},{"family":"Sampson","given":"Uchechukwu"},{"family":"Sanchez-Riera","given":"Lidia"},{"family":"Sanman","given":"Ella"},{"family":"Sapkota","given":"Amir"},{"family":"Seedat","given":"Soraya"},{"family":"Shi","given":"Peilin"},{"family":"Shield","given":"Kevin"},{"family":"Shivakoti","given":"Rupak"},{"family":"Singh","given":"Gitanjali M"},{"family":"Sleet","given":"David A"},{"family":"Smith","given":"Emma"},{"family":"Smith","given":"Kirk R"},{"family":"Stapelberg","given":"Nicolas JC"},{"family":"Steenland","given":"Kyle"},{"family":"Stöckl","given":"Heidi"},{"family":"Stovner","given":"Lars Jacob"},{"family":"Straif","given":"Kurt"},{"family":"Straney","given":"Lahn"},{"family":"Thurston","given":"George D"},{"family":"Tran","given":"Jimmy H"},{"family":"Van Dingenen","given":"Rita"},{"family":"Donkelaar","given":"Aaron","non-dropping-particle":"van"},{"family":"Veerman","given":"J Lennert"},{"family":"Vijayakumar","given":"Lakshmi"},{"family":"Weintraub","given":"Robert"},{"family":"Weissman","given":"Myrna M"},{"family":"White","given":"Richard A"},{"family":"Whiteford","given":"Harvey"},{"family":"Wiersma","given":"Steven T"},{"family":"Wilkinson","given":"James D"},{"family":"Williams","given":"Hywel C"},{"family":"Williams","given":"Warwick"},{"family":"Wilson","given":"Nicholas"},{"family":"Woolf","given":"Anthony D"},{"family":"Yip","given":"Paul"},{"family":"Zielinski","given":"Jan M"},{"family":"Lopez","given":"Alan D"},{"family":"Murray","given":"Christopher JL"},{"family":"Ezzati","given":"Majid"}],"issued":{"date-parts":[["2012",12]]}}}],"schema":"https://github.com/citation-style-language/schema/raw/master/csl-citation.json"} </w:instrText>
      </w:r>
      <w:r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20</w:t>
      </w:r>
      <w:r w:rsidRPr="00E05A85">
        <w:rPr>
          <w:rFonts w:ascii="Times New Roman" w:eastAsia="Malgun Gothic" w:hAnsi="Times New Roman" w:cs="Times New Roman"/>
          <w:iCs/>
          <w:sz w:val="24"/>
          <w:szCs w:val="24"/>
          <w:lang w:eastAsia="ko-KR"/>
        </w:rPr>
        <w:fldChar w:fldCharType="end"/>
      </w:r>
      <w:r w:rsidRPr="00E05A85">
        <w:rPr>
          <w:rFonts w:ascii="Times New Roman" w:eastAsia="Malgun Gothic" w:hAnsi="Times New Roman" w:cs="Times New Roman"/>
          <w:iCs/>
          <w:sz w:val="24"/>
          <w:szCs w:val="24"/>
          <w:lang w:eastAsia="ko-KR"/>
        </w:rPr>
        <w:t xml:space="preserve"> and that PAFs combine multiplicatively </w:t>
      </w:r>
      <w:r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{"citationID":"VuI7Kx9y","properties":{"formattedCitation":"\\super 20,21\\nosupersub{}","plainCitation":"20,21","noteIndex":0},"citationItems":[{"id":456,"uris":["http://zotero.org/users/5867530/items/FHWZGC8R"],"uri":["http://zotero.org/users/5867530/items/FHWZGC8R"],"itemData":{"id":456,"type":"article-journal","container-title":"The Lancet","DOI":"10.1016/S0140-6736(12)61766-8","ISSN":"01406736","issue":"9859","journalAbbreviation":"The Lancet","language":"en","page":"2224-2260","source":"DOI.org (Crossref)","title":"A comparative risk assessment of burden of disease and injury attributable to 67 risk factors and risk factor clusters in 21 regions, 1990–2010: a systematic analysis for the Global Burden of Disease Study 2010","title-short":"A comparative risk assessment of burden of disease and injury attributable to 67 risk factors and risk factor clusters in 21 regions, 1990–2010","volume":"380","author":[{"family":"Lim","given":"Stephen S"},{"family":"Vos","given":"Theo"},{"family":"Flaxman","given":"Abraham D"},{"family":"Danaei","given":"Goodarz"},{"family":"Shibuya","given":"Kenji"},{"family":"Adair-Rohani","given":"Heather"},{"family":"AlMazroa","given":"Mohammad A"},{"family":"Amann","given":"Markus"},{"family":"Anderson","given":"H Ross"},{"family":"Andrews","given":"Kathryn G"},{"family":"Aryee","given":"Martin"},{"family":"Atkinson","given":"Charles"},{"family":"Bacchus","given":"Loraine J"},{"family":"Bahalim","given":"Adil N"},{"family":"Balakrishnan","given":"Kalpana"},{"family":"Balmes","given":"John"},{"family":"Barker-Collo","given":"Suzanne"},{"family":"Baxter","given":"Amanda"},{"family":"Bell","given":"Michelle L"},{"family":"Blore","given":"Jed D"},{"family":"Blyth","given":"Fiona"},{"family":"Bonner","given":"Carissa"},{"family":"Borges","given":"Guilherme"},{"family":"Bourne","given":"Rupert"},{"family":"Boussinesq","given":"Michel"},{"family":"Brauer","given":"Michael"},{"family":"Brooks","given":"Peter"},{"family":"Bruce","given":"Nigel G"},{"family":"Brunekreef","given":"Bert"},{"family":"Bryan-Hancock","given":"Claire"},{"family":"Bucello","given":"Chiara"},{"family":"Buchbinder","given":"Rachelle"},{"family":"Bull","given":"Fiona"},{"family":"Burnett","given":"Richard T"},{"family":"Byers","given":"Tim E"},{"family":"Calabria","given":"Bianca"},{"family":"Carapetis","given":"Jonathan"},{"family":"Carnahan","given":"Emily"},{"family":"Chafe","given":"Zoe"},{"family":"Charlson","given":"Fiona"},{"family":"Chen","given":"Honglei"},{"family":"Chen","given":"Jian Shen"},{"family":"Cheng","given":"Andrew Tai-Ann"},{"family":"Child","given":"Jennifer Christine"},{"family":"Cohen","given":"Aaron"},{"family":"Colson","given":"K Ellicott"},{"family":"Cowie","given":"Benjamin C"},{"family":"Darby","given":"Sarah"},{"family":"Darling","given":"Susan"},{"family":"Davis","given":"Adrian"},{"family":"Degenhardt","given":"Louisa"},{"family":"Dentener","given":"Frank"},{"family":"Des Jarlais","given":"Don C"},{"family":"Devries","given":"Karen"},{"family":"Dherani","given":"Mukesh"},{"family":"Ding","given":"Eric L"},{"family":"Dorsey","given":"E Ray"},{"family":"Driscoll","given":"Tim"},{"family":"Edmond","given":"Karen"},{"family":"Ali","given":"Suad Eltahir"},{"family":"Engell","given":"Rebecca E"},{"family":"Erwin","given":"Patricia J"},{"family":"Fahimi","given":"Saman"},{"family":"Falder","given":"Gail"},{"family":"Farzadfar","given":"Farshad"},{"family":"Ferrari","given":"Alize"},{"family":"Finucane","given":"Mariel M"},{"family":"Flaxman","given":"Seth"},{"family":"Fowkes","given":"Francis Gerry R"},{"family":"Freedman","given":"Greg"},{"family":"Freeman","given":"Michael K"},{"family":"Gakidou","given":"Emmanuela"},{"family":"Ghosh","given":"Santu"},{"family":"Giovannucci","given":"Edward"},{"family":"Gmel","given":"Gerhard"},{"family":"Graham","given":"Kathryn"},{"family":"Grainger","given":"Rebecca"},{"family":"Grant","given":"Bridget"},{"family":"Gunnell","given":"David"},{"family":"Gutierrez","given":"Hialy R"},{"family":"Hall","given":"Wayne"},{"family":"Hoek","given":"Hans W"},{"family":"Hogan","given":"Anthony"},{"family":"Hosgood","given":"H Dean"},{"family":"Hoy","given":"Damian"},{"family":"Hu","given":"Howard"},{"family":"Hubbell","given":"Bryan J"},{"family":"Hutchings","given":"Sally J"},{"family":"Ibeanusi","given":"Sydney E"},{"family":"Jacklyn","given":"Gemma L"},{"family":"Jasrasaria","given":"Rashmi"},{"family":"Jonas","given":"Jost B"},{"family":"Kan","given":"Haidong"},{"family":"Kanis","given":"John A"},{"family":"Kassebaum","given":"Nicholas"},{"family":"Kawakami","given":"Norito"},{"family":"Khang","given":"Young-Ho"},{"family":"Khatibzadeh","given":"Shahab"},{"family":"Khoo","given":"Jon-Paul"},{"family":"Kok","given":"Cindy"},{"family":"Laden","given":"Francine"},{"family":"Lalloo","given":"Ratilal"},{"family":"Lan","given":"Qing"},{"family":"Lathlean","given":"Tim"},{"family":"Leasher","given":"Janet L"},{"family":"Leigh","given":"James"},{"family":"Li","given":"Yang"},{"family":"Lin","given":"John Kent"},{"family":"Lipshultz","given":"Steven E"},{"family":"London","given":"Stephanie"},{"family":"Lozano","given":"Rafael"},{"family":"Lu","given":"Yuan"},{"family":"Mak","given":"Joelle"},{"family":"Malekzadeh","given":"Reza"},{"family":"Mallinger","given":"Leslie"},{"family":"Marcenes","given":"Wagner"},{"family":"March","given":"Lyn"},{"family":"Marks","given":"Robin"},{"family":"Martin","given":"Randall"},{"family":"McGale","given":"Paul"},{"family":"McGrath","given":"John"},{"family":"Mehta","given":"Sumi"},{"family":"Memish","given":"Ziad A"},{"family":"Mensah","given":"George A"},{"family":"Merriman","given":"Tony R"},{"family":"Micha","given":"Renata"},{"family":"Michaud","given":"Catherine"},{"family":"Mishra","given":"Vinod"},{"family":"Hanafiah","given":"Khayriyyah Mohd"},{"family":"Mokdad","given":"Ali A"},{"family":"Morawska","given":"Lidia"},{"family":"Mozaffarian","given":"Dariush"},{"family":"Murphy","given":"Tasha"},{"family":"Naghavi","given":"Mohsen"},{"family":"Neal","given":"Bruce"},{"family":"Nelson","given":"Paul K"},{"family":"Nolla","given":"Joan Miquel"},{"family":"Norman","given":"Rosana"},{"family":"Olives","given":"Casey"},{"family":"Omer","given":"Saad B"},{"family":"Orchard","given":"Jessica"},{"family":"Osborne","given":"Richard"},{"family":"Ostro","given":"Bart"},{"family":"Page","given":"Andrew"},{"family":"Pandey","given":"Kiran D"},{"family":"Parry","given":"Charles DH"},{"family":"Passmore","given":"Erin"},{"family":"Patra","given":"Jayadeep"},{"family":"Pearce","given":"Neil"},{"family":"Pelizzari","given":"Pamela M"},{"family":"Petzold","given":"Max"},{"family":"Phillips","given":"Michael R"},{"family":"Pope","given":"Dan"},{"family":"Pope","given":"C Arden"},{"family":"Powles","given":"John"},{"family":"Rao","given":"Mayuree"},{"family":"Razavi","given":"Homie"},{"family":"Rehfuess","given":"Eva A"},{"family":"Rehm","given":"Jürgen T"},{"family":"Ritz","given":"Beate"},{"family":"Rivara","given":"Frederick P"},{"family":"Roberts","given":"Thomas"},{"family":"Robinson","given":"Carolyn"},{"family":"Rodriguez-Portales","given":"Jose A"},{"family":"Romieu","given":"Isabelle"},{"family":"Room","given":"Robin"},{"family":"Rosenfeld","given":"Lisa C"},{"family":"Roy","given":"Ananya"},{"family":"Rushton","given":"Lesley"},{"family":"Salomon","given":"Joshua A"},{"family":"Sampson","given":"Uchechukwu"},{"family":"Sanchez-Riera","given":"Lidia"},{"family":"Sanman","given":"Ella"},{"family":"Sapkota","given":"Amir"},{"family":"Seedat","given":"Soraya"},{"family":"Shi","given":"Peilin"},{"family":"Shield","given":"Kevin"},{"family":"Shivakoti","given":"Rupak"},{"family":"Singh","given":"Gitanjali M"},{"family":"Sleet","given":"David A"},{"family":"Smith","given":"Emma"},{"family":"Smith","given":"Kirk R"},{"family":"Stapelberg","given":"Nicolas JC"},{"family":"Steenland","given":"Kyle"},{"family":"Stöckl","given":"Heidi"},{"family":"Stovner","given":"Lars Jacob"},{"family":"Straif","given":"Kurt"},{"family":"Straney","given":"Lahn"},{"family":"Thurston","given":"George D"},{"family":"Tran","given":"Jimmy H"},{"family":"Van Dingenen","given":"Rita"},{"family":"Donkelaar","given":"Aaron","non-dropping-particle":"van"},{"family":"Veerman","given":"J Lennert"},{"family":"Vijayakumar","given":"Lakshmi"},{"family":"Weintraub","given":"Robert"},{"family":"Weissman","given":"Myrna M"},{"family":"White","given":"Richard A"},{"family":"Whiteford","given":"Harvey"},{"family":"Wiersma","given":"Steven T"},{"family":"Wilkinson","given":"James D"},{"family":"Williams","given":"Hywel C"},{"family":"Williams","given":"Warwick"},{"family":"Wilson","given":"Nicholas"},{"family":"Woolf","given":"Anthony D"},{"family":"Yip","given":"Paul"},{"family":"Zielinski","given":"Jan M"},{"family":"Lopez","given":"Alan D"},{"family":"Murray","given":"Christopher JL"},{"family":"Ezzati","given":"Majid"}],"issued":{"date-parts":[["2012",12]]}}},{"id":458,"uris":["http://zotero.org/users/5867530/items/LLQWIWAZ"],"uri":["http://zotero.org/users/5867530/items/LLQWIWAZ"],"itemData":{"id":458,"type":"article-journal","container-title":"The Lancet","DOI":"10.1016/S0140-6736(12)61899-6","ISSN":"01406736","issue":"9859","journalAbbreviation":"The Lancet","language":"en","page":"2063-2066","source":"DOI.org (Crossref)","title":"GBD 2010: design, definitions, and metrics","title-short":"GBD 2010","volume":"380","author":[{"family":"Murray","given":"Christopher JL"},{"family":"Ezzati","given":"Majid"},{"family":"Flaxman","given":"Abraham D"},{"family":"Lim","given":"Stephen"},{"family":"Lozano","given":"Rafael"},{"family":"Michaud","given":"Catherine"},{"family":"Naghavi","given":"Mohsen"},{"family":"Salomon","given":"Joshua A"},{"family":"Shibuya","given":"Kenji"},{"family":"Vos","given":"Theo"},{"family":"Wikler","given":"Daniel"},{"family":"Lopez","given":"Alan D"}],"issued":{"date-parts":[["2012",12]]}}}],"schema":"https://github.com/citation-style-language/schema/raw/master/csl-citation.json"} </w:instrText>
      </w:r>
      <w:r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20,21</w:t>
      </w:r>
      <w:r w:rsidRPr="00E05A85">
        <w:rPr>
          <w:rFonts w:ascii="Times New Roman" w:eastAsia="Malgun Gothic" w:hAnsi="Times New Roman" w:cs="Times New Roman"/>
          <w:iCs/>
          <w:sz w:val="24"/>
          <w:szCs w:val="24"/>
          <w:lang w:eastAsia="ko-KR"/>
        </w:rPr>
        <w:fldChar w:fldCharType="end"/>
      </w:r>
      <w:r w:rsidRPr="00E05A85">
        <w:rPr>
          <w:rFonts w:ascii="Times New Roman" w:eastAsia="Malgun Gothic" w:hAnsi="Times New Roman" w:cs="Times New Roman"/>
          <w:iCs/>
          <w:sz w:val="24"/>
          <w:szCs w:val="24"/>
          <w:lang w:eastAsia="ko-KR"/>
        </w:rPr>
        <w:t xml:space="preserve">. Therefore, it can be shown that </w:t>
      </w:r>
      <m:oMath>
        <m:sSub>
          <m:sSubPr>
            <m:ctrlPr>
              <w:rPr>
                <w:rFonts w:ascii="Cambria Math" w:eastAsia="Malgun Gothic" w:hAnsi="Cambria Math" w:cs="Times New Roman"/>
                <w:i/>
                <w:iCs/>
                <w:sz w:val="24"/>
                <w:szCs w:val="24"/>
                <w:lang w:eastAsia="ko-KR"/>
              </w:rPr>
            </m:ctrlPr>
          </m:sSubPr>
          <m:e>
            <m:r>
              <w:rPr>
                <w:rFonts w:ascii="Cambria Math" w:eastAsia="Malgun Gothic" w:hAnsi="Cambria Math" w:cs="Times New Roman"/>
                <w:sz w:val="24"/>
                <w:szCs w:val="24"/>
                <w:lang w:eastAsia="ko-KR"/>
              </w:rPr>
              <m:t>PAF</m:t>
            </m:r>
          </m:e>
          <m:sub>
            <m:r>
              <w:rPr>
                <w:rFonts w:ascii="Cambria Math" w:eastAsia="Malgun Gothic" w:hAnsi="Cambria Math" w:cs="Times New Roman"/>
                <w:sz w:val="24"/>
                <w:szCs w:val="24"/>
                <w:lang w:eastAsia="ko-KR"/>
              </w:rPr>
              <m:t>TOT</m:t>
            </m:r>
          </m:sub>
        </m:sSub>
        <m:r>
          <w:rPr>
            <w:rFonts w:ascii="Cambria Math" w:eastAsia="Malgun Gothic" w:hAnsi="Cambria Math" w:cs="Times New Roman"/>
            <w:sz w:val="24"/>
            <w:szCs w:val="24"/>
            <w:lang w:eastAsia="ko-KR"/>
          </w:rPr>
          <m:t>=1-</m:t>
        </m:r>
        <m:sSub>
          <m:sSubPr>
            <m:ctrlPr>
              <w:rPr>
                <w:rFonts w:ascii="Cambria Math" w:eastAsia="Malgun Gothic" w:hAnsi="Cambria Math" w:cs="Times New Roman"/>
                <w:i/>
                <w:iCs/>
                <w:sz w:val="24"/>
                <w:szCs w:val="24"/>
                <w:lang w:eastAsia="ko-KR"/>
              </w:rPr>
            </m:ctrlPr>
          </m:sSubPr>
          <m:e>
            <m:r>
              <w:rPr>
                <w:rFonts w:ascii="Cambria Math" w:eastAsia="Malgun Gothic" w:hAnsi="Cambria Math" w:cs="Times New Roman"/>
                <w:sz w:val="24"/>
                <w:szCs w:val="24"/>
                <w:lang w:eastAsia="ko-KR"/>
              </w:rPr>
              <m:t>π</m:t>
            </m:r>
          </m:e>
          <m:sub>
            <m:r>
              <w:rPr>
                <w:rFonts w:ascii="Cambria Math" w:eastAsia="Malgun Gothic" w:hAnsi="Cambria Math" w:cs="Times New Roman"/>
                <w:sz w:val="24"/>
                <w:szCs w:val="24"/>
                <w:lang w:eastAsia="ko-KR"/>
              </w:rPr>
              <m:t>i</m:t>
            </m:r>
          </m:sub>
        </m:sSub>
        <m:r>
          <w:rPr>
            <w:rFonts w:ascii="Cambria Math" w:eastAsia="Malgun Gothic" w:hAnsi="Cambria Math" w:cs="Times New Roman"/>
            <w:sz w:val="24"/>
            <w:szCs w:val="24"/>
            <w:lang w:eastAsia="ko-KR"/>
          </w:rPr>
          <m:t>(1-</m:t>
        </m:r>
        <m:sSub>
          <m:sSubPr>
            <m:ctrlPr>
              <w:rPr>
                <w:rFonts w:ascii="Cambria Math" w:eastAsia="Malgun Gothic" w:hAnsi="Cambria Math" w:cs="Times New Roman"/>
                <w:i/>
                <w:iCs/>
                <w:sz w:val="24"/>
                <w:szCs w:val="24"/>
                <w:lang w:eastAsia="ko-KR"/>
              </w:rPr>
            </m:ctrlPr>
          </m:sSubPr>
          <m:e>
            <m:r>
              <w:rPr>
                <w:rFonts w:ascii="Cambria Math" w:eastAsia="Malgun Gothic" w:hAnsi="Cambria Math" w:cs="Times New Roman"/>
                <w:sz w:val="24"/>
                <w:szCs w:val="24"/>
                <w:lang w:eastAsia="ko-KR"/>
              </w:rPr>
              <m:t>PAF</m:t>
            </m:r>
          </m:e>
          <m:sub>
            <m:r>
              <w:rPr>
                <w:rFonts w:ascii="Cambria Math" w:eastAsia="Malgun Gothic" w:hAnsi="Cambria Math" w:cs="Times New Roman"/>
                <w:sz w:val="24"/>
                <w:szCs w:val="24"/>
                <w:lang w:eastAsia="ko-KR"/>
              </w:rPr>
              <m:t>i</m:t>
            </m:r>
          </m:sub>
        </m:sSub>
        <m:r>
          <w:rPr>
            <w:rFonts w:ascii="Cambria Math" w:eastAsia="Malgun Gothic" w:hAnsi="Cambria Math" w:cs="Times New Roman"/>
            <w:sz w:val="24"/>
            <w:szCs w:val="24"/>
            <w:lang w:eastAsia="ko-KR"/>
          </w:rPr>
          <m:t>)</m:t>
        </m:r>
      </m:oMath>
      <w:r w:rsidRPr="00E05A85">
        <w:rPr>
          <w:rFonts w:ascii="Times New Roman" w:eastAsia="Malgun Gothic" w:hAnsi="Times New Roman" w:cs="Times New Roman"/>
          <w:iCs/>
          <w:sz w:val="24"/>
          <w:szCs w:val="24"/>
          <w:lang w:eastAsia="ko-KR"/>
        </w:rPr>
        <w:t xml:space="preserve"> where the i’s denote independent risk factors. </w:t>
      </w:r>
    </w:p>
    <w:p w14:paraId="2B231ABA" w14:textId="7C49AA43" w:rsidR="00730BDC" w:rsidRPr="00E05A85" w:rsidRDefault="00496F8F" w:rsidP="00E05A85">
      <w:pPr>
        <w:spacing w:after="0" w:line="240" w:lineRule="auto"/>
        <w:ind w:firstLine="360"/>
        <w:jc w:val="both"/>
        <w:rPr>
          <w:rFonts w:ascii="Times New Roman" w:eastAsia="Malgun Gothic" w:hAnsi="Times New Roman" w:cs="Times New Roman"/>
          <w:iCs/>
          <w:sz w:val="24"/>
          <w:szCs w:val="24"/>
          <w:lang w:eastAsia="ko-KR"/>
        </w:rPr>
      </w:pPr>
      <w:r w:rsidRPr="00E05A85">
        <w:rPr>
          <w:rFonts w:ascii="Times New Roman" w:eastAsia="Malgun Gothic" w:hAnsi="Times New Roman" w:cs="Times New Roman"/>
          <w:iCs/>
          <w:sz w:val="24"/>
          <w:szCs w:val="24"/>
          <w:lang w:eastAsia="ko-KR"/>
        </w:rPr>
        <w:t xml:space="preserve">We </w:t>
      </w:r>
      <w:r w:rsidR="00730BDC" w:rsidRPr="00E05A85">
        <w:rPr>
          <w:rFonts w:ascii="Times New Roman" w:eastAsia="Malgun Gothic" w:hAnsi="Times New Roman" w:cs="Times New Roman"/>
          <w:iCs/>
          <w:sz w:val="24"/>
          <w:szCs w:val="24"/>
          <w:lang w:eastAsia="ko-KR"/>
        </w:rPr>
        <w:t xml:space="preserve">rely on publicly available data from different sources to parameterize the comparative risk analysis. </w:t>
      </w:r>
      <w:r w:rsidRPr="00E05A85">
        <w:rPr>
          <w:rFonts w:ascii="Times New Roman" w:eastAsia="Malgun Gothic" w:hAnsi="Times New Roman" w:cs="Times New Roman"/>
          <w:iCs/>
          <w:sz w:val="24"/>
          <w:szCs w:val="24"/>
          <w:lang w:eastAsia="ko-KR"/>
        </w:rPr>
        <w:t>We</w:t>
      </w:r>
      <w:r w:rsidR="00730BDC" w:rsidRPr="00E05A85">
        <w:rPr>
          <w:rFonts w:ascii="Times New Roman" w:eastAsia="Malgun Gothic" w:hAnsi="Times New Roman" w:cs="Times New Roman"/>
          <w:iCs/>
          <w:sz w:val="24"/>
          <w:szCs w:val="24"/>
          <w:lang w:eastAsia="ko-KR"/>
        </w:rPr>
        <w:t xml:space="preserve"> use two large-pooled analyses of prospective cohort studies </w:t>
      </w:r>
      <w:r w:rsidR="00730BDC"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{"citationID":"TYfa2Uck","properties":{"formattedCitation":"\\super 22,23\\nosupersub{}","plainCitation":"22,23","noteIndex":0},"citationItems":[{"id":459,"uris":["http://zotero.org/users/5867530/items/Y9V3KSHW"],"uri":["http://zotero.org/users/5867530/items/Y9V3KSHW"],"itemData":{"id":459,"type":"article-journal","container-title":"New England Journal of Medicine","DOI":"10.1056/NEJMoa1000367","ISSN":"0028-4793, 1533-4406","issue":"23","journalAbbreviation":"N Engl J Med","language":"en","page":"2211-2219","source":"DOI.org (Crossref)","title":"Body-Mass Index and Mortality among 1.46 Million White Adults","volume":"363","author":[{"family":"Berrington de Gonzalez","given":"Amy"},{"family":"Hartge","given":"Patricia"},{"family":"Cerhan","given":"James R."},{"family":"Flint","given":"Alan J."},{"family":"Hannan","given":"Lindsay"},{"family":"MacInnis","given":"Robert J."},{"family":"Moore","given":"Steven C."},{"family":"Tobias","given":"Geoffrey S."},{"family":"Anton-Culver","given":"Hoda"},{"family":"Freeman","given":"Laura Beane"},{"family":"Beeson","given":"W. Lawrence"},{"family":"Clipp","given":"Sandra L."},{"family":"English","given":"Dallas R."},{"family":"Folsom","given":"Aaron R."},{"family":"Freedman","given":"D. Michal"},{"family":"Giles","given":"Graham"},{"family":"Hakansson","given":"Niclas"},{"family":"Henderson","given":"Katherine D."},{"family":"Hoffman-Bolton","given":"Judith"},{"family":"Hoppin","given":"Jane A."},{"family":"Koenig","given":"Karen L."},{"family":"Lee","given":"I-Min"},{"family":"Linet","given":"Martha S."},{"family":"Park","given":"Yikyung"},{"family":"Pocobelli","given":"Gaia"},{"family":"Schatzkin","given":"Arthur"},{"family":"Sesso","given":"Howard D."},{"family":"Weiderpass","given":"Elisabete"},{"family":"Willcox","given":"Bradley J."},{"family":"Wolk","given":"Alicja"},{"family":"Zeleniuch-Jacquotte","given":"Anne"},{"family":"Willett","given":"Walter C."},{"family":"Thun","given":"Michael J."}],"issued":{"date-parts":[["2010",12,2]]}}},{"id":461,"uris":["http://zotero.org/users/5867530/items/2TU92CDG"],"uri":["http://zotero.org/users/5867530/items/2TU92CDG"],"itemData":{"id":461,"type":"article-journal","container-title":"The Lancet","DOI":"10.1016/S0140-6736(09)60318-4","ISSN":"01406736","issue":"9669","journalAbbreviation":"The Lancet","language":"en","page":"1083-1096","source":"DOI.org (Crossref)","title":"Body-mass index and cause-specific mortality in 900 000 adults: collaborative analyses of 57 prospective studies","title-short":"Body-mass index and cause-specific mortality in 900 000 adults","volume":"373","author":[{"literal":"Prospective Studies Collaboration"}],"issued":{"date-parts":[["2009",3]]}}}],"schema":"https://github.com/citation-style-language/schema/raw/master/csl-citation.json"} </w:instrText>
      </w:r>
      <w:r w:rsidR="00730BDC"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22,23</w:t>
      </w:r>
      <w:r w:rsidR="00730BDC" w:rsidRPr="00E05A85">
        <w:rPr>
          <w:rFonts w:ascii="Times New Roman" w:eastAsia="Malgun Gothic" w:hAnsi="Times New Roman" w:cs="Times New Roman"/>
          <w:iCs/>
          <w:sz w:val="24"/>
          <w:szCs w:val="24"/>
          <w:lang w:eastAsia="ko-KR"/>
        </w:rPr>
        <w:fldChar w:fldCharType="end"/>
      </w:r>
      <w:r w:rsidR="00730BDC" w:rsidRPr="00E05A85">
        <w:rPr>
          <w:rFonts w:ascii="Times New Roman" w:eastAsia="Malgun Gothic" w:hAnsi="Times New Roman" w:cs="Times New Roman"/>
          <w:iCs/>
          <w:sz w:val="24"/>
          <w:szCs w:val="24"/>
          <w:lang w:eastAsia="ko-KR"/>
        </w:rPr>
        <w:t xml:space="preserve"> to infer the parameters describing disease attributable to weight-related relative risks. </w:t>
      </w:r>
      <w:r w:rsidRPr="00E05A85">
        <w:rPr>
          <w:rFonts w:ascii="Times New Roman" w:eastAsia="Malgun Gothic" w:hAnsi="Times New Roman" w:cs="Times New Roman"/>
          <w:iCs/>
          <w:sz w:val="24"/>
          <w:szCs w:val="24"/>
          <w:lang w:eastAsia="ko-KR"/>
        </w:rPr>
        <w:t>We</w:t>
      </w:r>
      <w:r w:rsidR="00730BDC" w:rsidRPr="00E05A85">
        <w:rPr>
          <w:rFonts w:ascii="Times New Roman" w:eastAsia="Malgun Gothic" w:hAnsi="Times New Roman" w:cs="Times New Roman"/>
          <w:iCs/>
          <w:sz w:val="24"/>
          <w:szCs w:val="24"/>
          <w:lang w:eastAsia="ko-KR"/>
        </w:rPr>
        <w:t xml:space="preserve"> adopted the relative risk parameters linking weight-related disease factors and BMI from previous studies, focusing in 4 categories: coronary heart disease (CHD), stroke, type-2 diabetes mellitus (T2DM) </w:t>
      </w:r>
      <w:r w:rsidR="00730BDC"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{"citationID":"r9tsjVTZ","properties":{"formattedCitation":"\\super 23\\nosupersub{}","plainCitation":"23","noteIndex":0},"citationItems":[{"id":461,"uris":["http://zotero.org/users/5867530/items/2TU92CDG"],"uri":["http://zotero.org/users/5867530/items/2TU92CDG"],"itemData":{"id":461,"type":"article-journal","container-title":"The Lancet","DOI":"10.1016/S0140-6736(09)60318-4","ISSN":"01406736","issue":"9669","journalAbbreviation":"The Lancet","language":"en","page":"1083-1096","source":"DOI.org (Crossref)","title":"Body-mass index and cause-specific mortality in 900 000 adults: collaborative analyses of 57 prospective studies","title-short":"Body-mass index and cause-specific mortality in 900 000 adults","volume":"373","author":[{"literal":"Prospective Studies Collaboration"}],"issued":{"date-parts":[["2009",3]]}}}],"schema":"https://github.com/citation-style-language/schema/raw/master/csl-citation.json"} </w:instrText>
      </w:r>
      <w:r w:rsidR="00730BDC"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23</w:t>
      </w:r>
      <w:r w:rsidR="00730BDC" w:rsidRPr="00E05A85">
        <w:rPr>
          <w:rFonts w:ascii="Times New Roman" w:eastAsia="Malgun Gothic" w:hAnsi="Times New Roman" w:cs="Times New Roman"/>
          <w:iCs/>
          <w:sz w:val="24"/>
          <w:szCs w:val="24"/>
          <w:lang w:eastAsia="ko-KR"/>
        </w:rPr>
        <w:fldChar w:fldCharType="end"/>
      </w:r>
      <w:r w:rsidR="00730BDC" w:rsidRPr="00E05A85">
        <w:rPr>
          <w:rFonts w:ascii="Times New Roman" w:eastAsia="Malgun Gothic" w:hAnsi="Times New Roman" w:cs="Times New Roman"/>
          <w:iCs/>
          <w:sz w:val="24"/>
          <w:szCs w:val="24"/>
          <w:lang w:eastAsia="ko-KR"/>
        </w:rPr>
        <w:t xml:space="preserve">, and some type of cancers </w:t>
      </w:r>
      <w:r w:rsidR="00730BDC"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{"citationID":"cxYW2to7","properties":{"formattedCitation":"\\super 22\\nosupersub{}","plainCitation":"22","noteIndex":0},"citationItems":[{"id":459,"uris":["http://zotero.org/users/5867530/items/Y9V3KSHW"],"uri":["http://zotero.org/users/5867530/items/Y9V3KSHW"],"itemData":{"id":459,"type":"article-journal","container-title":"New England Journal of Medicine","DOI":"10.1056/NEJMoa1000367","ISSN":"0028-4793, 1533-4406","issue":"23","journalAbbreviation":"N Engl J Med","language":"en","page":"2211-2219","source":"DOI.org (Crossref)","title":"Body-Mass Index and Mortality among 1.46 Million White Adults","volume":"363","author":[{"family":"Berrington de Gonzalez","given":"Amy"},{"family":"Hartge","given":"Patricia"},{"family":"Cerhan","given":"James R."},{"family":"Flint","given":"Alan J."},{"family":"Hannan","given":"Lindsay"},{"family":"MacInnis","given":"Robert J."},{"family":"Moore","given":"Steven C."},{"family":"Tobias","given":"Geoffrey S."},{"family":"Anton-Culver","given":"Hoda"},{"family":"Freeman","given":"Laura Beane"},{"family":"Beeson","given":"W. Lawrence"},{"family":"Clipp","given":"Sandra L."},{"family":"English","given":"Dallas R."},{"family":"Folsom","given":"Aaron R."},{"family":"Freedman","given":"D. Michal"},{"family":"Giles","given":"Graham"},{"family":"Hakansson","given":"Niclas"},{"family":"Henderson","given":"Katherine D."},{"family":"Hoffman-Bolton","given":"Judith"},{"family":"Hoppin","given":"Jane A."},{"family":"Koenig","given":"Karen L."},{"family":"Lee","given":"I-Min"},{"family":"Linet","given":"Martha S."},{"family":"Park","given":"Yikyung"},{"family":"Pocobelli","given":"Gaia"},{"family":"Schatzkin","given":"Arthur"},{"family":"Sesso","given":"Howard D."},{"family":"Weiderpass","given":"Elisabete"},{"family":"Willcox","given":"Bradley J."},{"family":"Wolk","given":"Alicja"},{"family":"Zeleniuch-Jacquotte","given":"Anne"},{"family":"Willett","given":"Walter C."},{"family":"Thun","given":"Michael J."}],"issued":{"date-parts":[["2010",12,2]]}}}],"schema":"https://github.com/citation-style-language/schema/raw/master/csl-citation.json"} </w:instrText>
      </w:r>
      <w:r w:rsidR="00730BDC"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22</w:t>
      </w:r>
      <w:r w:rsidR="00730BDC" w:rsidRPr="00E05A85">
        <w:rPr>
          <w:rFonts w:ascii="Times New Roman" w:eastAsia="Malgun Gothic" w:hAnsi="Times New Roman" w:cs="Times New Roman"/>
          <w:iCs/>
          <w:sz w:val="24"/>
          <w:szCs w:val="24"/>
          <w:lang w:eastAsia="ko-KR"/>
        </w:rPr>
        <w:fldChar w:fldCharType="end"/>
      </w:r>
      <w:r w:rsidR="00730BDC" w:rsidRPr="00E05A85">
        <w:rPr>
          <w:rFonts w:ascii="Times New Roman" w:eastAsia="Malgun Gothic" w:hAnsi="Times New Roman" w:cs="Times New Roman"/>
          <w:iCs/>
          <w:sz w:val="24"/>
          <w:szCs w:val="24"/>
          <w:lang w:eastAsia="ko-KR"/>
        </w:rPr>
        <w:t xml:space="preserve">. The weight-related relative risk parameters were aggregated to the BMI categories used in this study and normalized to a risk-neutral normal weight category consistent with the epidemiological evidence </w:t>
      </w:r>
      <w:r w:rsidR="00730BDC"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{"citationID":"VnprI2Q2","properties":{"formattedCitation":"\\super 22,23\\nosupersub{}","plainCitation":"22,23","noteIndex":0},"citationItems":[{"id":459,"uris":["http://zotero.org/users/5867530/items/Y9V3KSHW"],"uri":["http://zotero.org/users/5867530/items/Y9V3KSHW"],"itemData":{"id":459,"type":"article-journal","container-title":"New England Journal of Medicine","DOI":"10.1056/NEJMoa1000367","ISSN":"0028-4793, 1533-4406","issue":"23","journalAbbreviation":"N Engl J Med","language":"en","page":"2211-2219","source":"DOI.org (Crossref)","title":"Body-Mass Index and Mortality among 1.46 Million White Adults","volume":"363","author":[{"family":"Berrington de Gonzalez","given":"Amy"},{"family":"Hartge","given":"Patricia"},{"family":"Cerhan","given":"James R."},{"family":"Flint","given":"Alan J."},{"family":"Hannan","given":"Lindsay"},{"family":"MacInnis","given":"Robert J."},{"family":"Moore","given":"Steven C."},{"family":"Tobias","given":"Geoffrey S."},{"family":"Anton-Culver","given":"Hoda"},{"family":"Freeman","given":"Laura Beane"},{"family":"Beeson","given":"W. Lawrence"},{"family":"Clipp","given":"Sandra L."},{"family":"English","given":"Dallas R."},{"family":"Folsom","given":"Aaron R."},{"family":"Freedman","given":"D. Michal"},{"family":"Giles","given":"Graham"},{"family":"Hakansson","given":"Niclas"},{"family":"Henderson","given":"Katherine D."},{"family":"Hoffman-Bolton","given":"Judith"},{"family":"Hoppin","given":"Jane A."},{"family":"Koenig","given":"Karen L."},{"family":"Lee","given":"I-Min"},{"family":"Linet","given":"Martha S."},{"family":"Park","given":"Yikyung"},{"family":"Pocobelli","given":"Gaia"},{"family":"Schatzkin","given":"Arthur"},{"family":"Sesso","given":"Howard D."},{"family":"Weiderpass","given":"Elisabete"},{"family":"Willcox","given":"Bradley J."},{"family":"Wolk","given":"Alicja"},{"family":"Zeleniuch-Jacquotte","given":"Anne"},{"family":"Willett","given":"Walter C."},{"family":"Thun","given":"Michael J."}],"issued":{"date-parts":[["2010",12,2]]}}},{"id":461,"uris":["http://zotero.org/users/5867530/items/2TU92CDG"],"uri":["http://zotero.org/users/5867530/items/2TU92CDG"],"itemData":{"id":461,"type":"article-journal","container-title":"The Lancet","DOI":"10.1016/S0140-6736(09)60318-4","ISSN":"01406736","issue":"9669","journalAbbreviation":"The Lancet","language":"en","page":"1083-1096","source":"DOI.org (Crossref)","title":"Body-mass index and cause-specific mortality in 900 000 adults: collaborative analyses of 57 prospective studies","title-short":"Body-mass index and cause-specific mortality in 900 000 adults","volume":"373","author":[{"literal":"Prospective Studies Collaboration"}],"issued":{"date-parts":[["2009",3]]}}}],"schema":"https://github.com/citation-style-language/schema/raw/master/csl-citation.json"} </w:instrText>
      </w:r>
      <w:r w:rsidR="00730BDC"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22,23</w:t>
      </w:r>
      <w:r w:rsidR="00730BDC" w:rsidRPr="00E05A85">
        <w:rPr>
          <w:rFonts w:ascii="Times New Roman" w:eastAsia="Malgun Gothic" w:hAnsi="Times New Roman" w:cs="Times New Roman"/>
          <w:iCs/>
          <w:sz w:val="24"/>
          <w:szCs w:val="24"/>
          <w:lang w:eastAsia="ko-KR"/>
        </w:rPr>
        <w:fldChar w:fldCharType="end"/>
      </w:r>
      <w:r w:rsidR="00730BDC" w:rsidRPr="00E05A85">
        <w:rPr>
          <w:rFonts w:ascii="Times New Roman" w:eastAsia="Malgun Gothic" w:hAnsi="Times New Roman" w:cs="Times New Roman"/>
          <w:iCs/>
          <w:sz w:val="24"/>
          <w:szCs w:val="24"/>
          <w:lang w:eastAsia="ko-KR"/>
        </w:rPr>
        <w:t>. For the purposes of the analyses on this chapter, the PAFs a based on a comparison of the relative risk exposures caused by the average adult BMI levels projected towards 2050 with the counterfactual hypothesis of BMI levels fixed at 2015 levels (</w:t>
      </w:r>
      <w:r w:rsidR="002763A1" w:rsidRPr="00E05A85">
        <w:rPr>
          <w:rFonts w:ascii="Times New Roman" w:eastAsia="Malgun Gothic" w:hAnsi="Times New Roman" w:cs="Times New Roman"/>
          <w:b/>
          <w:bCs/>
          <w:iCs/>
          <w:sz w:val="24"/>
          <w:szCs w:val="24"/>
          <w:lang w:eastAsia="ko-KR"/>
        </w:rPr>
        <w:t>Figure </w:t>
      </w:r>
      <w:r w:rsidR="00454EA0" w:rsidRPr="00E05A85">
        <w:rPr>
          <w:rFonts w:ascii="Times New Roman" w:eastAsia="Malgun Gothic" w:hAnsi="Times New Roman" w:cs="Times New Roman"/>
          <w:b/>
          <w:bCs/>
          <w:iCs/>
          <w:sz w:val="24"/>
          <w:szCs w:val="24"/>
          <w:lang w:eastAsia="ko-KR"/>
        </w:rPr>
        <w:t>2</w:t>
      </w:r>
      <w:r w:rsidR="002763A1" w:rsidRPr="00E05A85">
        <w:rPr>
          <w:rFonts w:ascii="Times New Roman" w:eastAsia="Malgun Gothic" w:hAnsi="Times New Roman" w:cs="Times New Roman"/>
          <w:b/>
          <w:bCs/>
          <w:iCs/>
          <w:sz w:val="24"/>
          <w:szCs w:val="24"/>
          <w:lang w:eastAsia="ko-KR"/>
        </w:rPr>
        <w:t xml:space="preserve">d </w:t>
      </w:r>
      <w:r w:rsidR="00730BDC" w:rsidRPr="00E05A85">
        <w:rPr>
          <w:rFonts w:ascii="Times New Roman" w:eastAsia="Malgun Gothic" w:hAnsi="Times New Roman" w:cs="Times New Roman"/>
          <w:iCs/>
          <w:sz w:val="24"/>
          <w:szCs w:val="24"/>
          <w:lang w:eastAsia="ko-KR"/>
        </w:rPr>
        <w:t>and</w:t>
      </w:r>
      <w:r w:rsidR="002763A1" w:rsidRPr="00E05A85">
        <w:rPr>
          <w:rFonts w:ascii="Times New Roman" w:eastAsia="Malgun Gothic" w:hAnsi="Times New Roman" w:cs="Times New Roman"/>
          <w:b/>
          <w:bCs/>
          <w:iCs/>
          <w:sz w:val="24"/>
          <w:szCs w:val="24"/>
          <w:lang w:eastAsia="ko-KR"/>
        </w:rPr>
        <w:t xml:space="preserve"> Figure S10</w:t>
      </w:r>
      <w:r w:rsidR="00730BDC" w:rsidRPr="00E05A85">
        <w:rPr>
          <w:rFonts w:ascii="Times New Roman" w:eastAsia="Malgun Gothic" w:hAnsi="Times New Roman" w:cs="Times New Roman"/>
          <w:iCs/>
          <w:sz w:val="24"/>
          <w:szCs w:val="24"/>
          <w:lang w:eastAsia="ko-KR"/>
        </w:rPr>
        <w:t xml:space="preserve">). Therefore, PAFs in this study represent the proportion of disease cases that would be avoided if average adult BMI, for adult men and women, did not increase as expected towards 2050. </w:t>
      </w:r>
    </w:p>
    <w:p w14:paraId="3758CF0E" w14:textId="4B00F18A" w:rsidR="00730BDC" w:rsidRPr="00E05A85" w:rsidRDefault="002763A1" w:rsidP="00E05A85">
      <w:pPr>
        <w:spacing w:after="0" w:line="240" w:lineRule="auto"/>
        <w:ind w:firstLine="360"/>
        <w:jc w:val="both"/>
        <w:rPr>
          <w:rFonts w:ascii="Times New Roman" w:eastAsia="Malgun Gothic" w:hAnsi="Times New Roman" w:cs="Times New Roman"/>
          <w:iCs/>
          <w:sz w:val="24"/>
          <w:szCs w:val="24"/>
          <w:lang w:eastAsia="ko-KR"/>
        </w:rPr>
      </w:pPr>
      <w:r w:rsidRPr="00E05A85">
        <w:rPr>
          <w:rFonts w:ascii="Times New Roman" w:eastAsia="Malgun Gothic" w:hAnsi="Times New Roman" w:cs="Times New Roman"/>
          <w:iCs/>
          <w:sz w:val="24"/>
          <w:szCs w:val="24"/>
          <w:lang w:eastAsia="ko-KR"/>
        </w:rPr>
        <w:t>We</w:t>
      </w:r>
      <w:r w:rsidR="00730BDC" w:rsidRPr="00E05A85">
        <w:rPr>
          <w:rFonts w:ascii="Times New Roman" w:eastAsia="Malgun Gothic" w:hAnsi="Times New Roman" w:cs="Times New Roman"/>
          <w:iCs/>
          <w:sz w:val="24"/>
          <w:szCs w:val="24"/>
          <w:lang w:eastAsia="ko-KR"/>
        </w:rPr>
        <w:t xml:space="preserve"> find that the PAFs attributable to projected changes in adult BMI are substantial for many major non-communicable diseases related to overweight and obesity </w:t>
      </w:r>
      <w:r w:rsidR="00730BDC"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{"citationID":"V2uUrzai","properties":{"formattedCitation":"\\super 24\\nosupersub{}","plainCitation":"24","noteIndex":0},"citationItems":[{"id":75,"uris":["http://zotero.org/users/5867530/items/332N5EMW"],"uri":["http://zotero.org/users/5867530/items/332N5EMW"],"itemData":{"id":75,"type":"article-journal","container-title":"Nature","DOI":"10.1038/s41586-018-0594-0","ISSN":"0028-0836, 1476-4687","issue":"7728","journalAbbreviation":"Nature","language":"en","page":"519-525","source":"DOI.org (Crossref)","title":"Options for keeping the food system within environmental limits","volume":"562","author":[{"family":"Springmann","given":"Marco"},{"family":"Clark","given":"Michael"},{"family":"Mason-D’Croz","given":"Daniel"},{"family":"Wiebe","given":"Keith"},{"family":"Bodirsky","given":"Benjamin Leon"},{"family":"Lassaletta","given":"Luis"},{"family":"Vries","given":"Wim","non-dropping-particle":"de"},{"family":"Vermeulen","given":"Sonja J."},{"family":"Herrero","given":"Mario"},{"family":"Carlson","given":"Kimberly M."},{"family":"Jonell","given":"Malin"},{"family":"Troell","given":"Max"},{"family":"DeClerck","given":"Fabrice"},{"family":"Gordon","given":"Line J."},{"family":"Zurayk","given":"Rami"},{"family":"Scarborough","given":"Peter"},{"family":"Rayner","given":"Mike"},{"family":"Loken","given":"Brent"},{"family":"Fanzo","given":"Jess"},{"family":"Godfray","given":"H. Charles J."},{"family":"Tilman","given":"David"},{"family":"Rockström","given":"Johan"},{"family":"Willett","given":"Walter"}],"issued":{"date-parts":[["2018",10]]}}}],"schema":"https://github.com/citation-style-language/schema/raw/master/csl-citation.json"} </w:instrText>
      </w:r>
      <w:r w:rsidR="00730BDC"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24</w:t>
      </w:r>
      <w:r w:rsidR="00730BDC" w:rsidRPr="00E05A85">
        <w:rPr>
          <w:rFonts w:ascii="Times New Roman" w:eastAsia="Malgun Gothic" w:hAnsi="Times New Roman" w:cs="Times New Roman"/>
          <w:iCs/>
          <w:sz w:val="24"/>
          <w:szCs w:val="24"/>
          <w:lang w:eastAsia="ko-KR"/>
        </w:rPr>
        <w:fldChar w:fldCharType="end"/>
      </w:r>
      <w:r w:rsidR="00730BDC" w:rsidRPr="00E05A85">
        <w:rPr>
          <w:rFonts w:ascii="Times New Roman" w:eastAsia="Malgun Gothic" w:hAnsi="Times New Roman" w:cs="Times New Roman"/>
          <w:iCs/>
          <w:sz w:val="24"/>
          <w:szCs w:val="24"/>
          <w:lang w:eastAsia="ko-KR"/>
        </w:rPr>
        <w:t xml:space="preserve">, likely impacting mortality paths towards 2050 </w:t>
      </w:r>
      <w:r w:rsidR="00730BDC"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{"citationID":"nF0DBTNF","properties":{"formattedCitation":"\\super 25\\nosupersub{}","plainCitation":"25","noteIndex":0},"citationItems":[{"id":238,"uris":["http://zotero.org/users/5867530/items/QVCFP7BA"],"uri":["http://zotero.org/users/5867530/items/QVCFP7BA"],"itemData":{"id":238,"type":"article-journal","container-title":"Proceedings of the National Academy of Sciences","issue":"5","note":"ISBN: 0027-8424\npublisher: National Academy of Sciences","page":"957-961","title":"The role of obesity in exceptionally slow US mortality improvement","volume":"115","author":[{"family":"Preston","given":"Samuel H."},{"family":"Vierboom","given":"Yana C."},{"family":"Stokes","given":"Andrew"}],"issued":{"date-parts":[["2018"]]}}}],"schema":"https://github.com/citation-style-language/schema/raw/master/csl-citation.json"} </w:instrText>
      </w:r>
      <w:r w:rsidR="00730BDC"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25</w:t>
      </w:r>
      <w:r w:rsidR="00730BDC" w:rsidRPr="00E05A85">
        <w:rPr>
          <w:rFonts w:ascii="Times New Roman" w:eastAsia="Malgun Gothic" w:hAnsi="Times New Roman" w:cs="Times New Roman"/>
          <w:iCs/>
          <w:sz w:val="24"/>
          <w:szCs w:val="24"/>
          <w:lang w:eastAsia="ko-KR"/>
        </w:rPr>
        <w:fldChar w:fldCharType="end"/>
      </w:r>
      <w:r w:rsidR="00730BDC" w:rsidRPr="00E05A85">
        <w:rPr>
          <w:rFonts w:ascii="Times New Roman" w:eastAsia="Malgun Gothic" w:hAnsi="Times New Roman" w:cs="Times New Roman"/>
          <w:iCs/>
          <w:sz w:val="24"/>
          <w:szCs w:val="24"/>
          <w:lang w:eastAsia="ko-KR"/>
        </w:rPr>
        <w:t xml:space="preserve">. This expected increase in major disease burdens will further stress national health care systems </w:t>
      </w:r>
      <w:r w:rsidR="00730BDC"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{"citationID":"ghOuJ9iT","properties":{"formattedCitation":"\\super 26\\nosupersub{}","plainCitation":"26","noteIndex":0},"citationItems":[{"id":50,"uris":["http://zotero.org/users/5867530/items/X3GNPZEP"],"uri":["http://zotero.org/users/5867530/items/X3GNPZEP"],"itemData":{"id":50,"type":"article-journal","abstract":"What we eat greatly influences our personal health and the environment we all share. Recent analyses have highlighted the likely dual health and environmental benefits of reducing the fraction of animal-sourced foods in our diets. Here, we couple for the first time, to our knowledge, a region-specific global health model based on dietary and weight-related risk factors with emissions accounting and economic valuation modules to quantify the linked health and environmental consequences of dietary changes. We find that the impacts of dietary changes toward less meat and more plant-based diets vary greatly among regions. The largest absolute environmental and health benefits result from diet shifts in developing countries whereas Western high-income and middle-income countries gain most in per capita terms. Transitioning toward more plant-based diets that are in line with standard dietary guidelines could reduce global mortality by 6–10% and food-related greenhouse gas emissions by 29–70% compared with a reference scenario in 2050. We find that the monetized value of the improvements in health would be comparable with, or exceed, the value of the environmental benefits although the exact valuation method used considerably affects the estimated amounts. Overall, we estimate the economic benefits of improving diets to be 1–31 trillion US dollars, which is equivalent to 0.4–13% of global gross domestic product (GDP) in 2050. However, significant changes in the global food system would be necessary for regional diets to match the dietary patterns studied here.","container-title":"Proc Natl Acad Sci USA","DOI":"10.1073/pnas.1523119113","ISSN":"0027-8424, 1091-6490","issue":"15","language":"en","page":"4146–4151","title":"Analysis and valuation of the health and climate change cobenefits of dietary change","volume":"113","author":[{"family":"Springmann","given":"Marco"},{"family":"Godfray","given":"H. Charles J."},{"family":"Rayner","given":"Mike"},{"family":"Scarborough","given":"Peter"}],"issued":{"date-parts":[["2016",4]]}}}],"schema":"https://github.com/citation-style-language/schema/raw/master/csl-citation.json"} </w:instrText>
      </w:r>
      <w:r w:rsidR="00730BDC"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26</w:t>
      </w:r>
      <w:r w:rsidR="00730BDC" w:rsidRPr="00E05A85">
        <w:rPr>
          <w:rFonts w:ascii="Times New Roman" w:eastAsia="Malgun Gothic" w:hAnsi="Times New Roman" w:cs="Times New Roman"/>
          <w:iCs/>
          <w:sz w:val="24"/>
          <w:szCs w:val="24"/>
          <w:lang w:eastAsia="ko-KR"/>
        </w:rPr>
        <w:fldChar w:fldCharType="end"/>
      </w:r>
      <w:r w:rsidRPr="00E05A85">
        <w:rPr>
          <w:rFonts w:ascii="Times New Roman" w:eastAsia="Malgun Gothic" w:hAnsi="Times New Roman" w:cs="Times New Roman"/>
          <w:iCs/>
          <w:sz w:val="24"/>
          <w:szCs w:val="24"/>
          <w:lang w:eastAsia="ko-KR"/>
        </w:rPr>
        <w:t xml:space="preserve">. </w:t>
      </w:r>
      <w:r w:rsidR="00730BDC" w:rsidRPr="00E05A85">
        <w:rPr>
          <w:rFonts w:ascii="Times New Roman" w:eastAsia="Malgun Gothic" w:hAnsi="Times New Roman" w:cs="Times New Roman"/>
          <w:iCs/>
          <w:sz w:val="24"/>
          <w:szCs w:val="24"/>
          <w:lang w:eastAsia="ko-KR"/>
        </w:rPr>
        <w:t xml:space="preserve">These results will also be associated with many economic and health costs </w:t>
      </w:r>
      <w:r w:rsidR="00730BDC"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{"citationID":"aw1xiZ6g","properties":{"formattedCitation":"\\super 26\\nosupersub{}","plainCitation":"26","noteIndex":0},"citationItems":[{"id":50,"uris":["http://zotero.org/users/5867530/items/X3GNPZEP"],"uri":["http://zotero.org/users/5867530/items/X3GNPZEP"],"itemData":{"id":50,"type":"article-journal","abstract":"What we eat greatly influences our personal health and the environment we all share. Recent analyses have highlighted the likely dual health and environmental benefits of reducing the fraction of animal-sourced foods in our diets. Here, we couple for the first time, to our knowledge, a region-specific global health model based on dietary and weight-related risk factors with emissions accounting and economic valuation modules to quantify the linked health and environmental consequences of dietary changes. We find that the impacts of dietary changes toward less meat and more plant-based diets vary greatly among regions. The largest absolute environmental and health benefits result from diet shifts in developing countries whereas Western high-income and middle-income countries gain most in per capita terms. Transitioning toward more plant-based diets that are in line with standard dietary guidelines could reduce global mortality by 6–10% and food-related greenhouse gas emissions by 29–70% compared with a reference scenario in 2050. We find that the monetized value of the improvements in health would be comparable with, or exceed, the value of the environmental benefits although the exact valuation method used considerably affects the estimated amounts. Overall, we estimate the economic benefits of improving diets to be 1–31 trillion US dollars, which is equivalent to 0.4–13% of global gross domestic product (GDP) in 2050. However, significant changes in the global food system would be necessary for regional diets to match the dietary patterns studied here.","container-title":"Proc Natl Acad Sci USA","DOI":"10.1073/pnas.1523119113","ISSN":"0027-8424, 1091-6490","issue":"15","language":"en","page":"4146–4151","title":"Analysis and valuation of the health and climate change cobenefits of dietary change","volume":"113","author":[{"family":"Springmann","given":"Marco"},{"family":"Godfray","given":"H. Charles J."},{"family":"Rayner","given":"Mike"},{"family":"Scarborough","given":"Peter"}],"issued":{"date-parts":[["2016",4]]}}}],"schema":"https://github.com/citation-style-language/schema/raw/master/csl-citation.json"} </w:instrText>
      </w:r>
      <w:r w:rsidR="00730BDC"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26</w:t>
      </w:r>
      <w:r w:rsidR="00730BDC" w:rsidRPr="00E05A85">
        <w:rPr>
          <w:rFonts w:ascii="Times New Roman" w:eastAsia="Malgun Gothic" w:hAnsi="Times New Roman" w:cs="Times New Roman"/>
          <w:iCs/>
          <w:sz w:val="24"/>
          <w:szCs w:val="24"/>
          <w:lang w:eastAsia="ko-KR"/>
        </w:rPr>
        <w:fldChar w:fldCharType="end"/>
      </w:r>
      <w:r w:rsidR="00730BDC" w:rsidRPr="00E05A85">
        <w:rPr>
          <w:rFonts w:ascii="Times New Roman" w:eastAsia="Malgun Gothic" w:hAnsi="Times New Roman" w:cs="Times New Roman"/>
          <w:iCs/>
          <w:sz w:val="24"/>
          <w:szCs w:val="24"/>
          <w:lang w:eastAsia="ko-KR"/>
        </w:rPr>
        <w:t xml:space="preserve">, which is particularly relevant in developing countries, characterized by weak institutions with highly differentiated access to good quality health systems </w:t>
      </w:r>
      <w:r w:rsidR="00730BDC" w:rsidRPr="00E05A85">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{"citationID":"MF7JgESW","properties":{"formattedCitation":"\\super 27\\nosupersub{}","plainCitation":"27","noteIndex":0},"citationItems":[{"id":422,"uris":["http://zotero.org/users/5867530/items/N4VXBIHW"],"uri":["http://zotero.org/users/5867530/items/N4VXBIHW"],"itemData":{"id":422,"type":"article-journal","container-title":"International Journal for Quality in Health Care","issue":"4","note":"ISBN: 1464-3677\npublisher: Oxford University Press","page":"237-243","title":"The role of quality improvement in strengthening health systems in developing countries","volume":"22","author":[{"family":"Leatherman","given":"Sheila"},{"family":"Ferris","given":"Timothy G."},{"family":"Berwick","given":"Donald"},{"family":"Omaswa","given":"Francis"},{"family":"Crisp","given":"Nigel"}],"issued":{"date-parts":[["2010"]]}}}],"schema":"https://github.com/citation-style-language/schema/raw/master/csl-citation.json"} </w:instrText>
      </w:r>
      <w:r w:rsidR="00730BDC" w:rsidRPr="00E05A85">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27</w:t>
      </w:r>
      <w:r w:rsidR="00730BDC" w:rsidRPr="00E05A85">
        <w:rPr>
          <w:rFonts w:ascii="Times New Roman" w:eastAsia="Malgun Gothic" w:hAnsi="Times New Roman" w:cs="Times New Roman"/>
          <w:iCs/>
          <w:sz w:val="24"/>
          <w:szCs w:val="24"/>
          <w:lang w:eastAsia="ko-KR"/>
        </w:rPr>
        <w:fldChar w:fldCharType="end"/>
      </w:r>
      <w:r w:rsidR="00730BDC" w:rsidRPr="00E05A85">
        <w:rPr>
          <w:rFonts w:ascii="Times New Roman" w:eastAsia="Malgun Gothic" w:hAnsi="Times New Roman" w:cs="Times New Roman"/>
          <w:iCs/>
          <w:sz w:val="24"/>
          <w:szCs w:val="24"/>
          <w:lang w:eastAsia="ko-KR"/>
        </w:rPr>
        <w:t>.</w:t>
      </w:r>
    </w:p>
    <w:p w14:paraId="410F46FB" w14:textId="6013067F" w:rsidR="004B3CCD" w:rsidRPr="00E05A85" w:rsidRDefault="004B3CCD" w:rsidP="00E05A85">
      <w:pPr>
        <w:keepNext/>
        <w:spacing w:before="240" w:after="60" w:line="240" w:lineRule="auto"/>
        <w:outlineLvl w:val="0"/>
        <w:rPr>
          <w:rFonts w:ascii="Times New Roman" w:eastAsia="Times New Roman" w:hAnsi="Times New Roman" w:cs="Times New Roman"/>
          <w:b/>
          <w:bCs/>
          <w:kern w:val="32"/>
          <w:sz w:val="24"/>
          <w:szCs w:val="24"/>
        </w:rPr>
      </w:pPr>
      <w:bookmarkStart w:id="44" w:name="_Hlk74931617"/>
      <w:r w:rsidRPr="00E05A85">
        <w:rPr>
          <w:rFonts w:ascii="Times New Roman" w:eastAsia="Times New Roman" w:hAnsi="Times New Roman" w:cs="Times New Roman"/>
          <w:b/>
          <w:bCs/>
          <w:kern w:val="32"/>
          <w:sz w:val="24"/>
          <w:szCs w:val="24"/>
        </w:rPr>
        <w:t>Limitations on the FAO’s PoU methodology and the proposed extension</w:t>
      </w:r>
    </w:p>
    <w:p w14:paraId="0222D9F0" w14:textId="5C5A1CD3" w:rsidR="004B3CCD" w:rsidRPr="00E05A85" w:rsidRDefault="004B3CCD" w:rsidP="00D568A1">
      <w:pPr>
        <w:spacing w:after="0" w:line="240" w:lineRule="auto"/>
        <w:jc w:val="both"/>
        <w:rPr>
          <w:rFonts w:ascii="Times New Roman" w:eastAsia="Calibri" w:hAnsi="Times New Roman" w:cs="Times New Roman"/>
          <w:sz w:val="24"/>
          <w:szCs w:val="24"/>
        </w:rPr>
      </w:pPr>
      <w:r w:rsidRPr="00E05A85">
        <w:rPr>
          <w:rFonts w:ascii="Times New Roman" w:eastAsia="Calibri" w:hAnsi="Times New Roman" w:cs="Times New Roman"/>
          <w:sz w:val="24"/>
          <w:szCs w:val="24"/>
        </w:rPr>
        <w:t>It is important to acknowledge that the FAO’s PoU methodology</w:t>
      </w:r>
      <w:r w:rsidRPr="00E05A85">
        <w:rPr>
          <w:rFonts w:ascii="Times New Roman" w:eastAsia="Calibri" w:hAnsi="Times New Roman" w:cs="Times New Roman"/>
        </w:rPr>
        <w:t xml:space="preserve"> </w:t>
      </w:r>
      <w:r w:rsidRPr="00E05A85">
        <w:rPr>
          <w:rFonts w:ascii="Times New Roman" w:eastAsia="Calibri" w:hAnsi="Times New Roman" w:cs="Times New Roman"/>
          <w:sz w:val="24"/>
          <w:szCs w:val="24"/>
        </w:rPr>
        <w:t xml:space="preserve">for estimating undernourishment suffers from several limitations, which need to be considered when analyzing the results presented in chapter 4. A key set of limitations are related to the scope and capability of the indicator to capture food insecurity. It is stated that the indicator focuses and captures only the yearly average per capita deficit in dietary caloric consumption which is a very specific aspect of the food insecurity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{"citationID":"XCjvuUbu","properties":{"formattedCitation":"\\super 28\\nosupersub{}","plainCitation":"28","noteIndex":0},"citationItems":[{"id":436,"uris":["http://zotero.org/users/5867530/items/DJ2FRN8M"],"uri":["http://zotero.org/users/5867530/items/DJ2FRN8M"],"itemData":{"id":436,"type":"article-journal","container-title":"Annals of the New York Academy of Sciences","issue":"1","note":"ISBN: 0077-8923\npublisher: Wiley/Blackwell (10.1111)","page":"230-248","title":"Validity and reliability of food security measures","volume":"1331","author":[{"family":"Cafiero","given":"Carlo"},{"family":"Melgar-Quinonez","given":"Hugo R."},{"family":"Ballard","given":"Terri J."},{"family":"Kepple","given":"Anne W."}],"issued":{"date-parts":[["2014"]]}}}],"schema":"https://github.com/citation-style-language/schema/raw/master/csl-citation.json"}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28</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Another important limitation is that the PoU indicator does not capture within-year fluctuations in the acquisition of calories. As it was observed during disruptions throughout the food supply chain due to the pandemic outbreak in recent months, within-year fluctuations on food consumption play an important role in food security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{"citationID":"bDP1qW3Q","properties":{"formattedCitation":"\\super 28\\nosupersub{}","plainCitation":"28","noteIndex":0},"citationItems":[{"id":436,"uris":["http://zotero.org/users/5867530/items/DJ2FRN8M"],"uri":["http://zotero.org/users/5867530/items/DJ2FRN8M"],"itemData":{"id":436,"type":"article-journal","container-title":"Annals of the New York Academy of Sciences","issue":"1","note":"ISBN: 0077-8923\npublisher: Wiley/Blackwell (10.1111)","page":"230-248","title":"Validity and reliability of food security measures","volume":"1331","author":[{"family":"Cafiero","given":"Carlo"},{"family":"Melgar-Quinonez","given":"Hugo R."},{"family":"Ballard","given":"Terri J."},{"family":"Kepple","given":"Anne W."}],"issued":{"date-parts":[["2014"]]}}}],"schema":"https://github.com/citation-style-language/schema/raw/master/csl-citation.json"}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28</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Fluctuations in the accessibility and affordability of food can result in lower quality diets and/or short periods of lack of access to an adequate level of calorie consumption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{"citationID":"rPCxGuhp","properties":{"formattedCitation":"\\super 29,30\\nosupersub{}","plainCitation":"29,30","noteIndex":0},"citationItems":[{"id":224,"uris":["http://zotero.org/users/5867530/items/WEHQPB2T"],"uri":["http://zotero.org/users/5867530/items/WEHQPB2T"],"itemData":{"id":224,"type":"article-journal","container-title":"The Lancet","DOI":"10.1016/S0140-6736(20)31647-0","ISSN":"01406736","issue":"10250","language":"en","page":"519–521","title":"Impacts of COVID-19 on childhood malnutrition and nutrition-related mortality","volume":"396","author":[{"family":"Headey","given":"Derek"},{"family":"Heidkamp","given":"Rebecca"},{"family":"Osendarp","given":"Saskia"},{"family":"Ruel","given":"Marie"},{"family":"Scott","given":"Nick"},{"family":"Black","given":"Robert"},{"family":"Shekar","given":"Meera"},{"family":"Bouis","given":"Howarth"},{"family":"Flory","given":"Augustin"},{"family":"Haddad","given":"Lawrence"},{"family":"Walker","given":"Neff"}],"issued":{"date-parts":[["2020",8]]}}},{"id":210,"uris":["http://zotero.org/users/5867530/items/23NIZXSU"],"uri":["http://zotero.org/users/5867530/items/23NIZXSU"],"itemData":{"id":210,"type":"article-journal","container-title":"The Lancet Global Health","DOI":"10.1016/S2214-109X(20)30229-1","ISSN":"2214109X","issue":"7","language":"en","page":"e901–e908","title":"Early estimates of the indirect effects of the COVID-19 pandemic on maternal and child mortality in low-income and middle-income countries: a modelling study","title-short":"Early estimates of the indirect effects of the COVID-19 pandemic on maternal and child mortality in low-income and middle-income countries","volume":"8","author":[{"family":"Roberton","given":"Timothy"},{"family":"Carter","given":"Emily D"},{"family":"Chou","given":"Victoria B"},{"family":"Stegmuller","given":"Angela R"},{"family":"Jackson","given":"Bianca D"},{"family":"Tam","given":"Yvonne"},{"family":"Sawadogo-Lewis","given":"Talata"},{"family":"Walker","given":"Neff"}],"issued":{"date-parts":[["2020",7]]}}}],"schema":"https://github.com/citation-style-language/schema/raw/master/csl-citation.json"}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29,30</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Moreover, the methodology does not allow for any biases that may exist in intra-household distribution of foods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{"citationID":"5FrgMOeY","properties":{"formattedCitation":"\\super 28\\nosupersub{}","plainCitation":"28","noteIndex":0},"citationItems":[{"id":436,"uris":["http://zotero.org/users/5867530/items/DJ2FRN8M"],"uri":["http://zotero.org/users/5867530/items/DJ2FRN8M"],"itemData":{"id":436,"type":"article-journal","container-title":"Annals of the New York Academy of Sciences","issue":"1","note":"ISBN: 0077-8923\npublisher: Wiley/Blackwell (10.1111)","page":"230-248","title":"Validity and reliability of food security measures","volume":"1331","author":[{"family":"Cafiero","given":"Carlo"},{"family":"Melgar-Quinonez","given":"Hugo R."},{"family":"Ballard","given":"Terri J."},{"family":"Kepple","given":"Anne W."}],"issued":{"date-parts":[["2014"]]}}}],"schema":"https://github.com/citation-style-language/schema/raw/master/csl-citation.json"}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28</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An additional significant limitation is that it does not provide information on the degree of severity of the food insecurity conditions experienced by a population. The FAO’s PoU only computes the share of the undernourished in a population but does not information report about the composition of undernourishment within that part of the population which might be valuable for policy makers. </w:t>
      </w:r>
    </w:p>
    <w:p w14:paraId="225F2EA4" w14:textId="014093AE" w:rsidR="00C848C8" w:rsidRPr="00E05A85" w:rsidRDefault="004B3CCD" w:rsidP="00D568A1">
      <w:pPr>
        <w:spacing w:after="0" w:line="240" w:lineRule="auto"/>
        <w:ind w:firstLine="360"/>
        <w:jc w:val="both"/>
        <w:rPr>
          <w:rFonts w:ascii="Times New Roman" w:eastAsia="Calibri" w:hAnsi="Times New Roman" w:cs="Times New Roman"/>
          <w:sz w:val="24"/>
          <w:szCs w:val="24"/>
        </w:rPr>
      </w:pPr>
      <w:r w:rsidRPr="00E05A85">
        <w:rPr>
          <w:rFonts w:ascii="Times New Roman" w:eastAsia="Calibri" w:hAnsi="Times New Roman" w:cs="Times New Roman"/>
          <w:sz w:val="24"/>
          <w:szCs w:val="24"/>
        </w:rPr>
        <w:t xml:space="preserve">Another group of limitations and criticism to the FAO’s PoU methodology, that are more directly related and are more relevant to the results and extension presented in this chapter, are the ones regarding the choice of the probabilistic model to represent the distribution of dietary intake across the population. It is argued that some of this criticism arises from the misinterpretation of the probability distribution as the empirical distribution of the actual food consumption in the population (i.e.: the distribution that could be obtained through a food consumption census of the population)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{"citationID":"uc6ZLUDV","properties":{"formattedCitation":"\\super 1,31,32\\nosupersub{}","plainCitation":"1,31,32","noteIndex":0},"citationItems":[{"id":55,"uris":["http://zotero.org/users/5867530/items/NCZECKFL"],"uri":["http://zotero.org/users/5867530/items/NCZECKFL"],"itemData":{"id":55,"type":"article-journal","container-title":"Documento de trabajo","issue":"2014","page":"14–05","title":"Refinements to the FAO methodology for estimating the prevalence of undernourishment indicator","author":[{"family":"Wanner","given":"Nathan"},{"family":"Cafiero","given":"Carlo"},{"family":"Troubat","given":"Nathalie"},{"family":"Conforti","given":"Piero"}],"issued":{"date-parts":[["2014"]]}}},{"id":473,"uris":["http://zotero.org/users/5867530/items/VB67DQ5D"],"uri":["http://zotero.org/users/5867530/items/VB67DQ5D"],"itemData":{"id":473,"type":"article-journal","abstract":"In his pioneering study carried in the early 1960’s, Sukhatme had formulated the estimate of the prevalence of undernourishment in a population within a bivariate distribution framework where dietary energy consumption (DEC) and dietary energy requirement (DER) are considered as random variables. The evaluation of the formula required the specification of the joint distribution of DEC and DER. In the absence of data on the joint distribution Sukhatme had, as an approximation, formulated the estimate within a univariate distribution framework involving the distribution of DEC and a cut-off point reflecting the lower limit of the distribution of DER. FAO’s methodology for estimating the prevalence of undernourishment has been traditionally based on this univariate distribution framework. However, since this approach appeared to ignore the risk of undernourishment at DEC levels overlapping the range of variation of requirement, it has been criticised as yielding an underestimate of the magnitude of the problem of undernourishment. In view of this some analysts have attempted to apply the bivariate distribution framework by modeling the joint distribution of intake and requirement. Others have applied the univariate distribution framework but used the average DER requirement rather than the lower limit of the distribution of DER as the cut-off point. All these attempts have led to very high estimates of the prevalence of undernourishment. In further studies undertaken in the 1970’s Sukhatme has attempted to justify the univariate distribution framework that he proposed earlier by postulating the theory of intra-individual variation in energy requirement which implies that an individual cannot be considered to be undernourished or overnourished as long as his or her DEC is within the range of variation of DER. Since the variation in DER has been traditionally considered to be a reflection of differences between individuals, i.e. inter-individual variation, the theory of intraindividual variation has instead led to controversy and dispute rather than an understanding of the basic principle justifying the validity of the univariate distribution framework. This paper reviews the debate surrounding the issue since Sukhatme’s pioneering study in the early 1960’s and points out that the primary source of the controversy and debate has been the failure to realise that the distribution of DER in fact represents the realization of the joint distribution of DEC and DER with the consequence that the probability of DEC being in balance with DER is high for the DECs overlapping the range of variation of DER. Thus it is in fact the latter that explains Sukhatme’s argument that an individual cannot be considered to be undernourished or overnourished if the individual’s intake is within the range of variation of requirement. The failure to realise this has led to the continued belief in the myth of the bivariate distribution framework and hence the application of flawed models of the joint distribution of DEC and DER.","container-title":"Working Paper Series, FAO, Statistical Division","language":"en","page":"53","source":"Zotero","title":"The Probaility Distribution Framework For Estimating The Prevalence of Undernourishment: Exploding the Myth of the Bivariate Distribution","author":[{"family":"Naiken","given":"Loganaden"}],"issued":{"date-parts":[["2021"]]}}},{"id":474,"uris":["http://zotero.org/users/5867530/items/MYE2P6HN"],"uri":["http://zotero.org/users/5867530/items/MYE2P6HN"],"itemData":{"id":474,"type":"article-journal","container-title":"Food and Agriculture Organization of the United Nation, Rome","title":"Advances in hunger measurement: traditional FAO methods and recent innovations","author":[{"family":"Cafiero","given":"Carlo"}],"issued":{"date-parts":[["2014"]]}}}],"schema":"https://github.com/citation-style-language/schema/raw/master/csl-citation.json"}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1,31,32</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However, the correct interpretation of the distribution is as the level of dietary energy consumption that would be observed on a randomly selected individual in the population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{"citationID":"2Nn6Yj3a","properties":{"formattedCitation":"\\super 31,32\\nosupersub{}","plainCitation":"31,32","noteIndex":0},"citationItems":[{"id":474,"uris":["http://zotero.org/users/5867530/items/MYE2P6HN"],"uri":["http://zotero.org/users/5867530/items/MYE2P6HN"],"itemData":{"id":474,"type":"article-journal","container-title":"Food and Agriculture Organization of the United Nation, Rome","title":"Advances in hunger measurement: traditional FAO methods and recent innovations","author":[{"family":"Cafiero","given":"Carlo"}],"issued":{"date-parts":[["2014"]]}}},{"id":473,"uris":["http://zotero.org/users/5867530/items/VB67DQ5D"],"uri":["http://zotero.org/users/5867530/items/VB67DQ5D"],"itemData":{"id":473,"type":"article-journal","abstract":"In his pioneering study carried in the early 1960’s, Sukhatme had formulated the estimate of the prevalence of undernourishment in a population within a bivariate distribution framework where dietary energy consumption (DEC) and dietary energy requirement (DER) are considered as random variables. The evaluation of the formula required the specification of the joint distribution of DEC and DER. In the absence of data on the joint distribution Sukhatme had, as an approximation, formulated the estimate within a univariate distribution framework involving the distribution of DEC and a cut-off point reflecting the lower limit of the distribution of DER. FAO’s methodology for estimating the prevalence of undernourishment has been traditionally based on this univariate distribution framework. However, since this approach appeared to ignore the risk of undernourishment at DEC levels overlapping the range of variation of requirement, it has been criticised as yielding an underestimate of the magnitude of the problem of undernourishment. In view of this some analysts have attempted to apply the bivariate distribution framework by modeling the joint distribution of intake and requirement. Others have applied the univariate distribution framework but used the average DER requirement rather than the lower limit of the distribution of DER as the cut-off point. All these attempts have led to very high estimates of the prevalence of undernourishment. In further studies undertaken in the 1970’s Sukhatme has attempted to justify the univariate distribution framework that he proposed earlier by postulating the theory of intra-individual variation in energy requirement which implies that an individual cannot be considered to be undernourished or overnourished as long as his or her DEC is within the range of variation of DER. Since the variation in DER has been traditionally considered to be a reflection of differences between individuals, i.e. inter-individual variation, the theory of intraindividual variation has instead led to controversy and dispute rather than an understanding of the basic principle justifying the validity of the univariate distribution framework. This paper reviews the debate surrounding the issue since Sukhatme’s pioneering study in the early 1960’s and points out that the primary source of the controversy and debate has been the failure to realise that the distribution of DER in fact represents the realization of the joint distribution of DEC and DER with the consequence that the probability of DEC being in balance with DER is high for the DECs overlapping the range of variation of DER. Thus it is in fact the latter that explains Sukhatme’s argument that an individual cannot be considered to be undernourished or overnourished if the individual’s intake is within the range of variation of requirement. The failure to realise this has led to the continued belief in the myth of the bivariate distribution framework and hence the application of flawed models of the joint distribution of DEC and DER.","container-title":"Working Paper Series, FAO, Statistical Division","language":"en","page":"53","source":"Zotero","title":"The Probaility Distribution Framework For Estimating The Prevalence of Undernourishment: Exploding the Myth of the Bivariate Distribution","author":[{"family":"Naiken","given":"Loganaden"}],"issued":{"date-parts":[["2021"]]}}}],"schema":"https://github.com/citation-style-language/schema/raw/master/csl-citation.json"}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31,32</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It follows that the PoU attempts to report the probability that a random selected individual from a given population would be found to be undernourished. In addition to this, the variability on the individual’s energy requirements implies an extra challenge on choosing the appropriate “minimum” caloric threshold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{"citationID":"jsfV1XQB","properties":{"formattedCitation":"\\super 8,31,32\\nosupersub{}","plainCitation":"8,31,32","noteIndex":0},"citationItems":[{"id":475,"uris":["http://zotero.org/users/5867530/items/UYPN88QY"],"uri":["http://zotero.org/users/5867530/items/UYPN88QY"],"itemData":{"id":475,"type":"article-journal","container-title":"Economic Development and Cultural Change","DOI":"10.1086/345308","ISSN":"0013-0079, 1539-2988","issue":"1","journalAbbreviation":"Economic Development and Cultural Change","language":"en","page":"5-36","source":"DOI.org (Crossref)","title":"Undernutrition Overestimated","volume":"51","author":[{"family":"Svedberg","given":"Peter"}],"issued":{"date-parts":[["2002",10]]}}},{"id":474,"uris":["http://zotero.org/users/5867530/items/MYE2P6HN"],"uri":["http://zotero.org/users/5867530/items/MYE2P6HN"],"itemData":{"id":474,"type":"article-journal","container-title":"Food and Agriculture Organization of the United Nation, Rome","title":"Advances in hunger measurement: traditional FAO methods and recent innovations","author":[{"family":"Cafiero","given":"Carlo"}],"issued":{"date-parts":[["2014"]]}}},{"id":473,"uris":["http://zotero.org/users/5867530/items/VB67DQ5D"],"uri":["http://zotero.org/users/5867530/items/VB67DQ5D"],"itemData":{"id":473,"type":"article-journal","abstract":"In his pioneering study carried in the early 1960’s, Sukhatme had formulated the estimate of the prevalence of undernourishment in a population within a bivariate distribution framework where dietary energy consumption (DEC) and dietary energy requirement (DER) are considered as random variables. The evaluation of the formula required the specification of the joint distribution of DEC and DER. In the absence of data on the joint distribution Sukhatme had, as an approximation, formulated the estimate within a univariate distribution framework involving the distribution of DEC and a cut-off point reflecting the lower limit of the distribution of DER. FAO’s methodology for estimating the prevalence of undernourishment has been traditionally based on this univariate distribution framework. However, since this approach appeared to ignore the risk of undernourishment at DEC levels overlapping the range of variation of requirement, it has been criticised as yielding an underestimate of the magnitude of the problem of undernourishment. In view of this some analysts have attempted to apply the bivariate distribution framework by modeling the joint distribution of intake and requirement. Others have applied the univariate distribution framework but used the average DER requirement rather than the lower limit of the distribution of DER as the cut-off point. All these attempts have led to very high estimates of the prevalence of undernourishment. In further studies undertaken in the 1970’s Sukhatme has attempted to justify the univariate distribution framework that he proposed earlier by postulating the theory of intra-individual variation in energy requirement which implies that an individual cannot be considered to be undernourished or overnourished as long as his or her DEC is within the range of variation of DER. Since the variation in DER has been traditionally considered to be a reflection of differences between individuals, i.e. inter-individual variation, the theory of intraindividual variation has instead led to controversy and dispute rather than an understanding of the basic principle justifying the validity of the univariate distribution framework. This paper reviews the debate surrounding the issue since Sukhatme’s pioneering study in the early 1960’s and points out that the primary source of the controversy and debate has been the failure to realise that the distribution of DER in fact represents the realization of the joint distribution of DEC and DER with the consequence that the probability of DEC being in balance with DER is high for the DECs overlapping the range of variation of DER. Thus it is in fact the latter that explains Sukhatme’s argument that an individual cannot be considered to be undernourished or overnourished if the individual’s intake is within the range of variation of requirement. The failure to realise this has led to the continued belief in the myth of the bivariate distribution framework and hence the application of flawed models of the joint distribution of DEC and DER.","container-title":"Working Paper Series, FAO, Statistical Division","language":"en","page":"53","source":"Zotero","title":"The Probaility Distribution Framework For Estimating The Prevalence of Undernourishment: Exploding the Myth of the Bivariate Distribution","author":[{"family":"Naiken","given":"Loganaden"}],"issued":{"date-parts":[["2021"]]}}}],"schema":"https://github.com/citation-style-language/schema/raw/master/csl-citation.json"}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8,31,32</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This is also relevant when considering the extension proposed in this chapter to compute the share of population that overconsumes calories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{"citationID":"tBNceZv6","properties":{"formattedCitation":"\\super 31,32\\nosupersub{}","plainCitation":"31,32","noteIndex":0},"citationItems":[{"id":474,"uris":["http://zotero.org/users/5867530/items/MYE2P6HN"],"uri":["http://zotero.org/users/5867530/items/MYE2P6HN"],"itemData":{"id":474,"type":"article-journal","container-title":"Food and Agriculture Organization of the United Nation, Rome","title":"Advances in hunger measurement: traditional FAO methods and recent innovations","author":[{"family":"Cafiero","given":"Carlo"}],"issued":{"date-parts":[["2014"]]}}},{"id":473,"uris":["http://zotero.org/users/5867530/items/VB67DQ5D"],"uri":["http://zotero.org/users/5867530/items/VB67DQ5D"],"itemData":{"id":473,"type":"article-journal","abstract":"In his pioneering study carried in the early 1960’s, Sukhatme had formulated the estimate of the prevalence of undernourishment in a population within a bivariate distribution framework where dietary energy consumption (DEC) and dietary energy requirement (DER) are considered as random variables. The evaluation of the formula required the specification of the joint distribution of DEC and DER. In the absence of data on the joint distribution Sukhatme had, as an approximation, formulated the estimate within a univariate distribution framework involving the distribution of DEC and a cut-off point reflecting the lower limit of the distribution of DER. FAO’s methodology for estimating the prevalence of undernourishment has been traditionally based on this univariate distribution framework. However, since this approach appeared to ignore the risk of undernourishment at DEC levels overlapping the range of variation of requirement, it has been criticised as yielding an underestimate of the magnitude of the problem of undernourishment. In view of this some analysts have attempted to apply the bivariate distribution framework by modeling the joint distribution of intake and requirement. Others have applied the univariate distribution framework but used the average DER requirement rather than the lower limit of the distribution of DER as the cut-off point. All these attempts have led to very high estimates of the prevalence of undernourishment. In further studies undertaken in the 1970’s Sukhatme has attempted to justify the univariate distribution framework that he proposed earlier by postulating the theory of intra-individual variation in energy requirement which implies that an individual cannot be considered to be undernourished or overnourished as long as his or her DEC is within the range of variation of DER. Since the variation in DER has been traditionally considered to be a reflection of differences between individuals, i.e. inter-individual variation, the theory of intraindividual variation has instead led to controversy and dispute rather than an understanding of the basic principle justifying the validity of the univariate distribution framework. This paper reviews the debate surrounding the issue since Sukhatme’s pioneering study in the early 1960’s and points out that the primary source of the controversy and debate has been the failure to realise that the distribution of DER in fact represents the realization of the joint distribution of DEC and DER with the consequence that the probability of DEC being in balance with DER is high for the DECs overlapping the range of variation of DER. Thus it is in fact the latter that explains Sukhatme’s argument that an individual cannot be considered to be undernourished or overnourished if the individual’s intake is within the range of variation of requirement. The failure to realise this has led to the continued belief in the myth of the bivariate distribution framework and hence the application of flawed models of the joint distribution of DEC and DER.","container-title":"Working Paper Series, FAO, Statistical Division","language":"en","page":"53","source":"Zotero","title":"The Probaility Distribution Framework For Estimating The Prevalence of Undernourishment: Exploding the Myth of the Bivariate Distribution","author":[{"family":"Naiken","given":"Loganaden"}],"issued":{"date-parts":[["2021"]]}}}],"schema":"https://github.com/citation-style-language/schema/raw/master/csl-citation.json"}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31,32</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w:t>
      </w:r>
    </w:p>
    <w:p w14:paraId="0E0F7BFF" w14:textId="38A244EC" w:rsidR="004B3CCD" w:rsidRPr="00E05A85" w:rsidRDefault="004B3CCD" w:rsidP="00D568A1">
      <w:pPr>
        <w:spacing w:after="0" w:line="240" w:lineRule="auto"/>
        <w:ind w:firstLine="360"/>
        <w:jc w:val="both"/>
        <w:rPr>
          <w:rFonts w:ascii="Times New Roman" w:eastAsia="Calibri" w:hAnsi="Times New Roman" w:cs="Times New Roman"/>
          <w:sz w:val="24"/>
          <w:szCs w:val="24"/>
        </w:rPr>
      </w:pPr>
      <w:r w:rsidRPr="00E05A85">
        <w:rPr>
          <w:rFonts w:ascii="Times New Roman" w:eastAsia="Calibri" w:hAnsi="Times New Roman" w:cs="Times New Roman"/>
          <w:sz w:val="24"/>
          <w:szCs w:val="24"/>
        </w:rPr>
        <w:t xml:space="preserve">Following most recent advances in FAO’s methodology it is possible to simultaneously estimate the prevalence of undernourishment and over consumption based on information the average and the distribution of daily average energy requirements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{"citationID":"OcuWk7KY","properties":{"formattedCitation":"\\super 31\\nosupersub{}","plainCitation":"31","noteIndex":0},"citationItems":[{"id":473,"uris":["http://zotero.org/users/5867530/items/VB67DQ5D"],"uri":["http://zotero.org/users/5867530/items/VB67DQ5D"],"itemData":{"id":473,"type":"article-journal","abstract":"In his pioneering study carried in the early 1960’s, Sukhatme had formulated the estimate of the prevalence of undernourishment in a population within a bivariate distribution framework where dietary energy consumption (DEC) and dietary energy requirement (DER) are considered as random variables. The evaluation of the formula required the specification of the joint distribution of DEC and DER. In the absence of data on the joint distribution Sukhatme had, as an approximation, formulated the estimate within a univariate distribution framework involving the distribution of DEC and a cut-off point reflecting the lower limit of the distribution of DER. FAO’s methodology for estimating the prevalence of undernourishment has been traditionally based on this univariate distribution framework. However, since this approach appeared to ignore the risk of undernourishment at DEC levels overlapping the range of variation of requirement, it has been criticised as yielding an underestimate of the magnitude of the problem of undernourishment. In view of this some analysts have attempted to apply the bivariate distribution framework by modeling the joint distribution of intake and requirement. Others have applied the univariate distribution framework but used the average DER requirement rather than the lower limit of the distribution of DER as the cut-off point. All these attempts have led to very high estimates of the prevalence of undernourishment. In further studies undertaken in the 1970’s Sukhatme has attempted to justify the univariate distribution framework that he proposed earlier by postulating the theory of intra-individual variation in energy requirement which implies that an individual cannot be considered to be undernourished or overnourished as long as his or her DEC is within the range of variation of DER. Since the variation in DER has been traditionally considered to be a reflection of differences between individuals, i.e. inter-individual variation, the theory of intraindividual variation has instead led to controversy and dispute rather than an understanding of the basic principle justifying the validity of the univariate distribution framework. This paper reviews the debate surrounding the issue since Sukhatme’s pioneering study in the early 1960’s and points out that the primary source of the controversy and debate has been the failure to realise that the distribution of DER in fact represents the realization of the joint distribution of DEC and DER with the consequence that the probability of DEC being in balance with DER is high for the DECs overlapping the range of variation of DER. Thus it is in fact the latter that explains Sukhatme’s argument that an individual cannot be considered to be undernourished or overnourished if the individual’s intake is within the range of variation of requirement. The failure to realise this has led to the continued belief in the myth of the bivariate distribution framework and hence the application of flawed models of the joint distribution of DEC and DER.","container-title":"Working Paper Series, FAO, Statistical Division","language":"en","page":"53","source":"Zotero","title":"The Probaility Distribution Framework For Estimating The Prevalence of Undernourishment: Exploding the Myth of the Bivariate Distribution","author":[{"family":"Naiken","given":"Loganaden"}],"issued":{"date-parts":[["2021"]]}}}],"schema":"https://github.com/citation-style-language/schema/raw/master/csl-citation.json"}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31</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In this chapter, consistently with FAO’s PoU recent advances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{"citationID":"BgPBP30w","properties":{"formattedCitation":"\\super 1,31,32\\nosupersub{}","plainCitation":"1,31,32","noteIndex":0},"citationItems":[{"id":474,"uris":["http://zotero.org/users/5867530/items/MYE2P6HN"],"uri":["http://zotero.org/users/5867530/items/MYE2P6HN"],"itemData":{"id":474,"type":"article-journal","container-title":"Food and Agriculture Organization of the United Nation, Rome","title":"Advances in hunger measurement: traditional FAO methods and recent innovations","author":[{"family":"Cafiero","given":"Carlo"}],"issued":{"date-parts":[["2014"]]}}},{"id":55,"uris":["http://zotero.org/users/5867530/items/NCZECKFL"],"uri":["http://zotero.org/users/5867530/items/NCZECKFL"],"itemData":{"id":55,"type":"article-journal","container-title":"Documento de trabajo","issue":"2014","page":"14–05","title":"Refinements to the FAO methodology for estimating the prevalence of undernourishment indicator","author":[{"family":"Wanner","given":"Nathan"},{"family":"Cafiero","given":"Carlo"},{"family":"Troubat","given":"Nathalie"},{"family":"Conforti","given":"Piero"}],"issued":{"date-parts":[["2014"]]}}},{"id":473,"uris":["http://zotero.org/users/5867530/items/VB67DQ5D"],"uri":["http://zotero.org/users/5867530/items/VB67DQ5D"],"itemData":{"id":473,"type":"article-journal","abstract":"In his pioneering study carried in the early 1960’s, Sukhatme had formulated the estimate of the prevalence of undernourishment in a population within a bivariate distribution framework where dietary energy consumption (DEC) and dietary energy requirement (DER) are considered as random variables. The evaluation of the formula required the specification of the joint distribution of DEC and DER. In the absence of data on the joint distribution Sukhatme had, as an approximation, formulated the estimate within a univariate distribution framework involving the distribution of DEC and a cut-off point reflecting the lower limit of the distribution of DER. FAO’s methodology for estimating the prevalence of undernourishment has been traditionally based on this univariate distribution framework. However, since this approach appeared to ignore the risk of undernourishment at DEC levels overlapping the range of variation of requirement, it has been criticised as yielding an underestimate of the magnitude of the problem of undernourishment. In view of this some analysts have attempted to apply the bivariate distribution framework by modeling the joint distribution of intake and requirement. Others have applied the univariate distribution framework but used the average DER requirement rather than the lower limit of the distribution of DER as the cut-off point. All these attempts have led to very high estimates of the prevalence of undernourishment. In further studies undertaken in the 1970’s Sukhatme has attempted to justify the univariate distribution framework that he proposed earlier by postulating the theory of intra-individual variation in energy requirement which implies that an individual cannot be considered to be undernourished or overnourished as long as his or her DEC is within the range of variation of DER. Since the variation in DER has been traditionally considered to be a reflection of differences between individuals, i.e. inter-individual variation, the theory of intraindividual variation has instead led to controversy and dispute rather than an understanding of the basic principle justifying the validity of the univariate distribution framework. This paper reviews the debate surrounding the issue since Sukhatme’s pioneering study in the early 1960’s and points out that the primary source of the controversy and debate has been the failure to realise that the distribution of DER in fact represents the realization of the joint distribution of DEC and DER with the consequence that the probability of DEC being in balance with DER is high for the DECs overlapping the range of variation of DER. Thus it is in fact the latter that explains Sukhatme’s argument that an individual cannot be considered to be undernourished or overnourished if the individual’s intake is within the range of variation of requirement. The failure to realise this has led to the continued belief in the myth of the bivariate distribution framework and hence the application of flawed models of the joint distribution of DEC and DER.","container-title":"Working Paper Series, FAO, Statistical Division","language":"en","page":"53","source":"Zotero","title":"The Probaility Distribution Framework For Estimating The Prevalence of Undernourishment: Exploding the Myth of the Bivariate Distribution","author":[{"family":"Naiken","given":"Loganaden"}],"issued":{"date-parts":[["2021"]]}}}],"schema":"https://github.com/citation-style-language/schema/raw/master/csl-citation.json"}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1,31,32</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w:t>
      </w:r>
      <w:r w:rsidR="00496F8F" w:rsidRPr="00E05A85">
        <w:rPr>
          <w:rFonts w:ascii="Times New Roman" w:eastAsia="Calibri" w:hAnsi="Times New Roman" w:cs="Times New Roman"/>
          <w:sz w:val="24"/>
          <w:szCs w:val="24"/>
        </w:rPr>
        <w:t>we</w:t>
      </w:r>
      <w:r w:rsidRPr="00E05A85">
        <w:rPr>
          <w:rFonts w:ascii="Times New Roman" w:eastAsia="Calibri" w:hAnsi="Times New Roman" w:cs="Times New Roman"/>
          <w:sz w:val="24"/>
          <w:szCs w:val="24"/>
        </w:rPr>
        <w:t xml:space="preserve"> impute the lower caloric threshold in order to minimize the risk of overestimate the prevalence of undernourishment (i.e., choosing the minimum of the range of dietary energy requirement indicated by nutritionists as compatible with good health and normal physical activity for that group)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{"citationID":"0rMeTxaB","properties":{"formattedCitation":"\\super 32,33\\nosupersub{}","plainCitation":"32,33","noteIndex":0},"citationItems":[{"id":249,"uris":["http://zotero.org/users/5867530/items/IAVWQRSD"],"uri":["http://zotero.org/users/5867530/items/IAVWQRSD"],"itemData":{"id":249,"type":"article-journal","title":"Human energy requirements. Report of a Joint FAO/WHO/UNU Expert Consultation, Rome, 17-24 October","author":[{"family":"FAO/WHO","given":""}],"issued":{"date-parts":[["2001"]]}}},{"id":474,"uris":["http://zotero.org/users/5867530/items/MYE2P6HN"],"uri":["http://zotero.org/users/5867530/items/MYE2P6HN"],"itemData":{"id":474,"type":"article-journal","container-title":"Food and Agriculture Organization of the United Nation, Rome","title":"Advances in hunger measurement: traditional FAO methods and recent innovations","author":[{"family":"Cafiero","given":"Carlo"}],"issued":{"date-parts":[["2014"]]}}}],"schema":"https://github.com/citation-style-language/schema/raw/master/csl-citation.json"}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32,33</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Similarly, </w:t>
      </w:r>
      <w:r w:rsidR="00496F8F" w:rsidRPr="00E05A85">
        <w:rPr>
          <w:rFonts w:ascii="Times New Roman" w:eastAsia="Calibri" w:hAnsi="Times New Roman" w:cs="Times New Roman"/>
          <w:sz w:val="24"/>
          <w:szCs w:val="24"/>
        </w:rPr>
        <w:t>we</w:t>
      </w:r>
      <w:r w:rsidRPr="00E05A85">
        <w:rPr>
          <w:rFonts w:ascii="Times New Roman" w:eastAsia="Calibri" w:hAnsi="Times New Roman" w:cs="Times New Roman"/>
          <w:sz w:val="24"/>
          <w:szCs w:val="24"/>
        </w:rPr>
        <w:t xml:space="preserve"> chose an upper bound, the average daily energy requirement—ER</w:t>
      </w:r>
      <w:r w:rsidRPr="00E05A85">
        <w:rPr>
          <w:rFonts w:ascii="Times New Roman" w:eastAsia="Calibri" w:hAnsi="Times New Roman" w:cs="Times New Roman"/>
          <w:sz w:val="24"/>
          <w:szCs w:val="24"/>
        </w:rPr>
        <w:noBreakHyphen/>
      </w:r>
      <w:r w:rsidRPr="00E05A85">
        <w:rPr>
          <w:rFonts w:ascii="Times New Roman" w:eastAsia="Calibri" w:hAnsi="Times New Roman" w:cs="Times New Roman"/>
          <w:sz w:val="24"/>
          <w:szCs w:val="24"/>
        </w:rPr>
        <w:noBreakHyphen/>
        <w:t xml:space="preserve">, that avoids the over estimation of the overconsumption of calories (i.e., choosing the upper bound of the range of ER indicated by nutritionists as compatible with good health and normal physical activity for that group) (Naiken 2021). </w:t>
      </w:r>
    </w:p>
    <w:p w14:paraId="31FDC644" w14:textId="567541E5" w:rsidR="00670F02" w:rsidRPr="00E05A85" w:rsidRDefault="004B3CCD" w:rsidP="00D568A1">
      <w:pPr>
        <w:spacing w:after="0" w:line="240" w:lineRule="auto"/>
        <w:ind w:firstLine="360"/>
        <w:jc w:val="both"/>
        <w:rPr>
          <w:rFonts w:ascii="Times New Roman" w:eastAsia="Calibri" w:hAnsi="Times New Roman" w:cs="Times New Roman"/>
          <w:sz w:val="24"/>
          <w:szCs w:val="24"/>
        </w:rPr>
      </w:pPr>
      <w:r w:rsidRPr="00E05A85">
        <w:rPr>
          <w:rFonts w:ascii="Times New Roman" w:eastAsia="Calibri" w:hAnsi="Times New Roman" w:cs="Times New Roman"/>
          <w:sz w:val="24"/>
          <w:szCs w:val="24"/>
        </w:rPr>
        <w:t xml:space="preserve">Finally, there are certain limitations related to the choice of the functional form to represent the probabilistic distribution of calorie consumption of a representative individual in a given region. Historically, due to data restrictions, FAO’s has reported the PoU under the assumption a lognormal distribution </w:t>
      </w:r>
      <w:r w:rsidRPr="00E05A85">
        <w:rPr>
          <w:rFonts w:ascii="Times New Roman" w:eastAsia="Calibri" w:hAnsi="Times New Roman" w:cs="Times New Roman"/>
          <w:sz w:val="24"/>
          <w:szCs w:val="24"/>
        </w:rPr>
        <w:fldChar w:fldCharType="begin"/>
      </w:r>
      <w:r w:rsidR="0023119E">
        <w:rPr>
          <w:rFonts w:ascii="Times New Roman" w:eastAsia="Calibri" w:hAnsi="Times New Roman" w:cs="Times New Roman"/>
          <w:sz w:val="24"/>
          <w:szCs w:val="24"/>
        </w:rPr>
        <w:instrText xml:space="preserve"> ADDIN ZOTERO_ITEM CSL_CITATION {"citationID":"D1aa0X4U","properties":{"formattedCitation":"\\super 1,32\\nosupersub{}","plainCitation":"1,32","noteIndex":0},"citationItems":[{"id":474,"uris":["http://zotero.org/users/5867530/items/MYE2P6HN"],"uri":["http://zotero.org/users/5867530/items/MYE2P6HN"],"itemData":{"id":474,"type":"article-journal","container-title":"Food and Agriculture Organization of the United Nation, Rome","title":"Advances in hunger measurement: traditional FAO methods and recent innovations","author":[{"family":"Cafiero","given":"Carlo"}],"issued":{"date-parts":[["2014"]]}}},{"id":55,"uris":["http://zotero.org/users/5867530/items/NCZECKFL"],"uri":["http://zotero.org/users/5867530/items/NCZECKFL"],"itemData":{"id":55,"type":"article-journal","container-title":"Documento de trabajo","issue":"2014","page":"14–05","title":"Refinements to the FAO methodology for estimating the prevalence of undernourishment indicator","author":[{"family":"Wanner","given":"Nathan"},{"family":"Cafiero","given":"Carlo"},{"family":"Troubat","given":"Nathalie"},{"family":"Conforti","given":"Piero"}],"issued":{"date-parts":[["2014"]]}}}],"schema":"https://github.com/citation-style-language/schema/raw/master/csl-citation.json"} </w:instrText>
      </w:r>
      <w:r w:rsidRPr="00E05A85">
        <w:rPr>
          <w:rFonts w:ascii="Times New Roman" w:eastAsia="Calibri" w:hAnsi="Times New Roman" w:cs="Times New Roman"/>
          <w:sz w:val="24"/>
          <w:szCs w:val="24"/>
        </w:rPr>
        <w:fldChar w:fldCharType="separate"/>
      </w:r>
      <w:r w:rsidR="0023119E" w:rsidRPr="0023119E">
        <w:rPr>
          <w:rFonts w:ascii="Times New Roman" w:hAnsi="Times New Roman" w:cs="Times New Roman"/>
          <w:sz w:val="24"/>
          <w:szCs w:val="24"/>
          <w:vertAlign w:val="superscript"/>
        </w:rPr>
        <w:t>1,32</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While this representation convenient for the purposes of analysis, is has limited flexibility, especially in capturing the skewness of the distribution </w:t>
      </w:r>
      <w:r w:rsidRPr="00E05A85">
        <w:rPr>
          <w:rFonts w:ascii="Times New Roman" w:eastAsia="Calibri" w:hAnsi="Times New Roman" w:cs="Times New Roman"/>
          <w:sz w:val="24"/>
          <w:szCs w:val="24"/>
        </w:rPr>
        <w:fldChar w:fldCharType="begin"/>
      </w:r>
      <w:r w:rsidR="00730BDC" w:rsidRPr="00E05A85">
        <w:rPr>
          <w:rFonts w:ascii="Times New Roman" w:eastAsia="Calibri" w:hAnsi="Times New Roman" w:cs="Times New Roman"/>
          <w:sz w:val="24"/>
          <w:szCs w:val="24"/>
        </w:rPr>
        <w:instrText xml:space="preserve"> ADDIN ZOTERO_ITEM CSL_CITATION {"citationID":"HmyOEWUf","properties":{"formattedCitation":"\\super 1\\nosupersub{}","plainCitation":"1","noteIndex":0},"citationItems":[{"id":55,"uris":["http://zotero.org/users/5867530/items/NCZECKFL"],"uri":["http://zotero.org/users/5867530/items/NCZECKFL"],"itemData":{"id":55,"type":"article-journal","container-title":"Documento de trabajo","issue":"2014","page":"14–05","title":"Refinements to the FAO methodology for estimating the prevalence of undernourishment indicator","author":[{"family":"Wanner","given":"Nathan"},{"family":"Cafiero","given":"Carlo"},{"family":"Troubat","given":"Nathalie"},{"family":"Conforti","given":"Piero"}],"issued":{"date-parts":[["2014"]]}}}],"schema":"https://github.com/citation-style-language/schema/raw/master/csl-citation.json"} </w:instrText>
      </w:r>
      <w:r w:rsidRPr="00E05A85">
        <w:rPr>
          <w:rFonts w:ascii="Times New Roman" w:eastAsia="Calibri" w:hAnsi="Times New Roman" w:cs="Times New Roman"/>
          <w:sz w:val="24"/>
          <w:szCs w:val="24"/>
        </w:rPr>
        <w:fldChar w:fldCharType="separate"/>
      </w:r>
      <w:r w:rsidR="00730BDC" w:rsidRPr="00E05A85">
        <w:rPr>
          <w:rFonts w:ascii="Times New Roman" w:hAnsi="Times New Roman" w:cs="Times New Roman"/>
          <w:sz w:val="24"/>
          <w:szCs w:val="24"/>
          <w:vertAlign w:val="superscript"/>
        </w:rPr>
        <w:t>1</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Hence, some reservation may be legitimate on the historical report as well as on future projections, especially for regions where the mean of the distribution present large growth in recent decades and/or is projected to considerably increase in the incoming decades. Future refinements on the approach presented in this chapter may include more flexible functional forms (e.g., three-parameter Skew-Normal, Skew-Log Normal, or the four-parameter Skew –T models) as viable alternatives to the previous lognormal </w:t>
      </w:r>
      <w:r w:rsidRPr="00E05A85">
        <w:rPr>
          <w:rFonts w:ascii="Times New Roman" w:eastAsia="Calibri" w:hAnsi="Times New Roman" w:cs="Times New Roman"/>
          <w:sz w:val="24"/>
          <w:szCs w:val="24"/>
        </w:rPr>
        <w:fldChar w:fldCharType="begin"/>
      </w:r>
      <w:r w:rsidR="00730BDC" w:rsidRPr="00E05A85">
        <w:rPr>
          <w:rFonts w:ascii="Times New Roman" w:eastAsia="Calibri" w:hAnsi="Times New Roman" w:cs="Times New Roman"/>
          <w:sz w:val="24"/>
          <w:szCs w:val="24"/>
        </w:rPr>
        <w:instrText xml:space="preserve"> ADDIN ZOTERO_ITEM CSL_CITATION {"citationID":"o8ogiq8d","properties":{"formattedCitation":"\\super 1\\nosupersub{}","plainCitation":"1","noteIndex":0},"citationItems":[{"id":55,"uris":["http://zotero.org/users/5867530/items/NCZECKFL"],"uri":["http://zotero.org/users/5867530/items/NCZECKFL"],"itemData":{"id":55,"type":"article-journal","container-title":"Documento de trabajo","issue":"2014","page":"14–05","title":"Refinements to the FAO methodology for estimating the prevalence of undernourishment indicator","author":[{"family":"Wanner","given":"Nathan"},{"family":"Cafiero","given":"Carlo"},{"family":"Troubat","given":"Nathalie"},{"family":"Conforti","given":"Piero"}],"issued":{"date-parts":[["2014"]]}}}],"schema":"https://github.com/citation-style-language/schema/raw/master/csl-citation.json"} </w:instrText>
      </w:r>
      <w:r w:rsidRPr="00E05A85">
        <w:rPr>
          <w:rFonts w:ascii="Times New Roman" w:eastAsia="Calibri" w:hAnsi="Times New Roman" w:cs="Times New Roman"/>
          <w:sz w:val="24"/>
          <w:szCs w:val="24"/>
        </w:rPr>
        <w:fldChar w:fldCharType="separate"/>
      </w:r>
      <w:r w:rsidR="00730BDC" w:rsidRPr="00E05A85">
        <w:rPr>
          <w:rFonts w:ascii="Times New Roman" w:hAnsi="Times New Roman" w:cs="Times New Roman"/>
          <w:sz w:val="24"/>
          <w:szCs w:val="24"/>
          <w:vertAlign w:val="superscript"/>
        </w:rPr>
        <w:t>1</w:t>
      </w:r>
      <w:r w:rsidRPr="00E05A85">
        <w:rPr>
          <w:rFonts w:ascii="Times New Roman" w:eastAsia="Calibri" w:hAnsi="Times New Roman" w:cs="Times New Roman"/>
          <w:sz w:val="24"/>
          <w:szCs w:val="24"/>
        </w:rPr>
        <w:fldChar w:fldCharType="end"/>
      </w:r>
      <w:r w:rsidRPr="00E05A85">
        <w:rPr>
          <w:rFonts w:ascii="Times New Roman" w:eastAsia="Calibri" w:hAnsi="Times New Roman" w:cs="Times New Roman"/>
          <w:sz w:val="24"/>
          <w:szCs w:val="24"/>
        </w:rPr>
        <w:t xml:space="preserve">. </w:t>
      </w:r>
    </w:p>
    <w:p w14:paraId="6679B4BB" w14:textId="4F65D584" w:rsidR="00D3605A" w:rsidRPr="00E05A85" w:rsidRDefault="00D3605A" w:rsidP="00E05A85">
      <w:pPr>
        <w:keepNext/>
        <w:spacing w:before="240" w:after="60" w:line="240" w:lineRule="auto"/>
        <w:outlineLvl w:val="0"/>
        <w:rPr>
          <w:rFonts w:ascii="Times New Roman" w:eastAsia="Times New Roman" w:hAnsi="Times New Roman" w:cs="Times New Roman"/>
          <w:b/>
          <w:bCs/>
          <w:kern w:val="32"/>
          <w:sz w:val="24"/>
          <w:szCs w:val="24"/>
        </w:rPr>
      </w:pPr>
      <w:r w:rsidRPr="00E05A85">
        <w:rPr>
          <w:rFonts w:ascii="Times New Roman" w:eastAsia="Times New Roman" w:hAnsi="Times New Roman" w:cs="Times New Roman"/>
          <w:b/>
          <w:bCs/>
          <w:kern w:val="32"/>
          <w:sz w:val="24"/>
          <w:szCs w:val="24"/>
        </w:rPr>
        <w:t>Overview of the SIMPLE model</w:t>
      </w:r>
    </w:p>
    <w:bookmarkEnd w:id="44"/>
    <w:p w14:paraId="6617681C" w14:textId="6C5BC185" w:rsidR="00D3605A" w:rsidRPr="00E05A85" w:rsidRDefault="00D3605A" w:rsidP="00E05A85">
      <w:pPr>
        <w:spacing w:after="0" w:line="240" w:lineRule="auto"/>
        <w:jc w:val="both"/>
        <w:rPr>
          <w:rFonts w:ascii="Times New Roman" w:eastAsia="Malgun Gothic" w:hAnsi="Times New Roman" w:cs="Times New Roman"/>
          <w:b/>
          <w:bCs/>
          <w:color w:val="000000"/>
          <w:sz w:val="24"/>
          <w:szCs w:val="24"/>
          <w:lang w:eastAsia="ko-KR"/>
        </w:rPr>
      </w:pPr>
      <w:r w:rsidRPr="00E05A85">
        <w:rPr>
          <w:rFonts w:ascii="Times New Roman" w:eastAsia="Malgun Gothic" w:hAnsi="Times New Roman" w:cs="Times New Roman"/>
          <w:color w:val="000000"/>
          <w:sz w:val="24"/>
          <w:szCs w:val="24"/>
          <w:lang w:eastAsia="ko-KR"/>
        </w:rPr>
        <w:t xml:space="preserve">In the Simplified International Model of Crop Prices, Land Use and the Environment (SIMPLE) </w:t>
      </w:r>
      <w:r w:rsidRPr="00E05A85">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{"citationID":"aK5Hhoe5","properties":{"formattedCitation":"\\super 34\\nosupersub{}","plainCitation":"34","noteIndex":0},"citationItems":[{"id":59,"uris":["http://zotero.org/users/5867530/items/JYH3UFNV"],"uri":["http://zotero.org/users/5867530/items/JYH3UFNV"],"itemData":{"id":59,"type":"book","event-place":"Cham","ISBN":"978-3-319-22661-3","language":"en","note":"DOI: 10.1007/978-3-319-22662-0","publisher":"Springer International Publishing","publisher-place":"Cham","title":"Global Change and the Challenges of Sustainably Feeding a Growing Planet","URL":"http://link.springer.com/10.1007/978-3-319-22662-0","author":[{"family":"Hertel","given":"Thomas W."},{"family":"Baldos","given":"Uris Lantz C."}],"accessed":{"date-parts":[["2020",10,25]]},"issued":{"date-parts":[["2016"]]}}}],"schema":"https://github.com/citation-style-language/schema/raw/master/csl-citation.json"} </w:instrText>
      </w:r>
      <w:r w:rsidRPr="00E05A85">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34</w:t>
      </w:r>
      <w:r w:rsidRPr="00E05A85">
        <w:rPr>
          <w:rFonts w:ascii="Times New Roman" w:eastAsia="Malgun Gothic" w:hAnsi="Times New Roman" w:cs="Times New Roman"/>
          <w:color w:val="000000"/>
          <w:sz w:val="24"/>
          <w:szCs w:val="24"/>
          <w:lang w:eastAsia="ko-KR"/>
        </w:rPr>
        <w:fldChar w:fldCharType="end"/>
      </w:r>
      <w:r w:rsidRPr="00E05A85">
        <w:rPr>
          <w:rFonts w:ascii="Times New Roman" w:eastAsia="Malgun Gothic" w:hAnsi="Times New Roman" w:cs="Times New Roman"/>
          <w:color w:val="000000"/>
          <w:sz w:val="24"/>
          <w:szCs w:val="24"/>
          <w:lang w:eastAsia="ko-KR"/>
        </w:rPr>
        <w:t xml:space="preserve">, per capita consumer demands for three food types: crops, livestock and processed foods are log-linear functions of price and income, with these food demand elasticities varying as a function of per capita income in each region. Based on international cross-section estimates by </w:t>
      </w:r>
      <w:r w:rsidRPr="00E05A85">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{"citationID":"r85r2JDy","properties":{"formattedCitation":"\\super 35\\nosupersub{}","plainCitation":"35","noteIndex":0},"citationItems":[{"id":"xNxQuBvD/L8MWk6Zp","uris":["http://zotero.org/users/5867530/items/CNK6DM2S"],"uri":["http://zotero.org/users/5867530/items/CNK6DM2S"],"itemData":{"id":272,"type":"article-journal","title":"International evidence on food consumption patterns: an update using 2005 international comparison program data","container-title":"USDA-ERS technical bulletin","issue":"1929","author":[{"family":"Muhammad","given":"Andrew"},{"family":"Seale","given":"James L."},{"family":"Meade","given":"Birgit"},{"family":"Regmi","given":"Anita"}],"issued":{"date-parts":[["2011"]]}}}],"schema":"https://github.com/citation-style-language/schema/raw/master/csl-citation.json"} </w:instrText>
      </w:r>
      <w:r w:rsidRPr="00E05A85">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35</w:t>
      </w:r>
      <w:r w:rsidRPr="00E05A85">
        <w:rPr>
          <w:rFonts w:ascii="Times New Roman" w:eastAsia="Malgun Gothic" w:hAnsi="Times New Roman" w:cs="Times New Roman"/>
          <w:color w:val="000000"/>
          <w:sz w:val="24"/>
          <w:szCs w:val="24"/>
          <w:lang w:eastAsia="ko-KR"/>
        </w:rPr>
        <w:fldChar w:fldCharType="end"/>
      </w:r>
      <w:r w:rsidRPr="00E05A85">
        <w:rPr>
          <w:rFonts w:ascii="Times New Roman" w:eastAsia="Malgun Gothic" w:hAnsi="Times New Roman" w:cs="Times New Roman"/>
          <w:color w:val="000000"/>
          <w:sz w:val="24"/>
          <w:szCs w:val="24"/>
          <w:lang w:eastAsia="ko-KR"/>
        </w:rPr>
        <w:t>, the absolute values of the income and price elasticities for all food types fall as incomes grow. Regional food demand is obtained by multiplying per capita demand by regional population.</w:t>
      </w:r>
    </w:p>
    <w:p w14:paraId="2B01F5E1" w14:textId="77777777" w:rsidR="00D3605A" w:rsidRPr="00D3605A" w:rsidRDefault="00D3605A" w:rsidP="00D3605A">
      <w:pPr>
        <w:keepNext/>
        <w:spacing w:after="0" w:line="360" w:lineRule="auto"/>
        <w:jc w:val="both"/>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noProof/>
          <w:color w:val="000000"/>
          <w:sz w:val="24"/>
          <w:szCs w:val="24"/>
        </w:rPr>
        <w:drawing>
          <wp:inline distT="0" distB="0" distL="0" distR="0" wp14:anchorId="7763CE00" wp14:editId="4AE2C09F">
            <wp:extent cx="5943600" cy="3517900"/>
            <wp:effectExtent l="0" t="0" r="0" b="6350"/>
            <wp:docPr id="3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2" cstate="print"/>
                    <a:stretch>
                      <a:fillRect/>
                    </a:stretch>
                  </pic:blipFill>
                  <pic:spPr>
                    <a:xfrm>
                      <a:off x="0" y="0"/>
                      <a:ext cx="5943600" cy="3517900"/>
                    </a:xfrm>
                    <a:prstGeom prst="rect">
                      <a:avLst/>
                    </a:prstGeom>
                  </pic:spPr>
                </pic:pic>
              </a:graphicData>
            </a:graphic>
          </wp:inline>
        </w:drawing>
      </w:r>
    </w:p>
    <w:p w14:paraId="05428E4F" w14:textId="34A753E5" w:rsidR="00D3605A" w:rsidRPr="00E05A85" w:rsidRDefault="00D3605A" w:rsidP="00E05A85">
      <w:pPr>
        <w:pStyle w:val="Descripcin"/>
        <w:spacing w:after="0"/>
        <w:jc w:val="both"/>
        <w:rPr>
          <w:rFonts w:ascii="Times New Roman" w:eastAsia="Malgun Gothic" w:hAnsi="Times New Roman" w:cs="Times New Roman"/>
          <w:b/>
          <w:i w:val="0"/>
          <w:iCs w:val="0"/>
          <w:color w:val="auto"/>
          <w:sz w:val="20"/>
          <w:szCs w:val="14"/>
          <w:lang w:eastAsia="ko-KR"/>
        </w:rPr>
      </w:pPr>
      <w:bookmarkStart w:id="45" w:name="_Toc82619233"/>
      <w:bookmarkStart w:id="46" w:name="_Toc97739388"/>
      <w:r w:rsidRPr="00E05A85">
        <w:rPr>
          <w:rFonts w:ascii="Times New Roman" w:eastAsia="Malgun Gothic" w:hAnsi="Times New Roman" w:cs="Times New Roman"/>
          <w:b/>
          <w:i w:val="0"/>
          <w:iCs w:val="0"/>
          <w:color w:val="auto"/>
          <w:sz w:val="20"/>
          <w:szCs w:val="14"/>
          <w:lang w:eastAsia="ko-KR"/>
        </w:rPr>
        <w:t xml:space="preserve">Figure </w:t>
      </w:r>
      <w:r w:rsidR="00670F02" w:rsidRPr="00E05A85">
        <w:rPr>
          <w:rFonts w:ascii="Times New Roman" w:eastAsia="Malgun Gothic" w:hAnsi="Times New Roman" w:cs="Times New Roman"/>
          <w:b/>
          <w:i w:val="0"/>
          <w:iCs w:val="0"/>
          <w:color w:val="auto"/>
          <w:sz w:val="20"/>
          <w:szCs w:val="14"/>
          <w:lang w:eastAsia="ko-KR"/>
        </w:rPr>
        <w:t>S</w:t>
      </w:r>
      <w:r w:rsidR="00382175" w:rsidRPr="00E05A85">
        <w:rPr>
          <w:rFonts w:ascii="Times New Roman" w:eastAsia="Malgun Gothic" w:hAnsi="Times New Roman" w:cs="Times New Roman"/>
          <w:b/>
          <w:i w:val="0"/>
          <w:iCs w:val="0"/>
          <w:color w:val="auto"/>
          <w:sz w:val="20"/>
          <w:szCs w:val="14"/>
          <w:lang w:eastAsia="ko-KR"/>
        </w:rPr>
        <w:fldChar w:fldCharType="begin"/>
      </w:r>
      <w:r w:rsidR="00382175" w:rsidRPr="00E05A85">
        <w:rPr>
          <w:rFonts w:ascii="Times New Roman" w:eastAsia="Malgun Gothic" w:hAnsi="Times New Roman" w:cs="Times New Roman"/>
          <w:b/>
          <w:i w:val="0"/>
          <w:iCs w:val="0"/>
          <w:color w:val="auto"/>
          <w:sz w:val="20"/>
          <w:szCs w:val="14"/>
          <w:lang w:eastAsia="ko-KR"/>
        </w:rPr>
        <w:instrText xml:space="preserve"> SEQ Figure_S \* ARABIC </w:instrText>
      </w:r>
      <w:r w:rsidR="00382175" w:rsidRPr="00E05A85">
        <w:rPr>
          <w:rFonts w:ascii="Times New Roman" w:eastAsia="Malgun Gothic" w:hAnsi="Times New Roman" w:cs="Times New Roman"/>
          <w:b/>
          <w:i w:val="0"/>
          <w:iCs w:val="0"/>
          <w:color w:val="auto"/>
          <w:sz w:val="20"/>
          <w:szCs w:val="14"/>
          <w:lang w:eastAsia="ko-KR"/>
        </w:rPr>
        <w:fldChar w:fldCharType="separate"/>
      </w:r>
      <w:r w:rsidR="00473FA6" w:rsidRPr="00E05A85">
        <w:rPr>
          <w:rFonts w:ascii="Times New Roman" w:eastAsia="Malgun Gothic" w:hAnsi="Times New Roman" w:cs="Times New Roman"/>
          <w:b/>
          <w:i w:val="0"/>
          <w:iCs w:val="0"/>
          <w:noProof/>
          <w:color w:val="auto"/>
          <w:sz w:val="20"/>
          <w:szCs w:val="14"/>
          <w:lang w:eastAsia="ko-KR"/>
        </w:rPr>
        <w:t>11</w:t>
      </w:r>
      <w:r w:rsidR="00382175" w:rsidRPr="00E05A85">
        <w:rPr>
          <w:rFonts w:ascii="Times New Roman" w:eastAsia="Malgun Gothic" w:hAnsi="Times New Roman" w:cs="Times New Roman"/>
          <w:b/>
          <w:i w:val="0"/>
          <w:iCs w:val="0"/>
          <w:color w:val="auto"/>
          <w:sz w:val="20"/>
          <w:szCs w:val="14"/>
          <w:lang w:eastAsia="ko-KR"/>
        </w:rPr>
        <w:fldChar w:fldCharType="end"/>
      </w:r>
      <w:r w:rsidR="00382175" w:rsidRPr="00E05A85">
        <w:rPr>
          <w:rFonts w:ascii="Times New Roman" w:eastAsia="Malgun Gothic" w:hAnsi="Times New Roman" w:cs="Times New Roman"/>
          <w:b/>
          <w:i w:val="0"/>
          <w:iCs w:val="0"/>
          <w:color w:val="auto"/>
          <w:sz w:val="20"/>
          <w:szCs w:val="14"/>
          <w:lang w:eastAsia="ko-KR"/>
        </w:rPr>
        <w:t xml:space="preserve">. </w:t>
      </w:r>
      <w:r w:rsidRPr="00E05A85">
        <w:rPr>
          <w:rFonts w:ascii="Times New Roman" w:eastAsia="Malgun Gothic" w:hAnsi="Times New Roman" w:cs="Times New Roman"/>
          <w:b/>
          <w:i w:val="0"/>
          <w:iCs w:val="0"/>
          <w:color w:val="auto"/>
          <w:sz w:val="20"/>
          <w:szCs w:val="14"/>
          <w:lang w:eastAsia="ko-KR"/>
        </w:rPr>
        <w:t>Graphical description of the SIMPLE model.</w:t>
      </w:r>
      <w:bookmarkEnd w:id="45"/>
      <w:bookmarkEnd w:id="46"/>
    </w:p>
    <w:p w14:paraId="0608B4A1" w14:textId="4B9167F5" w:rsidR="00382175" w:rsidRPr="00E05A85" w:rsidRDefault="00D3605A" w:rsidP="00E05A85">
      <w:pPr>
        <w:spacing w:line="240" w:lineRule="auto"/>
        <w:jc w:val="both"/>
        <w:rPr>
          <w:rFonts w:ascii="Times New Roman" w:eastAsia="Malgun Gothic" w:hAnsi="Times New Roman" w:cs="Times New Roman"/>
          <w:bCs/>
          <w:sz w:val="20"/>
          <w:szCs w:val="14"/>
          <w:lang w:eastAsia="ko-KR"/>
        </w:rPr>
      </w:pPr>
      <w:r w:rsidRPr="00E05A85">
        <w:rPr>
          <w:rFonts w:ascii="Times New Roman" w:eastAsia="Malgun Gothic" w:hAnsi="Times New Roman" w:cs="Times New Roman"/>
          <w:bCs/>
          <w:sz w:val="20"/>
          <w:szCs w:val="14"/>
          <w:lang w:eastAsia="ko-KR"/>
        </w:rPr>
        <w:t>SIMPLE is a global partial equilibrium model of the food sector.</w:t>
      </w:r>
      <w:r w:rsidRPr="00E05A85">
        <w:rPr>
          <w:rFonts w:ascii="Times New Roman" w:eastAsia="Malgun Gothic" w:hAnsi="Times New Roman" w:cs="Times New Roman"/>
          <w:b/>
          <w:bCs/>
          <w:sz w:val="20"/>
          <w:szCs w:val="14"/>
          <w:lang w:eastAsia="ko-KR"/>
        </w:rPr>
        <w:t xml:space="preserve"> </w:t>
      </w:r>
      <w:r w:rsidRPr="00E05A85">
        <w:rPr>
          <w:rFonts w:ascii="Times New Roman" w:eastAsia="Malgun Gothic" w:hAnsi="Times New Roman" w:cs="Times New Roman"/>
          <w:bCs/>
          <w:sz w:val="20"/>
          <w:szCs w:val="14"/>
          <w:lang w:eastAsia="ko-KR"/>
        </w:rPr>
        <w:t>In this model,</w:t>
      </w:r>
      <w:r w:rsidRPr="00E05A85">
        <w:rPr>
          <w:rFonts w:ascii="Times New Roman" w:eastAsia="Malgun Gothic" w:hAnsi="Times New Roman" w:cs="Times New Roman"/>
          <w:b/>
          <w:bCs/>
          <w:sz w:val="20"/>
          <w:szCs w:val="14"/>
          <w:lang w:eastAsia="ko-KR"/>
        </w:rPr>
        <w:t xml:space="preserve"> </w:t>
      </w:r>
      <w:r w:rsidRPr="00E05A85">
        <w:rPr>
          <w:rFonts w:ascii="Times New Roman" w:eastAsia="Malgun Gothic" w:hAnsi="Times New Roman" w:cs="Times New Roman"/>
          <w:bCs/>
          <w:sz w:val="20"/>
          <w:szCs w:val="14"/>
          <w:lang w:eastAsia="ko-KR"/>
        </w:rPr>
        <w:t>the per capita consumer demands for three food types: crops, livestock and processed foods are log-linear functions of price and income, and regional food demand is obtained by multiplying per capita demand by regional population. Global crop production is specified for each of the 15 model regions represented in the model as a constant elasticity of substitution function of land and non-land inputs, each with different yields and potentially differing rates of technological progress.</w:t>
      </w:r>
    </w:p>
    <w:p w14:paraId="76FBDCEE" w14:textId="77777777" w:rsidR="00D3605A" w:rsidRPr="00D568A1" w:rsidRDefault="00D3605A" w:rsidP="00D568A1">
      <w:pPr>
        <w:spacing w:after="0" w:line="240" w:lineRule="auto"/>
        <w:ind w:firstLine="360"/>
        <w:jc w:val="both"/>
        <w:rPr>
          <w:rFonts w:ascii="Times New Roman" w:eastAsia="Malgun Gothic" w:hAnsi="Times New Roman" w:cs="Times New Roman"/>
          <w:color w:val="000000"/>
          <w:sz w:val="24"/>
          <w:szCs w:val="24"/>
          <w:lang w:eastAsia="ko-KR"/>
        </w:rPr>
      </w:pPr>
      <w:r w:rsidRPr="00D568A1">
        <w:rPr>
          <w:rFonts w:ascii="Times New Roman" w:eastAsia="Malgun Gothic" w:hAnsi="Times New Roman" w:cs="Times New Roman"/>
          <w:color w:val="000000"/>
          <w:sz w:val="24"/>
          <w:szCs w:val="24"/>
          <w:lang w:eastAsia="ko-KR"/>
        </w:rPr>
        <w:t xml:space="preserve">Since livestock and processed foods are valued-added products, these are produced within the consuming region using crop and non-crop inputs and therefore have region- specific prices. A substantial share of crop demands in the model is </w:t>
      </w:r>
      <w:r w:rsidRPr="00D568A1">
        <w:rPr>
          <w:rFonts w:ascii="Times New Roman" w:eastAsia="Malgun Gothic" w:hAnsi="Times New Roman" w:cs="Times New Roman"/>
          <w:i/>
          <w:color w:val="000000"/>
          <w:sz w:val="24"/>
          <w:szCs w:val="24"/>
          <w:lang w:eastAsia="ko-KR"/>
        </w:rPr>
        <w:t>derived demands</w:t>
      </w:r>
      <w:r w:rsidRPr="00D568A1">
        <w:rPr>
          <w:rFonts w:ascii="Times New Roman" w:eastAsia="Malgun Gothic" w:hAnsi="Times New Roman" w:cs="Times New Roman"/>
          <w:color w:val="000000"/>
          <w:sz w:val="24"/>
          <w:szCs w:val="24"/>
          <w:lang w:eastAsia="ko-KR"/>
        </w:rPr>
        <w:t>, obtained from the consumer demands for value-added food products. This is important since technological change and factor substitution in the livestock and processed food industries can lead to varying intensities of crop use in these food products. The global demand for crops is the summation of final demands and derived demands summed over all regions. The global demand for crop feedstocks in biofuels is exogenously specified and serves as an addition to global crop demand.</w:t>
      </w:r>
    </w:p>
    <w:p w14:paraId="0D310353" w14:textId="7CC6E2C8" w:rsidR="00614698" w:rsidRPr="00D568A1" w:rsidRDefault="00D3605A" w:rsidP="00D568A1">
      <w:pPr>
        <w:spacing w:after="0" w:line="240" w:lineRule="auto"/>
        <w:ind w:firstLine="360"/>
        <w:jc w:val="both"/>
        <w:rPr>
          <w:rFonts w:ascii="Times New Roman" w:eastAsia="Malgun Gothic" w:hAnsi="Times New Roman" w:cs="Times New Roman"/>
          <w:color w:val="000000"/>
          <w:sz w:val="24"/>
          <w:szCs w:val="24"/>
          <w:lang w:eastAsia="ko-KR"/>
        </w:rPr>
      </w:pPr>
      <w:r w:rsidRPr="00D568A1">
        <w:rPr>
          <w:rFonts w:ascii="Times New Roman" w:eastAsia="Malgun Gothic" w:hAnsi="Times New Roman" w:cs="Times New Roman"/>
          <w:color w:val="000000"/>
          <w:sz w:val="24"/>
          <w:szCs w:val="24"/>
          <w:lang w:eastAsia="ko-KR"/>
        </w:rPr>
        <w:t xml:space="preserve">Global crop production is specified for each of the 15 model regions as a constant elasticity of substitution function of land and non-land inputs, each with different yields and potentially differing rates of technological progress. Cropland supply elasticities, which vary by region, are based on the estimates of </w:t>
      </w:r>
      <w:r w:rsidRPr="00D568A1">
        <w:rPr>
          <w:rFonts w:ascii="Times New Roman" w:eastAsia="Malgun Gothic" w:hAnsi="Times New Roman" w:cs="Times New Roman"/>
          <w:color w:val="000000"/>
          <w:sz w:val="24"/>
          <w:szCs w:val="24"/>
          <w:lang w:eastAsia="ko-KR"/>
        </w:rPr>
        <w:fldChar w:fldCharType="begin"/>
      </w:r>
      <w:r w:rsidRPr="00D568A1">
        <w:rPr>
          <w:rFonts w:ascii="Times New Roman" w:eastAsia="Malgun Gothic" w:hAnsi="Times New Roman" w:cs="Times New Roman"/>
          <w:color w:val="000000"/>
          <w:sz w:val="24"/>
          <w:szCs w:val="24"/>
          <w:lang w:eastAsia="ko-KR"/>
        </w:rPr>
        <w:instrText xml:space="preserve"> ADDIN ZOTERO_ITEM CSL_CITATION {"citationID":"MiN3O8Ek","properties":{"formattedCitation":"(Gurgel, Reilly, and Paltsev 2007)","plainCitation":"(Gurgel, Reilly, and Paltsev 2007)","dontUpdate":true,"noteIndex":0},"citationItems":[{"id":144,"uris":["http://zotero.org/users/5867530/items/795PNNXH"],"uri":["http://zotero.org/users/5867530/items/795PNNXH"],"itemData":{"id":144,"type":"article-journal","container-title":"Journal of Agricultural &amp; Food Industrial Organization","issue":"2","title":"Potential land use implications of a global biofuels industry","volume":"5","author":[{"family":"Gurgel","given":"Angelo"},{"family":"Reilly","given":"John M."},{"family":"Paltsev","given":"Sergey"}],"issued":{"date-parts":[["2007"]]}}}],"schema":"https://github.com/citation-style-language/schema/raw/master/csl-citation.json"} </w:instrText>
      </w:r>
      <w:r w:rsidRPr="00D568A1">
        <w:rPr>
          <w:rFonts w:ascii="Times New Roman" w:eastAsia="Malgun Gothic" w:hAnsi="Times New Roman" w:cs="Times New Roman"/>
          <w:color w:val="000000"/>
          <w:sz w:val="24"/>
          <w:szCs w:val="24"/>
          <w:lang w:eastAsia="ko-KR"/>
        </w:rPr>
        <w:fldChar w:fldCharType="separate"/>
      </w:r>
      <w:r w:rsidRPr="00D568A1">
        <w:rPr>
          <w:rFonts w:ascii="Times New Roman" w:eastAsia="Malgun Gothic" w:hAnsi="Times New Roman" w:cs="Times New Roman"/>
          <w:color w:val="000000"/>
          <w:sz w:val="24"/>
          <w:szCs w:val="24"/>
          <w:lang w:eastAsia="ko-KR"/>
        </w:rPr>
        <w:t>Gurgel et al. (2007)</w:t>
      </w:r>
      <w:r w:rsidRPr="00D568A1">
        <w:rPr>
          <w:rFonts w:ascii="Times New Roman" w:eastAsia="Malgun Gothic" w:hAnsi="Times New Roman" w:cs="Times New Roman"/>
          <w:color w:val="000000"/>
          <w:sz w:val="24"/>
          <w:szCs w:val="24"/>
          <w:lang w:eastAsia="ko-KR"/>
        </w:rPr>
        <w:fldChar w:fldCharType="end"/>
      </w:r>
      <w:r w:rsidRPr="00D568A1">
        <w:rPr>
          <w:rFonts w:ascii="Times New Roman" w:eastAsia="Malgun Gothic" w:hAnsi="Times New Roman" w:cs="Times New Roman"/>
          <w:color w:val="000000"/>
          <w:sz w:val="24"/>
          <w:szCs w:val="24"/>
          <w:lang w:eastAsia="ko-KR"/>
        </w:rPr>
        <w:t xml:space="preserve"> and </w:t>
      </w:r>
      <w:r w:rsidRPr="00D568A1">
        <w:rPr>
          <w:rFonts w:ascii="Times New Roman" w:eastAsia="Malgun Gothic" w:hAnsi="Times New Roman" w:cs="Times New Roman"/>
          <w:color w:val="000000"/>
          <w:sz w:val="24"/>
          <w:szCs w:val="24"/>
          <w:lang w:eastAsia="ko-KR"/>
        </w:rPr>
        <w:fldChar w:fldCharType="begin"/>
      </w:r>
      <w:r w:rsidRPr="00D568A1">
        <w:rPr>
          <w:rFonts w:ascii="Times New Roman" w:eastAsia="Malgun Gothic" w:hAnsi="Times New Roman" w:cs="Times New Roman"/>
          <w:color w:val="000000"/>
          <w:sz w:val="24"/>
          <w:szCs w:val="24"/>
          <w:lang w:eastAsia="ko-KR"/>
        </w:rPr>
        <w:instrText xml:space="preserve"> ADDIN ZOTERO_ITEM CSL_CITATION {"citationID":"VmEB2H4I","properties":{"formattedCitation":"(Ahmed, Hertel, and Lubowski 2009)","plainCitation":"(Ahmed, Hertel, and Lubowski 2009)","dontUpdate":true,"noteIndex":0},"citationItems":[{"id":143,"uris":["http://zotero.org/users/5867530/items/4HLCKPQ4"],"uri":["http://zotero.org/users/5867530/items/4HLCKPQ4"],"itemData":{"id":143,"type":"article-journal","title":"Calibration of a land cover supply function using transition probabilities","author":[{"family":"Ahmed","given":"S. Amer"},{"family":"Hertel","given":"Thomas"},{"family":"Lubowski","given":"Ruben"}],"issued":{"date-parts":[["2009"]]}}}],"schema":"https://github.com/citation-style-language/schema/raw/master/csl-citation.json"} </w:instrText>
      </w:r>
      <w:r w:rsidRPr="00D568A1">
        <w:rPr>
          <w:rFonts w:ascii="Times New Roman" w:eastAsia="Malgun Gothic" w:hAnsi="Times New Roman" w:cs="Times New Roman"/>
          <w:color w:val="000000"/>
          <w:sz w:val="24"/>
          <w:szCs w:val="24"/>
          <w:lang w:eastAsia="ko-KR"/>
        </w:rPr>
        <w:fldChar w:fldCharType="separate"/>
      </w:r>
      <w:r w:rsidRPr="00D568A1">
        <w:rPr>
          <w:rFonts w:ascii="Times New Roman" w:eastAsia="Malgun Gothic" w:hAnsi="Times New Roman" w:cs="Times New Roman"/>
          <w:color w:val="000000"/>
          <w:sz w:val="24"/>
          <w:szCs w:val="24"/>
          <w:lang w:eastAsia="ko-KR"/>
        </w:rPr>
        <w:t>Ahmed et al. (2009)</w:t>
      </w:r>
      <w:r w:rsidRPr="00D568A1">
        <w:rPr>
          <w:rFonts w:ascii="Times New Roman" w:eastAsia="Malgun Gothic" w:hAnsi="Times New Roman" w:cs="Times New Roman"/>
          <w:color w:val="000000"/>
          <w:sz w:val="24"/>
          <w:szCs w:val="24"/>
          <w:lang w:eastAsia="ko-KR"/>
        </w:rPr>
        <w:fldChar w:fldCharType="end"/>
      </w:r>
      <w:r w:rsidRPr="00D568A1">
        <w:rPr>
          <w:rFonts w:ascii="Times New Roman" w:eastAsia="Malgun Gothic" w:hAnsi="Times New Roman" w:cs="Times New Roman"/>
          <w:color w:val="000000"/>
          <w:sz w:val="24"/>
          <w:szCs w:val="24"/>
          <w:lang w:eastAsia="ko-KR"/>
        </w:rPr>
        <w:t>. Non-land factor supplies to agriculture are also less than perfectly elastic supply, but are more price responsive than land supply, based on the estimates offered by OECD (2001). Equilibrium in SIMPLE is attained when global crop supply equals global demand where the equilibrating variable is the global price of crops.</w:t>
      </w:r>
      <w:bookmarkStart w:id="47" w:name="_Hlk74931636"/>
      <w:r w:rsidR="00614698" w:rsidRPr="00D568A1">
        <w:rPr>
          <w:rFonts w:ascii="Times New Roman" w:eastAsia="Malgun Gothic" w:hAnsi="Times New Roman" w:cs="Times New Roman"/>
          <w:color w:val="000000"/>
          <w:sz w:val="24"/>
          <w:szCs w:val="24"/>
          <w:lang w:eastAsia="ko-KR"/>
        </w:rPr>
        <w:t xml:space="preserve"> </w:t>
      </w:r>
    </w:p>
    <w:p w14:paraId="35757281" w14:textId="76A35164" w:rsidR="00D3605A" w:rsidRPr="00D568A1" w:rsidRDefault="00D3605A" w:rsidP="00D568A1">
      <w:pPr>
        <w:spacing w:after="0" w:line="240" w:lineRule="auto"/>
        <w:rPr>
          <w:rFonts w:ascii="Times New Roman" w:eastAsia="Times New Roman" w:hAnsi="Times New Roman" w:cs="Times New Roman"/>
          <w:sz w:val="24"/>
          <w:szCs w:val="20"/>
          <w:u w:val="words"/>
        </w:rPr>
      </w:pPr>
      <w:r w:rsidRPr="00D568A1">
        <w:rPr>
          <w:rFonts w:ascii="Times New Roman" w:eastAsia="Times New Roman" w:hAnsi="Times New Roman" w:cs="Times New Roman"/>
          <w:sz w:val="24"/>
          <w:szCs w:val="20"/>
          <w:u w:val="words"/>
        </w:rPr>
        <w:t>Description of database and growth rate assumptions</w:t>
      </w:r>
    </w:p>
    <w:bookmarkEnd w:id="47"/>
    <w:p w14:paraId="75B68FA2" w14:textId="38F765F7" w:rsidR="00D3605A" w:rsidRPr="00D568A1" w:rsidRDefault="00D3605A" w:rsidP="00D568A1">
      <w:pPr>
        <w:spacing w:after="0" w:line="240" w:lineRule="auto"/>
        <w:jc w:val="both"/>
        <w:rPr>
          <w:rFonts w:ascii="Times New Roman" w:eastAsia="Malgun Gothic" w:hAnsi="Times New Roman" w:cs="Times New Roman"/>
          <w:color w:val="000000"/>
          <w:sz w:val="24"/>
          <w:szCs w:val="24"/>
          <w:lang w:eastAsia="ko-KR"/>
        </w:rPr>
      </w:pPr>
      <w:r w:rsidRPr="00D568A1">
        <w:rPr>
          <w:rFonts w:ascii="Times New Roman" w:eastAsia="Malgun Gothic" w:hAnsi="Times New Roman" w:cs="Times New Roman"/>
          <w:color w:val="000000"/>
          <w:sz w:val="24"/>
          <w:szCs w:val="24"/>
          <w:lang w:eastAsia="ko-KR"/>
        </w:rPr>
        <w:t xml:space="preserve">We construct separate base data for the years 2001 and 2006. Data from external sources include income, population, consumption expenditures and crop production and their sources are as follows. Information on GDP in constant 2000 USD and population are obtained from the World Development Indicators (2011) and from the World Population Prospects (2013), respectively. Data on cropland cover and production, utilization and prices of crops are derived from FAOSTAT (2011). We further converted the crop quantities into corn- equivalent quantities using weights constructed from world crop prices and the world price of corn. We then combined the data above with additional information on industry cost and sales shares in order to construct the rest of the database. The amount of crop feedstock used by the global biofuel sector is constructed using the sales shares by the global crop sector taken from GTAPBIO V.6 </w:t>
      </w:r>
      <w:r w:rsidRPr="00D568A1">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{"citationID":"IrAvuOc0","properties":{"formattedCitation":"\\super 38\\nosupersub{}","plainCitation":"38","noteIndex":0},"citationItems":[{"id":145,"uris":["http://zotero.org/users/5867530/items/44U7UUNA"],"uri":["http://zotero.org/users/5867530/items/44U7UUNA"],"itemData":{"id":145,"type":"article-journal","title":"Introducing liquid biofuels into the GTAP data base","author":[{"family":"Taheripour","given":"Farzad"},{"family":"Birur","given":"Dileep"},{"family":"Hertel","given":"Thomas"},{"family":"Tyner","given":"Wally"}],"issued":{"date-parts":[["2007"]]}}}],"schema":"https://github.com/citation-style-language/schema/raw/master/csl-citation.json"} </w:instrText>
      </w:r>
      <w:r w:rsidRPr="00D568A1">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38</w:t>
      </w:r>
      <w:r w:rsidRPr="00D568A1">
        <w:rPr>
          <w:rFonts w:ascii="Times New Roman" w:eastAsia="Malgun Gothic" w:hAnsi="Times New Roman" w:cs="Times New Roman"/>
          <w:color w:val="000000"/>
          <w:sz w:val="24"/>
          <w:szCs w:val="24"/>
          <w:lang w:eastAsia="ko-KR"/>
        </w:rPr>
        <w:fldChar w:fldCharType="end"/>
      </w:r>
      <w:r w:rsidRPr="00D568A1">
        <w:rPr>
          <w:rFonts w:ascii="Times New Roman" w:eastAsia="Malgun Gothic" w:hAnsi="Times New Roman" w:cs="Times New Roman"/>
          <w:color w:val="000000"/>
          <w:sz w:val="24"/>
          <w:szCs w:val="24"/>
          <w:lang w:eastAsia="ko-KR"/>
        </w:rPr>
        <w:t>.Shares constructed from the crop utilization data were then used to split the remaining corn-equivalent crop quantities across 15 geographic regions and across different uses (i.e. food, feed and raw materials for processed food).</w:t>
      </w:r>
    </w:p>
    <w:p w14:paraId="77B132B5" w14:textId="77777777" w:rsidR="00D3605A" w:rsidRPr="00D568A1" w:rsidRDefault="00D3605A" w:rsidP="00D568A1">
      <w:pPr>
        <w:spacing w:after="0" w:line="240" w:lineRule="auto"/>
        <w:ind w:firstLine="360"/>
        <w:jc w:val="both"/>
        <w:rPr>
          <w:rFonts w:ascii="Times New Roman" w:eastAsia="Malgun Gothic" w:hAnsi="Times New Roman" w:cs="Times New Roman"/>
          <w:color w:val="000000"/>
          <w:sz w:val="24"/>
          <w:szCs w:val="24"/>
          <w:lang w:eastAsia="ko-KR"/>
        </w:rPr>
      </w:pPr>
      <w:r w:rsidRPr="00D568A1">
        <w:rPr>
          <w:rFonts w:ascii="Times New Roman" w:eastAsia="Malgun Gothic" w:hAnsi="Times New Roman" w:cs="Times New Roman"/>
          <w:color w:val="000000"/>
          <w:sz w:val="24"/>
          <w:szCs w:val="24"/>
          <w:lang w:eastAsia="ko-KR"/>
        </w:rPr>
        <w:t>We then calculated the global crop price from the value and corn-equivalent quantity data of crop production. Using the global price and the allocated corn-equivalent crop quantities, we then derived the value of crop input use in the livestock and processed food industries. Under the assumption of zero profits, we calculated the total value of land and non-land input costs in the regional crop sectors using GTAP v.6 cost shares as our guide. We again used GTAP v.6 cost shares and the value of crop input usage in the livestock and process food industries to impute the value of non-crop inputs used in these sectors. Under the assumption of zero profits, we then derive consumer expenditures and price indices for livestock and processed food commodities. Land rents and crop yields for each geographic region were derived using the value of land inputs, corn-equivalent crop production and cropland areas.</w:t>
      </w:r>
    </w:p>
    <w:p w14:paraId="4B01D47B" w14:textId="712171EB" w:rsidR="00346CB5" w:rsidRPr="00346CB5" w:rsidRDefault="00D3605A" w:rsidP="00346CB5">
      <w:pPr>
        <w:spacing w:after="0" w:line="240" w:lineRule="auto"/>
        <w:rPr>
          <w:rFonts w:ascii="Times New Roman" w:eastAsia="Times New Roman" w:hAnsi="Times New Roman" w:cs="Times New Roman"/>
          <w:sz w:val="24"/>
          <w:szCs w:val="20"/>
          <w:u w:val="words"/>
        </w:rPr>
      </w:pPr>
      <w:r w:rsidRPr="00346CB5">
        <w:rPr>
          <w:rFonts w:ascii="Times New Roman" w:eastAsia="Times New Roman" w:hAnsi="Times New Roman" w:cs="Times New Roman"/>
          <w:sz w:val="24"/>
          <w:szCs w:val="20"/>
          <w:u w:val="words"/>
        </w:rPr>
        <w:t>Key growth rates in the baseline scenarios</w:t>
      </w:r>
    </w:p>
    <w:p w14:paraId="7159AF24" w14:textId="19741496" w:rsidR="007204AD" w:rsidRDefault="00D3605A" w:rsidP="00D568A1">
      <w:pPr>
        <w:spacing w:after="0" w:line="240" w:lineRule="auto"/>
        <w:ind w:firstLine="360"/>
        <w:jc w:val="both"/>
        <w:rPr>
          <w:rFonts w:ascii="Times New Roman" w:eastAsia="Malgun Gothic" w:hAnsi="Times New Roman" w:cs="Times New Roman"/>
          <w:color w:val="000000"/>
          <w:sz w:val="24"/>
          <w:szCs w:val="24"/>
          <w:lang w:eastAsia="ko-KR"/>
        </w:rPr>
      </w:pPr>
      <w:r w:rsidRPr="00D568A1">
        <w:rPr>
          <w:rFonts w:ascii="Times New Roman" w:eastAsia="Malgun Gothic" w:hAnsi="Times New Roman" w:cs="Times New Roman"/>
          <w:color w:val="000000"/>
          <w:sz w:val="24"/>
          <w:szCs w:val="24"/>
          <w:lang w:eastAsia="ko-KR"/>
        </w:rPr>
        <w:t xml:space="preserve">We start by simulating the model over the historical period 2005 to 2015 (10-years) and then projecting towards 2050. For this experiment, we implement shocks in population, per capita incomes, total factor productivity (TFP) growth, and biofuel consumption. We then compare the simulated changes for the period 2005 to 2015 with the actual changes from our data base on average adult BMI for men and women. Growth rates for population and income were derived from the Shared Socioeconomic Pathway 2 </w:t>
      </w:r>
      <w:r w:rsidRPr="00D568A1">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{"citationID":"FrEYtFYR","properties":{"formattedCitation":"\\super 16\\nosupersub{}","plainCitation":"16","noteIndex":0},"citationItems":[{"id":142,"uris":["http://zotero.org/users/5867530/items/CQELE6QM"],"uri":["http://zotero.org/users/5867530/items/CQELE6QM"],"itemData":{"id":142,"type":"article-journal","container-title":"Global Environmental Change","page":"251-267","title":"The marker quantification of the Shared Socioeconomic Pathway 2: A middle-of-the-road scenario for the 21st century","volume":"42","author":[{"family":"Fricko","given":"Oliver"},{"family":"Havlik","given":"Petr"},{"family":"Rogelj","given":"Joeri"},{"family":"Klimont","given":"Zbigniew"},{"family":"Gusti","given":"Mykola"},{"family":"Johnson","given":"Nils"},{"family":"Kolp","given":"Peter"},{"family":"Strubegger","given":"Manfred"},{"family":"Valin","given":"Hugo"},{"family":"Amann","given":"Markus"}],"issued":{"date-parts":[["2017"]]}}}],"schema":"https://github.com/citation-style-language/schema/raw/master/csl-citation.json"} </w:instrText>
      </w:r>
      <w:r w:rsidRPr="00D568A1">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16</w:t>
      </w:r>
      <w:r w:rsidRPr="00D568A1">
        <w:rPr>
          <w:rFonts w:ascii="Times New Roman" w:eastAsia="Malgun Gothic" w:hAnsi="Times New Roman" w:cs="Times New Roman"/>
          <w:color w:val="000000"/>
          <w:sz w:val="24"/>
          <w:szCs w:val="24"/>
          <w:lang w:eastAsia="ko-KR"/>
        </w:rPr>
        <w:fldChar w:fldCharType="end"/>
      </w:r>
      <w:r w:rsidRPr="00D568A1">
        <w:rPr>
          <w:rFonts w:ascii="Times New Roman" w:eastAsia="Malgun Gothic" w:hAnsi="Times New Roman" w:cs="Times New Roman"/>
          <w:color w:val="000000"/>
          <w:sz w:val="24"/>
          <w:szCs w:val="24"/>
          <w:lang w:eastAsia="ko-KR"/>
        </w:rPr>
        <w:t xml:space="preserve">. TFP growth were based on the historical estimates </w:t>
      </w:r>
      <w:r w:rsidRPr="00D568A1">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{"citationID":"sSXs7Zae","properties":{"formattedCitation":"\\super 39\\nosupersub{}","plainCitation":"39","noteIndex":0},"citationItems":[{"id":"xNxQuBvD/tCiRLVPE","uris":["http://zotero.org/users/5867530/items/IBYJMPBL"],"uri":["http://zotero.org/users/5867530/items/IBYJMPBL"],"itemData":{"id":262,"type":"article-journal","title":"Productivity growth and convergence in crop, ruminant, and nonruminant production: measurement and forecasts","container-title":"Agricultural Economics","page":"1-17","volume":"37","issue":"1","author":[{"family":"Ludena","given":"Carlos E."},{"family":"Hertel","given":"Thomas W."},{"family":"Preckel","given":"Paul V."},{"family":"Foster","given":"Kenneth"},{"family":"Nin","given":"Alejandro"}],"issued":{"date-parts":[["2007"]]}}}],"schema":"https://github.com/citation-style-language/schema/raw/master/csl-citation.json"} </w:instrText>
      </w:r>
      <w:r w:rsidRPr="00D568A1">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39</w:t>
      </w:r>
      <w:r w:rsidRPr="00D568A1">
        <w:rPr>
          <w:rFonts w:ascii="Times New Roman" w:eastAsia="Malgun Gothic" w:hAnsi="Times New Roman" w:cs="Times New Roman"/>
          <w:color w:val="000000"/>
          <w:sz w:val="24"/>
          <w:szCs w:val="24"/>
          <w:lang w:eastAsia="ko-KR"/>
        </w:rPr>
        <w:fldChar w:fldCharType="end"/>
      </w:r>
      <w:r w:rsidRPr="00D568A1">
        <w:rPr>
          <w:rFonts w:ascii="Times New Roman" w:eastAsia="Malgun Gothic" w:hAnsi="Times New Roman" w:cs="Times New Roman"/>
          <w:color w:val="000000"/>
          <w:sz w:val="24"/>
          <w:szCs w:val="24"/>
          <w:lang w:eastAsia="ko-KR"/>
        </w:rPr>
        <w:t xml:space="preserve"> and by </w:t>
      </w:r>
      <w:r w:rsidRPr="00D568A1">
        <w:rPr>
          <w:rFonts w:ascii="Times New Roman" w:eastAsia="Malgun Gothic" w:hAnsi="Times New Roman" w:cs="Times New Roman"/>
          <w:color w:val="000000"/>
          <w:sz w:val="24"/>
          <w:szCs w:val="24"/>
          <w:lang w:eastAsia="ko-KR"/>
        </w:rPr>
        <w:fldChar w:fldCharType="begin"/>
      </w:r>
      <w:r w:rsidR="00730BDC" w:rsidRPr="00D568A1">
        <w:rPr>
          <w:rFonts w:ascii="Times New Roman" w:eastAsia="Malgun Gothic" w:hAnsi="Times New Roman" w:cs="Times New Roman"/>
          <w:color w:val="000000"/>
          <w:sz w:val="24"/>
          <w:szCs w:val="24"/>
          <w:lang w:eastAsia="ko-KR"/>
        </w:rPr>
        <w:instrText xml:space="preserve"> ADDIN ZOTERO_ITEM CSL_CITATION {"citationID":"aWk2aeO6","properties":{"formattedCitation":"\\super 17\\nosupersub{}","plainCitation":"17","noteIndex":0},"citationItems":[{"id":141,"uris":["http://zotero.org/users/5867530/items/CJ7LV62D"],"uri":["http://zotero.org/users/5867530/items/CJ7LV62D"],"itemData":{"id":141,"type":"article-journal","container-title":"Productivity growth in agriculture: An international perspective","page":"335","title":"16 Productivity Growth and Technology Capital in the Global Agricultural Economy","author":[{"family":"Fuglie","given":"Keith O."}],"issued":{"date-parts":[["2012"]]}}}],"schema":"https://github.com/citation-style-language/schema/raw/master/csl-citation.json"} </w:instrText>
      </w:r>
      <w:r w:rsidRPr="00D568A1">
        <w:rPr>
          <w:rFonts w:ascii="Times New Roman" w:eastAsia="Malgun Gothic" w:hAnsi="Times New Roman" w:cs="Times New Roman"/>
          <w:color w:val="000000"/>
          <w:sz w:val="24"/>
          <w:szCs w:val="24"/>
          <w:lang w:eastAsia="ko-KR"/>
        </w:rPr>
        <w:fldChar w:fldCharType="separate"/>
      </w:r>
      <w:r w:rsidR="00730BDC" w:rsidRPr="00D568A1">
        <w:rPr>
          <w:rFonts w:ascii="Times New Roman" w:hAnsi="Times New Roman" w:cs="Times New Roman"/>
          <w:sz w:val="24"/>
          <w:szCs w:val="24"/>
          <w:vertAlign w:val="superscript"/>
        </w:rPr>
        <w:t>17</w:t>
      </w:r>
      <w:r w:rsidRPr="00D568A1">
        <w:rPr>
          <w:rFonts w:ascii="Times New Roman" w:eastAsia="Malgun Gothic" w:hAnsi="Times New Roman" w:cs="Times New Roman"/>
          <w:color w:val="000000"/>
          <w:sz w:val="24"/>
          <w:szCs w:val="24"/>
          <w:lang w:eastAsia="ko-KR"/>
        </w:rPr>
        <w:fldChar w:fldCharType="end"/>
      </w:r>
      <w:r w:rsidRPr="00D568A1">
        <w:rPr>
          <w:rFonts w:ascii="Times New Roman" w:eastAsia="Malgun Gothic" w:hAnsi="Times New Roman" w:cs="Times New Roman"/>
          <w:color w:val="000000"/>
          <w:sz w:val="24"/>
          <w:szCs w:val="24"/>
          <w:lang w:eastAsia="ko-KR"/>
        </w:rPr>
        <w:t xml:space="preserve">. The growth in global biofuel consumption from the “Current policies” scenario published in the World Energy Outlook </w:t>
      </w:r>
      <w:r w:rsidRPr="00D568A1">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{"citationID":"lTVBx9Bi","properties":{"formattedCitation":"\\super 19\\nosupersub{}","plainCitation":"19","noteIndex":0},"citationItems":[{"id":431,"uris":["http://zotero.org/users/5867530/items/JUEQEPVP"],"uri":["http://zotero.org/users/5867530/items/JUEQEPVP"],"itemData":{"id":431,"type":"book","collection-title":"World Energy Outlook","ISBN":"978-92-64-52327-2","language":"en","note":"DOI: 10.1787/caf32f3b-en","publisher":"OECD","source":"DOI.org (Crossref)","title":"World Energy Outlook 2019","URL":"https://www.oecd-ilibrary.org/energy/world-energy-outlook-2019_caf32f3b-en","author":[{"literal":"International Energy Agency"}],"accessed":{"date-parts":[["2021",5,11]]},"issued":{"date-parts":[["2019",11,13]]}}}],"schema":"https://github.com/citation-style-language/schema/raw/master/csl-citation.json"} </w:instrText>
      </w:r>
      <w:r w:rsidRPr="00D568A1">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19</w:t>
      </w:r>
      <w:r w:rsidRPr="00D568A1">
        <w:rPr>
          <w:rFonts w:ascii="Times New Roman" w:eastAsia="Malgun Gothic" w:hAnsi="Times New Roman" w:cs="Times New Roman"/>
          <w:color w:val="000000"/>
          <w:sz w:val="24"/>
          <w:szCs w:val="24"/>
          <w:lang w:eastAsia="ko-KR"/>
        </w:rPr>
        <w:fldChar w:fldCharType="end"/>
      </w:r>
      <w:r w:rsidRPr="00D568A1">
        <w:rPr>
          <w:rFonts w:ascii="Times New Roman" w:eastAsia="Malgun Gothic" w:hAnsi="Times New Roman" w:cs="Times New Roman"/>
          <w:color w:val="000000"/>
          <w:sz w:val="24"/>
          <w:szCs w:val="24"/>
          <w:lang w:eastAsia="ko-KR"/>
        </w:rPr>
        <w:t xml:space="preserve">. These forecasts are based on the results of a detailed world energy model given exogenous growths in GDP and population as well as assumptions on future energy prices and technology. We also calculate the growth in global biofuel consumption from the “Current policies” scenario published in the World Energy Outlook </w:t>
      </w:r>
      <w:r w:rsidRPr="00D568A1">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{"citationID":"pC2QVdHx","properties":{"formattedCitation":"\\super 19\\nosupersub{}","plainCitation":"19","noteIndex":0},"citationItems":[{"id":431,"uris":["http://zotero.org/users/5867530/items/JUEQEPVP"],"uri":["http://zotero.org/users/5867530/items/JUEQEPVP"],"itemData":{"id":431,"type":"book","collection-title":"World Energy Outlook","ISBN":"978-92-64-52327-2","language":"en","note":"DOI: 10.1787/caf32f3b-en","publisher":"OECD","source":"DOI.org (Crossref)","title":"World Energy Outlook 2019","URL":"https://www.oecd-ilibrary.org/energy/world-energy-outlook-2019_caf32f3b-en","author":[{"literal":"International Energy Agency"}],"accessed":{"date-parts":[["2021",5,11]]},"issued":{"date-parts":[["2019",11,13]]}}}],"schema":"https://github.com/citation-style-language/schema/raw/master/csl-citation.json"} </w:instrText>
      </w:r>
      <w:r w:rsidRPr="00D568A1">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19</w:t>
      </w:r>
      <w:r w:rsidRPr="00D568A1">
        <w:rPr>
          <w:rFonts w:ascii="Times New Roman" w:eastAsia="Malgun Gothic" w:hAnsi="Times New Roman" w:cs="Times New Roman"/>
          <w:color w:val="000000"/>
          <w:sz w:val="24"/>
          <w:szCs w:val="24"/>
          <w:lang w:eastAsia="ko-KR"/>
        </w:rPr>
        <w:fldChar w:fldCharType="end"/>
      </w:r>
      <w:r w:rsidRPr="00D568A1">
        <w:rPr>
          <w:rFonts w:ascii="Times New Roman" w:eastAsia="Malgun Gothic" w:hAnsi="Times New Roman" w:cs="Times New Roman"/>
          <w:color w:val="000000"/>
          <w:sz w:val="24"/>
          <w:szCs w:val="24"/>
          <w:lang w:eastAsia="ko-KR"/>
        </w:rPr>
        <w:t xml:space="preserve">. These forecasts are based on the results of a detailed world energy model given exogenous growths in GDP and population as well as assumptions on future energy prices and technology. TFP growth rates for the crop and the livestock sectors are based on the projections from </w:t>
      </w:r>
      <w:r w:rsidRPr="00D568A1">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{"citationID":"a3jjctMe","properties":{"formattedCitation":"\\super 39\\nosupersub{}","plainCitation":"39","noteIndex":0},"citationItems":[{"id":"xNxQuBvD/tCiRLVPE","uris":["http://zotero.org/users/5867530/items/IBYJMPBL"],"uri":["http://zotero.org/users/5867530/items/IBYJMPBL"],"itemData":{"id":262,"type":"article-journal","title":"Productivity growth and convergence in crop, ruminant, and nonruminant production: measurement and forecasts","container-title":"Agricultural Economics","page":"1-17","volume":"37","issue":"1","author":[{"family":"Ludena","given":"Carlos E."},{"family":"Hertel","given":"Thomas W."},{"family":"Preckel","given":"Paul V."},{"family":"Foster","given":"Kenneth"},{"family":"Nin","given":"Alejandro"}],"issued":{"date-parts":[["2007"]]}}}],"schema":"https://github.com/citation-style-language/schema/raw/master/csl-citation.json"} </w:instrText>
      </w:r>
      <w:r w:rsidRPr="00D568A1">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39</w:t>
      </w:r>
      <w:r w:rsidRPr="00D568A1">
        <w:rPr>
          <w:rFonts w:ascii="Times New Roman" w:eastAsia="Malgun Gothic" w:hAnsi="Times New Roman" w:cs="Times New Roman"/>
          <w:color w:val="000000"/>
          <w:sz w:val="24"/>
          <w:szCs w:val="24"/>
          <w:lang w:eastAsia="ko-KR"/>
        </w:rPr>
        <w:fldChar w:fldCharType="end"/>
      </w:r>
      <w:r w:rsidRPr="00D568A1">
        <w:rPr>
          <w:rFonts w:ascii="Times New Roman" w:eastAsia="Malgun Gothic" w:hAnsi="Times New Roman" w:cs="Times New Roman"/>
          <w:color w:val="000000"/>
          <w:sz w:val="24"/>
          <w:szCs w:val="24"/>
          <w:lang w:eastAsia="ko-KR"/>
        </w:rPr>
        <w:t xml:space="preserve"> which are generated under the assumption of gradual convergence in productivity across regions. Growth rates of each driver for the period 2005 to 2015 (2050) are listed in Table </w:t>
      </w:r>
      <w:r w:rsidR="00382175" w:rsidRPr="00D568A1">
        <w:rPr>
          <w:rFonts w:ascii="Times New Roman" w:eastAsia="Malgun Gothic" w:hAnsi="Times New Roman" w:cs="Times New Roman"/>
          <w:color w:val="000000"/>
          <w:sz w:val="24"/>
          <w:szCs w:val="24"/>
          <w:lang w:eastAsia="ko-KR"/>
        </w:rPr>
        <w:t>S</w:t>
      </w:r>
      <w:r w:rsidR="002763A1" w:rsidRPr="00D568A1">
        <w:rPr>
          <w:rFonts w:ascii="Times New Roman" w:eastAsia="Malgun Gothic" w:hAnsi="Times New Roman" w:cs="Times New Roman"/>
          <w:color w:val="000000"/>
          <w:sz w:val="24"/>
          <w:szCs w:val="24"/>
          <w:lang w:eastAsia="ko-KR"/>
        </w:rPr>
        <w:t>3</w:t>
      </w:r>
      <w:r w:rsidRPr="00D568A1">
        <w:rPr>
          <w:rFonts w:ascii="Times New Roman" w:eastAsia="Malgun Gothic" w:hAnsi="Times New Roman" w:cs="Times New Roman"/>
          <w:color w:val="000000"/>
          <w:sz w:val="24"/>
          <w:szCs w:val="24"/>
          <w:lang w:eastAsia="ko-KR"/>
        </w:rPr>
        <w:t>.</w:t>
      </w:r>
      <w:bookmarkStart w:id="48" w:name="_Ref75685855"/>
    </w:p>
    <w:p w14:paraId="72E53297" w14:textId="77777777" w:rsidR="007204AD" w:rsidRDefault="007204AD">
      <w:pPr>
        <w:rPr>
          <w:rFonts w:ascii="Times New Roman" w:eastAsia="Malgun Gothic" w:hAnsi="Times New Roman" w:cs="Times New Roman"/>
          <w:color w:val="000000"/>
          <w:sz w:val="24"/>
          <w:szCs w:val="24"/>
          <w:lang w:eastAsia="ko-KR"/>
        </w:rPr>
      </w:pPr>
      <w:r>
        <w:rPr>
          <w:rFonts w:ascii="Times New Roman" w:eastAsia="Malgun Gothic" w:hAnsi="Times New Roman" w:cs="Times New Roman"/>
          <w:color w:val="000000"/>
          <w:sz w:val="24"/>
          <w:szCs w:val="24"/>
          <w:lang w:eastAsia="ko-KR"/>
        </w:rPr>
        <w:br w:type="page"/>
      </w:r>
    </w:p>
    <w:p w14:paraId="66B74AAF" w14:textId="77777777" w:rsidR="00ED7E6E" w:rsidRPr="00D568A1" w:rsidRDefault="00ED7E6E" w:rsidP="00D568A1">
      <w:pPr>
        <w:spacing w:after="0" w:line="240" w:lineRule="auto"/>
        <w:ind w:firstLine="360"/>
        <w:jc w:val="both"/>
        <w:rPr>
          <w:rFonts w:ascii="Times New Roman" w:eastAsia="Malgun Gothic" w:hAnsi="Times New Roman" w:cs="Times New Roman"/>
          <w:color w:val="000000"/>
          <w:sz w:val="24"/>
          <w:szCs w:val="24"/>
          <w:lang w:eastAsia="ko-KR"/>
        </w:rPr>
      </w:pPr>
    </w:p>
    <w:p w14:paraId="0757CE88" w14:textId="71254CE6" w:rsidR="00D3605A" w:rsidRPr="00D3605A" w:rsidRDefault="00D3605A" w:rsidP="001645F6">
      <w:pPr>
        <w:pStyle w:val="Descripcin"/>
        <w:rPr>
          <w:rFonts w:ascii="Times New Roman" w:eastAsia="Malgun Gothic" w:hAnsi="Times New Roman" w:cs="Times New Roman"/>
          <w:b/>
          <w:i w:val="0"/>
          <w:iCs w:val="0"/>
          <w:color w:val="auto"/>
          <w:sz w:val="24"/>
          <w:szCs w:val="24"/>
          <w:lang w:eastAsia="ko-KR"/>
        </w:rPr>
      </w:pPr>
      <w:bookmarkStart w:id="49" w:name="_Toc97739556"/>
      <w:r w:rsidRPr="00D3605A">
        <w:rPr>
          <w:rFonts w:ascii="Times New Roman" w:eastAsia="Malgun Gothic" w:hAnsi="Times New Roman" w:cs="Times New Roman"/>
          <w:b/>
          <w:i w:val="0"/>
          <w:iCs w:val="0"/>
          <w:color w:val="auto"/>
          <w:sz w:val="24"/>
          <w:szCs w:val="24"/>
          <w:lang w:eastAsia="ko-KR"/>
        </w:rPr>
        <w:t xml:space="preserve">Table </w:t>
      </w:r>
      <w:bookmarkEnd w:id="48"/>
      <w:r w:rsidR="00670F02" w:rsidRPr="001645F6">
        <w:rPr>
          <w:rFonts w:ascii="Times New Roman" w:eastAsia="Malgun Gothic" w:hAnsi="Times New Roman" w:cs="Times New Roman"/>
          <w:b/>
          <w:i w:val="0"/>
          <w:iCs w:val="0"/>
          <w:color w:val="auto"/>
          <w:sz w:val="24"/>
          <w:szCs w:val="24"/>
          <w:lang w:eastAsia="ko-KR"/>
        </w:rPr>
        <w:t>S</w:t>
      </w:r>
      <w:r w:rsidR="001645F6" w:rsidRPr="001645F6">
        <w:rPr>
          <w:rFonts w:ascii="Times New Roman" w:hAnsi="Times New Roman" w:cs="Times New Roman"/>
          <w:b/>
          <w:i w:val="0"/>
          <w:iCs w:val="0"/>
          <w:color w:val="auto"/>
          <w:sz w:val="24"/>
          <w:szCs w:val="24"/>
        </w:rPr>
        <w:fldChar w:fldCharType="begin"/>
      </w:r>
      <w:r w:rsidR="001645F6" w:rsidRPr="001645F6">
        <w:rPr>
          <w:rFonts w:ascii="Times New Roman" w:hAnsi="Times New Roman" w:cs="Times New Roman"/>
          <w:b/>
          <w:i w:val="0"/>
          <w:iCs w:val="0"/>
          <w:color w:val="auto"/>
          <w:sz w:val="24"/>
          <w:szCs w:val="24"/>
        </w:rPr>
        <w:instrText xml:space="preserve"> SEQ Table_S \* ARABIC </w:instrText>
      </w:r>
      <w:r w:rsidR="001645F6" w:rsidRPr="001645F6">
        <w:rPr>
          <w:rFonts w:ascii="Times New Roman" w:hAnsi="Times New Roman" w:cs="Times New Roman"/>
          <w:b/>
          <w:i w:val="0"/>
          <w:iCs w:val="0"/>
          <w:color w:val="auto"/>
          <w:sz w:val="24"/>
          <w:szCs w:val="24"/>
        </w:rPr>
        <w:fldChar w:fldCharType="separate"/>
      </w:r>
      <w:r w:rsidR="00473FA6">
        <w:rPr>
          <w:rFonts w:ascii="Times New Roman" w:hAnsi="Times New Roman" w:cs="Times New Roman"/>
          <w:b/>
          <w:i w:val="0"/>
          <w:iCs w:val="0"/>
          <w:noProof/>
          <w:color w:val="auto"/>
          <w:sz w:val="24"/>
          <w:szCs w:val="24"/>
        </w:rPr>
        <w:t>3</w:t>
      </w:r>
      <w:r w:rsidR="001645F6" w:rsidRPr="001645F6">
        <w:rPr>
          <w:rFonts w:ascii="Times New Roman" w:hAnsi="Times New Roman" w:cs="Times New Roman"/>
          <w:b/>
          <w:i w:val="0"/>
          <w:iCs w:val="0"/>
          <w:color w:val="auto"/>
          <w:sz w:val="24"/>
          <w:szCs w:val="24"/>
        </w:rPr>
        <w:fldChar w:fldCharType="end"/>
      </w:r>
      <w:r w:rsidR="001645F6" w:rsidRPr="001645F6">
        <w:rPr>
          <w:rFonts w:ascii="Times New Roman" w:hAnsi="Times New Roman" w:cs="Times New Roman"/>
          <w:b/>
          <w:i w:val="0"/>
          <w:iCs w:val="0"/>
          <w:color w:val="auto"/>
          <w:sz w:val="24"/>
          <w:szCs w:val="24"/>
        </w:rPr>
        <w:t>.</w:t>
      </w:r>
      <w:r w:rsidRPr="00D3605A">
        <w:rPr>
          <w:rFonts w:ascii="Times New Roman" w:eastAsia="Malgun Gothic" w:hAnsi="Times New Roman" w:cs="Times New Roman"/>
          <w:b/>
          <w:i w:val="0"/>
          <w:iCs w:val="0"/>
          <w:color w:val="auto"/>
          <w:sz w:val="24"/>
          <w:szCs w:val="24"/>
          <w:lang w:eastAsia="ko-KR"/>
        </w:rPr>
        <w:t xml:space="preserve"> Assumed growth rates of exogenous variables (in % per annum rates)</w:t>
      </w:r>
      <w:r w:rsidR="001645F6">
        <w:rPr>
          <w:rFonts w:ascii="Times New Roman" w:eastAsia="Malgun Gothic" w:hAnsi="Times New Roman" w:cs="Times New Roman"/>
          <w:b/>
          <w:i w:val="0"/>
          <w:iCs w:val="0"/>
          <w:color w:val="auto"/>
          <w:sz w:val="24"/>
          <w:szCs w:val="24"/>
          <w:lang w:eastAsia="ko-KR"/>
        </w:rPr>
        <w:t>.</w:t>
      </w:r>
      <w:bookmarkEnd w:id="49"/>
    </w:p>
    <w:tbl>
      <w:tblPr>
        <w:tblW w:w="9306" w:type="dxa"/>
        <w:tblLook w:val="04A0" w:firstRow="1" w:lastRow="0" w:firstColumn="1" w:lastColumn="0" w:noHBand="0" w:noVBand="1"/>
      </w:tblPr>
      <w:tblGrid>
        <w:gridCol w:w="2652"/>
        <w:gridCol w:w="1381"/>
        <w:gridCol w:w="2117"/>
        <w:gridCol w:w="1115"/>
        <w:gridCol w:w="2041"/>
      </w:tblGrid>
      <w:tr w:rsidR="00D3605A" w:rsidRPr="00D3605A" w14:paraId="10EE8C1F" w14:textId="77777777" w:rsidTr="00994AE3">
        <w:trPr>
          <w:trHeight w:val="317"/>
        </w:trPr>
        <w:tc>
          <w:tcPr>
            <w:tcW w:w="2652" w:type="dxa"/>
            <w:vMerge w:val="restart"/>
            <w:tcBorders>
              <w:top w:val="single" w:sz="12" w:space="0" w:color="auto"/>
            </w:tcBorders>
            <w:shd w:val="clear" w:color="auto" w:fill="auto"/>
            <w:noWrap/>
            <w:vAlign w:val="center"/>
            <w:hideMark/>
          </w:tcPr>
          <w:p w14:paraId="4E9AE3C3" w14:textId="77777777" w:rsidR="00D3605A" w:rsidRPr="00D3605A" w:rsidRDefault="00D3605A" w:rsidP="00D3605A">
            <w:pPr>
              <w:spacing w:after="0" w:line="240" w:lineRule="auto"/>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Region</w:t>
            </w:r>
          </w:p>
        </w:tc>
        <w:tc>
          <w:tcPr>
            <w:tcW w:w="1381" w:type="dxa"/>
            <w:tcBorders>
              <w:top w:val="single" w:sz="12" w:space="0" w:color="auto"/>
            </w:tcBorders>
            <w:shd w:val="clear" w:color="auto" w:fill="auto"/>
            <w:noWrap/>
            <w:vAlign w:val="center"/>
            <w:hideMark/>
          </w:tcPr>
          <w:p w14:paraId="27209E10" w14:textId="77777777" w:rsidR="00D3605A" w:rsidRPr="00D3605A" w:rsidRDefault="00D3605A" w:rsidP="00D3605A">
            <w:pPr>
              <w:spacing w:after="0" w:line="240" w:lineRule="auto"/>
              <w:jc w:val="center"/>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Population</w:t>
            </w:r>
          </w:p>
        </w:tc>
        <w:tc>
          <w:tcPr>
            <w:tcW w:w="2117" w:type="dxa"/>
            <w:tcBorders>
              <w:top w:val="single" w:sz="12" w:space="0" w:color="auto"/>
            </w:tcBorders>
            <w:shd w:val="clear" w:color="auto" w:fill="auto"/>
            <w:noWrap/>
            <w:vAlign w:val="center"/>
            <w:hideMark/>
          </w:tcPr>
          <w:p w14:paraId="295C86B5" w14:textId="77777777" w:rsidR="00D3605A" w:rsidRPr="00D3605A" w:rsidRDefault="00D3605A" w:rsidP="00D3605A">
            <w:pPr>
              <w:spacing w:after="0" w:line="240" w:lineRule="auto"/>
              <w:jc w:val="center"/>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Per Capita Income</w:t>
            </w:r>
          </w:p>
        </w:tc>
        <w:tc>
          <w:tcPr>
            <w:tcW w:w="1115" w:type="dxa"/>
            <w:vMerge w:val="restart"/>
            <w:tcBorders>
              <w:top w:val="single" w:sz="12" w:space="0" w:color="auto"/>
            </w:tcBorders>
            <w:shd w:val="clear" w:color="auto" w:fill="auto"/>
            <w:noWrap/>
            <w:vAlign w:val="center"/>
            <w:hideMark/>
          </w:tcPr>
          <w:p w14:paraId="5DA89EC0" w14:textId="77777777" w:rsidR="00D3605A" w:rsidRPr="00D3605A" w:rsidRDefault="00D3605A" w:rsidP="00D3605A">
            <w:pPr>
              <w:spacing w:after="0" w:line="240" w:lineRule="auto"/>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Biofuels </w:t>
            </w:r>
          </w:p>
        </w:tc>
        <w:tc>
          <w:tcPr>
            <w:tcW w:w="2041" w:type="dxa"/>
            <w:tcBorders>
              <w:top w:val="single" w:sz="12" w:space="0" w:color="auto"/>
            </w:tcBorders>
            <w:shd w:val="clear" w:color="auto" w:fill="auto"/>
            <w:noWrap/>
            <w:vAlign w:val="center"/>
            <w:hideMark/>
          </w:tcPr>
          <w:p w14:paraId="28DF1327" w14:textId="77777777" w:rsidR="00D3605A" w:rsidRPr="00D3605A" w:rsidRDefault="00D3605A" w:rsidP="00D3605A">
            <w:pPr>
              <w:spacing w:after="0" w:line="240" w:lineRule="auto"/>
              <w:jc w:val="center"/>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TFP</w:t>
            </w:r>
          </w:p>
        </w:tc>
      </w:tr>
      <w:tr w:rsidR="00D3605A" w:rsidRPr="00D3605A" w14:paraId="138A7EE1" w14:textId="77777777" w:rsidTr="00994AE3">
        <w:trPr>
          <w:trHeight w:val="317"/>
        </w:trPr>
        <w:tc>
          <w:tcPr>
            <w:tcW w:w="2652" w:type="dxa"/>
            <w:vMerge/>
            <w:tcBorders>
              <w:bottom w:val="single" w:sz="12" w:space="0" w:color="auto"/>
            </w:tcBorders>
            <w:shd w:val="clear" w:color="auto" w:fill="auto"/>
            <w:noWrap/>
            <w:vAlign w:val="center"/>
            <w:hideMark/>
          </w:tcPr>
          <w:p w14:paraId="2A8249A5" w14:textId="77777777" w:rsidR="00D3605A" w:rsidRPr="00D3605A" w:rsidRDefault="00D3605A" w:rsidP="00D3605A">
            <w:pPr>
              <w:spacing w:after="0" w:line="240" w:lineRule="auto"/>
              <w:rPr>
                <w:rFonts w:ascii="Times New Roman" w:eastAsia="Malgun Gothic" w:hAnsi="Times New Roman" w:cs="Times New Roman"/>
                <w:b/>
                <w:bCs/>
                <w:color w:val="000000"/>
                <w:sz w:val="24"/>
                <w:szCs w:val="24"/>
                <w:lang w:eastAsia="ko-KR"/>
              </w:rPr>
            </w:pPr>
          </w:p>
        </w:tc>
        <w:tc>
          <w:tcPr>
            <w:tcW w:w="1381" w:type="dxa"/>
            <w:tcBorders>
              <w:bottom w:val="single" w:sz="12" w:space="0" w:color="auto"/>
            </w:tcBorders>
            <w:shd w:val="clear" w:color="auto" w:fill="auto"/>
            <w:noWrap/>
            <w:vAlign w:val="center"/>
            <w:hideMark/>
          </w:tcPr>
          <w:p w14:paraId="63500440" w14:textId="77777777" w:rsidR="00D3605A" w:rsidRPr="00D3605A" w:rsidRDefault="00D3605A" w:rsidP="00D3605A">
            <w:pPr>
              <w:spacing w:after="0" w:line="240" w:lineRule="auto"/>
              <w:jc w:val="center"/>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Annual rate</w:t>
            </w:r>
          </w:p>
        </w:tc>
        <w:tc>
          <w:tcPr>
            <w:tcW w:w="2117" w:type="dxa"/>
            <w:tcBorders>
              <w:bottom w:val="single" w:sz="12" w:space="0" w:color="auto"/>
            </w:tcBorders>
            <w:shd w:val="clear" w:color="auto" w:fill="auto"/>
            <w:noWrap/>
            <w:vAlign w:val="center"/>
            <w:hideMark/>
          </w:tcPr>
          <w:p w14:paraId="0FBFE5C4" w14:textId="77777777" w:rsidR="00D3605A" w:rsidRPr="00D3605A" w:rsidRDefault="00D3605A" w:rsidP="00D3605A">
            <w:pPr>
              <w:spacing w:after="0" w:line="240" w:lineRule="auto"/>
              <w:jc w:val="center"/>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Annual rate</w:t>
            </w:r>
          </w:p>
        </w:tc>
        <w:tc>
          <w:tcPr>
            <w:tcW w:w="1115" w:type="dxa"/>
            <w:vMerge/>
            <w:tcBorders>
              <w:bottom w:val="single" w:sz="12" w:space="0" w:color="auto"/>
            </w:tcBorders>
            <w:shd w:val="clear" w:color="auto" w:fill="auto"/>
            <w:noWrap/>
            <w:vAlign w:val="center"/>
            <w:hideMark/>
          </w:tcPr>
          <w:p w14:paraId="4FDE53DD" w14:textId="77777777" w:rsidR="00D3605A" w:rsidRPr="00D3605A" w:rsidRDefault="00D3605A" w:rsidP="00D3605A">
            <w:pPr>
              <w:spacing w:after="0" w:line="240" w:lineRule="auto"/>
              <w:rPr>
                <w:rFonts w:ascii="Times New Roman" w:eastAsia="Malgun Gothic" w:hAnsi="Times New Roman" w:cs="Times New Roman"/>
                <w:b/>
                <w:bCs/>
                <w:color w:val="000000"/>
                <w:sz w:val="24"/>
                <w:szCs w:val="24"/>
                <w:lang w:eastAsia="ko-KR"/>
              </w:rPr>
            </w:pPr>
          </w:p>
        </w:tc>
        <w:tc>
          <w:tcPr>
            <w:tcW w:w="2041" w:type="dxa"/>
            <w:tcBorders>
              <w:bottom w:val="single" w:sz="12" w:space="0" w:color="auto"/>
            </w:tcBorders>
            <w:shd w:val="clear" w:color="auto" w:fill="auto"/>
            <w:noWrap/>
            <w:vAlign w:val="center"/>
            <w:hideMark/>
          </w:tcPr>
          <w:p w14:paraId="1F441FF3" w14:textId="77777777" w:rsidR="00D3605A" w:rsidRPr="00D3605A" w:rsidRDefault="00D3605A" w:rsidP="00D3605A">
            <w:pPr>
              <w:spacing w:after="0" w:line="240" w:lineRule="auto"/>
              <w:jc w:val="center"/>
              <w:rPr>
                <w:rFonts w:ascii="Times New Roman" w:eastAsia="Malgun Gothic" w:hAnsi="Times New Roman" w:cs="Times New Roman"/>
                <w:b/>
                <w:bCs/>
                <w:color w:val="000000"/>
                <w:sz w:val="24"/>
                <w:szCs w:val="24"/>
                <w:lang w:eastAsia="ko-KR"/>
              </w:rPr>
            </w:pPr>
            <w:r w:rsidRPr="00D3605A">
              <w:rPr>
                <w:rFonts w:ascii="Times New Roman" w:eastAsia="Malgun Gothic" w:hAnsi="Times New Roman" w:cs="Times New Roman"/>
                <w:b/>
                <w:bCs/>
                <w:color w:val="000000"/>
                <w:sz w:val="24"/>
                <w:szCs w:val="24"/>
                <w:lang w:eastAsia="ko-KR"/>
              </w:rPr>
              <w:t>Annual rate</w:t>
            </w:r>
          </w:p>
        </w:tc>
      </w:tr>
      <w:tr w:rsidR="00D3605A" w:rsidRPr="00D3605A" w14:paraId="365ADCF8" w14:textId="77777777" w:rsidTr="00994AE3">
        <w:trPr>
          <w:trHeight w:val="317"/>
        </w:trPr>
        <w:tc>
          <w:tcPr>
            <w:tcW w:w="2652" w:type="dxa"/>
            <w:tcBorders>
              <w:top w:val="single" w:sz="12" w:space="0" w:color="auto"/>
            </w:tcBorders>
            <w:shd w:val="clear" w:color="auto" w:fill="auto"/>
            <w:noWrap/>
            <w:vAlign w:val="center"/>
            <w:hideMark/>
          </w:tcPr>
          <w:p w14:paraId="433229CC"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Eastern Europe</w:t>
            </w:r>
          </w:p>
        </w:tc>
        <w:tc>
          <w:tcPr>
            <w:tcW w:w="1381" w:type="dxa"/>
            <w:tcBorders>
              <w:top w:val="single" w:sz="12" w:space="0" w:color="auto"/>
            </w:tcBorders>
            <w:shd w:val="clear" w:color="auto" w:fill="auto"/>
            <w:noWrap/>
            <w:vAlign w:val="center"/>
            <w:hideMark/>
          </w:tcPr>
          <w:p w14:paraId="767A4974"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-0.35</w:t>
            </w:r>
          </w:p>
        </w:tc>
        <w:tc>
          <w:tcPr>
            <w:tcW w:w="2117" w:type="dxa"/>
            <w:tcBorders>
              <w:top w:val="single" w:sz="12" w:space="0" w:color="auto"/>
            </w:tcBorders>
            <w:shd w:val="clear" w:color="auto" w:fill="auto"/>
            <w:noWrap/>
            <w:vAlign w:val="center"/>
            <w:hideMark/>
          </w:tcPr>
          <w:p w14:paraId="4C60D8E2"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3.23</w:t>
            </w:r>
          </w:p>
        </w:tc>
        <w:tc>
          <w:tcPr>
            <w:tcW w:w="1115" w:type="dxa"/>
            <w:tcBorders>
              <w:top w:val="single" w:sz="12" w:space="0" w:color="auto"/>
            </w:tcBorders>
            <w:shd w:val="clear" w:color="auto" w:fill="auto"/>
            <w:noWrap/>
            <w:vAlign w:val="center"/>
            <w:hideMark/>
          </w:tcPr>
          <w:p w14:paraId="3A6D25C0"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tcBorders>
              <w:top w:val="single" w:sz="12" w:space="0" w:color="auto"/>
            </w:tcBorders>
            <w:shd w:val="clear" w:color="auto" w:fill="auto"/>
            <w:noWrap/>
            <w:vAlign w:val="center"/>
            <w:hideMark/>
          </w:tcPr>
          <w:p w14:paraId="084E13D1"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1.45</w:t>
            </w:r>
          </w:p>
        </w:tc>
      </w:tr>
      <w:tr w:rsidR="00D3605A" w:rsidRPr="00D3605A" w14:paraId="359B0E5C" w14:textId="77777777" w:rsidTr="00994AE3">
        <w:trPr>
          <w:trHeight w:val="317"/>
        </w:trPr>
        <w:tc>
          <w:tcPr>
            <w:tcW w:w="2652" w:type="dxa"/>
            <w:shd w:val="clear" w:color="auto" w:fill="auto"/>
            <w:noWrap/>
            <w:vAlign w:val="center"/>
            <w:hideMark/>
          </w:tcPr>
          <w:p w14:paraId="56DBD7BB"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North Africa</w:t>
            </w:r>
          </w:p>
        </w:tc>
        <w:tc>
          <w:tcPr>
            <w:tcW w:w="1381" w:type="dxa"/>
            <w:shd w:val="clear" w:color="auto" w:fill="auto"/>
            <w:noWrap/>
            <w:vAlign w:val="center"/>
            <w:hideMark/>
          </w:tcPr>
          <w:p w14:paraId="4AEFFF45"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1.06</w:t>
            </w:r>
          </w:p>
        </w:tc>
        <w:tc>
          <w:tcPr>
            <w:tcW w:w="2117" w:type="dxa"/>
            <w:shd w:val="clear" w:color="auto" w:fill="auto"/>
            <w:noWrap/>
            <w:vAlign w:val="center"/>
            <w:hideMark/>
          </w:tcPr>
          <w:p w14:paraId="7420C7D7"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3.25</w:t>
            </w:r>
          </w:p>
        </w:tc>
        <w:tc>
          <w:tcPr>
            <w:tcW w:w="1115" w:type="dxa"/>
            <w:shd w:val="clear" w:color="auto" w:fill="auto"/>
            <w:noWrap/>
            <w:vAlign w:val="center"/>
            <w:hideMark/>
          </w:tcPr>
          <w:p w14:paraId="289F71C7"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07DC9DB6"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1.35</w:t>
            </w:r>
          </w:p>
        </w:tc>
      </w:tr>
      <w:tr w:rsidR="00D3605A" w:rsidRPr="00D3605A" w14:paraId="4EC3A157" w14:textId="77777777" w:rsidTr="00994AE3">
        <w:trPr>
          <w:trHeight w:val="317"/>
        </w:trPr>
        <w:tc>
          <w:tcPr>
            <w:tcW w:w="2652" w:type="dxa"/>
            <w:shd w:val="clear" w:color="auto" w:fill="auto"/>
            <w:noWrap/>
            <w:vAlign w:val="center"/>
            <w:hideMark/>
          </w:tcPr>
          <w:p w14:paraId="18829E97"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Sub Saharan Africa</w:t>
            </w:r>
          </w:p>
        </w:tc>
        <w:tc>
          <w:tcPr>
            <w:tcW w:w="1381" w:type="dxa"/>
            <w:shd w:val="clear" w:color="auto" w:fill="auto"/>
            <w:noWrap/>
            <w:vAlign w:val="center"/>
            <w:hideMark/>
          </w:tcPr>
          <w:p w14:paraId="660ABF0D"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2.46</w:t>
            </w:r>
          </w:p>
        </w:tc>
        <w:tc>
          <w:tcPr>
            <w:tcW w:w="2117" w:type="dxa"/>
            <w:shd w:val="clear" w:color="auto" w:fill="auto"/>
            <w:noWrap/>
            <w:vAlign w:val="center"/>
            <w:hideMark/>
          </w:tcPr>
          <w:p w14:paraId="45503867"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4.43</w:t>
            </w:r>
          </w:p>
        </w:tc>
        <w:tc>
          <w:tcPr>
            <w:tcW w:w="1115" w:type="dxa"/>
            <w:shd w:val="clear" w:color="auto" w:fill="auto"/>
            <w:noWrap/>
            <w:vAlign w:val="center"/>
            <w:hideMark/>
          </w:tcPr>
          <w:p w14:paraId="3190A9BA"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15CC040A"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0.69</w:t>
            </w:r>
          </w:p>
        </w:tc>
      </w:tr>
      <w:tr w:rsidR="00D3605A" w:rsidRPr="00D3605A" w14:paraId="71034E16" w14:textId="77777777" w:rsidTr="00994AE3">
        <w:trPr>
          <w:trHeight w:val="317"/>
        </w:trPr>
        <w:tc>
          <w:tcPr>
            <w:tcW w:w="2652" w:type="dxa"/>
            <w:shd w:val="clear" w:color="auto" w:fill="auto"/>
            <w:noWrap/>
            <w:vAlign w:val="center"/>
            <w:hideMark/>
          </w:tcPr>
          <w:p w14:paraId="421158CD"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South America</w:t>
            </w:r>
          </w:p>
        </w:tc>
        <w:tc>
          <w:tcPr>
            <w:tcW w:w="1381" w:type="dxa"/>
            <w:shd w:val="clear" w:color="auto" w:fill="auto"/>
            <w:noWrap/>
            <w:vAlign w:val="center"/>
            <w:hideMark/>
          </w:tcPr>
          <w:p w14:paraId="2E889447"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0.78</w:t>
            </w:r>
          </w:p>
        </w:tc>
        <w:tc>
          <w:tcPr>
            <w:tcW w:w="2117" w:type="dxa"/>
            <w:shd w:val="clear" w:color="auto" w:fill="auto"/>
            <w:noWrap/>
            <w:vAlign w:val="center"/>
            <w:hideMark/>
          </w:tcPr>
          <w:p w14:paraId="48AD3F89"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2.85</w:t>
            </w:r>
          </w:p>
        </w:tc>
        <w:tc>
          <w:tcPr>
            <w:tcW w:w="1115" w:type="dxa"/>
            <w:shd w:val="clear" w:color="auto" w:fill="auto"/>
            <w:noWrap/>
            <w:vAlign w:val="center"/>
            <w:hideMark/>
          </w:tcPr>
          <w:p w14:paraId="396B3925"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617C1A21"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1.44</w:t>
            </w:r>
          </w:p>
        </w:tc>
      </w:tr>
      <w:tr w:rsidR="00D3605A" w:rsidRPr="00D3605A" w14:paraId="41BC0AD6" w14:textId="77777777" w:rsidTr="00994AE3">
        <w:trPr>
          <w:trHeight w:val="317"/>
        </w:trPr>
        <w:tc>
          <w:tcPr>
            <w:tcW w:w="2652" w:type="dxa"/>
            <w:shd w:val="clear" w:color="auto" w:fill="auto"/>
            <w:noWrap/>
            <w:vAlign w:val="center"/>
            <w:hideMark/>
          </w:tcPr>
          <w:p w14:paraId="26D783A0"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Australia/New Zealand</w:t>
            </w:r>
          </w:p>
        </w:tc>
        <w:tc>
          <w:tcPr>
            <w:tcW w:w="1381" w:type="dxa"/>
            <w:shd w:val="clear" w:color="auto" w:fill="auto"/>
            <w:noWrap/>
            <w:vAlign w:val="center"/>
            <w:hideMark/>
          </w:tcPr>
          <w:p w14:paraId="34E15EAD"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0.88</w:t>
            </w:r>
          </w:p>
        </w:tc>
        <w:tc>
          <w:tcPr>
            <w:tcW w:w="2117" w:type="dxa"/>
            <w:shd w:val="clear" w:color="auto" w:fill="auto"/>
            <w:noWrap/>
            <w:vAlign w:val="center"/>
            <w:hideMark/>
          </w:tcPr>
          <w:p w14:paraId="44F9EC9D"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1.39</w:t>
            </w:r>
          </w:p>
        </w:tc>
        <w:tc>
          <w:tcPr>
            <w:tcW w:w="1115" w:type="dxa"/>
            <w:shd w:val="clear" w:color="auto" w:fill="auto"/>
            <w:noWrap/>
            <w:vAlign w:val="center"/>
            <w:hideMark/>
          </w:tcPr>
          <w:p w14:paraId="42F70DBD"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1AD6E92C"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0.89</w:t>
            </w:r>
          </w:p>
        </w:tc>
      </w:tr>
      <w:tr w:rsidR="00D3605A" w:rsidRPr="00D3605A" w14:paraId="7C639A22" w14:textId="77777777" w:rsidTr="00994AE3">
        <w:trPr>
          <w:trHeight w:val="317"/>
        </w:trPr>
        <w:tc>
          <w:tcPr>
            <w:tcW w:w="2652" w:type="dxa"/>
            <w:shd w:val="clear" w:color="auto" w:fill="auto"/>
            <w:noWrap/>
            <w:vAlign w:val="center"/>
            <w:hideMark/>
          </w:tcPr>
          <w:p w14:paraId="65F88304"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European Union</w:t>
            </w:r>
          </w:p>
        </w:tc>
        <w:tc>
          <w:tcPr>
            <w:tcW w:w="1381" w:type="dxa"/>
            <w:shd w:val="clear" w:color="auto" w:fill="auto"/>
            <w:noWrap/>
            <w:vAlign w:val="center"/>
            <w:hideMark/>
          </w:tcPr>
          <w:p w14:paraId="09C7110A"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0.03</w:t>
            </w:r>
          </w:p>
        </w:tc>
        <w:tc>
          <w:tcPr>
            <w:tcW w:w="2117" w:type="dxa"/>
            <w:shd w:val="clear" w:color="auto" w:fill="auto"/>
            <w:noWrap/>
            <w:vAlign w:val="center"/>
            <w:hideMark/>
          </w:tcPr>
          <w:p w14:paraId="34E56548"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1.23</w:t>
            </w:r>
          </w:p>
        </w:tc>
        <w:tc>
          <w:tcPr>
            <w:tcW w:w="1115" w:type="dxa"/>
            <w:shd w:val="clear" w:color="auto" w:fill="auto"/>
            <w:noWrap/>
            <w:vAlign w:val="center"/>
            <w:hideMark/>
          </w:tcPr>
          <w:p w14:paraId="5F6B3AEB"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2FC03951"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1.03</w:t>
            </w:r>
          </w:p>
        </w:tc>
      </w:tr>
      <w:tr w:rsidR="00D3605A" w:rsidRPr="00D3605A" w14:paraId="4FA0FF26" w14:textId="77777777" w:rsidTr="00994AE3">
        <w:trPr>
          <w:trHeight w:val="317"/>
        </w:trPr>
        <w:tc>
          <w:tcPr>
            <w:tcW w:w="2652" w:type="dxa"/>
            <w:shd w:val="clear" w:color="auto" w:fill="auto"/>
            <w:noWrap/>
            <w:vAlign w:val="center"/>
            <w:hideMark/>
          </w:tcPr>
          <w:p w14:paraId="141D1605"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South Asia</w:t>
            </w:r>
          </w:p>
        </w:tc>
        <w:tc>
          <w:tcPr>
            <w:tcW w:w="1381" w:type="dxa"/>
            <w:shd w:val="clear" w:color="auto" w:fill="auto"/>
            <w:noWrap/>
            <w:vAlign w:val="center"/>
            <w:hideMark/>
          </w:tcPr>
          <w:p w14:paraId="3AE28779"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0.99</w:t>
            </w:r>
          </w:p>
        </w:tc>
        <w:tc>
          <w:tcPr>
            <w:tcW w:w="2117" w:type="dxa"/>
            <w:shd w:val="clear" w:color="auto" w:fill="auto"/>
            <w:noWrap/>
            <w:vAlign w:val="center"/>
            <w:hideMark/>
          </w:tcPr>
          <w:p w14:paraId="1F73F5A4"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5.70</w:t>
            </w:r>
          </w:p>
        </w:tc>
        <w:tc>
          <w:tcPr>
            <w:tcW w:w="1115" w:type="dxa"/>
            <w:shd w:val="clear" w:color="auto" w:fill="auto"/>
            <w:noWrap/>
            <w:vAlign w:val="center"/>
            <w:hideMark/>
          </w:tcPr>
          <w:p w14:paraId="3EA34F66"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1A29C616"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0.84</w:t>
            </w:r>
          </w:p>
        </w:tc>
      </w:tr>
      <w:tr w:rsidR="00D3605A" w:rsidRPr="00D3605A" w14:paraId="2D4144A0" w14:textId="77777777" w:rsidTr="00994AE3">
        <w:trPr>
          <w:trHeight w:val="317"/>
        </w:trPr>
        <w:tc>
          <w:tcPr>
            <w:tcW w:w="2652" w:type="dxa"/>
            <w:shd w:val="clear" w:color="auto" w:fill="auto"/>
            <w:noWrap/>
            <w:vAlign w:val="center"/>
            <w:hideMark/>
          </w:tcPr>
          <w:p w14:paraId="6E6947BE"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xml:space="preserve">Central America </w:t>
            </w:r>
          </w:p>
        </w:tc>
        <w:tc>
          <w:tcPr>
            <w:tcW w:w="1381" w:type="dxa"/>
            <w:shd w:val="clear" w:color="auto" w:fill="auto"/>
            <w:noWrap/>
            <w:vAlign w:val="center"/>
            <w:hideMark/>
          </w:tcPr>
          <w:p w14:paraId="57F2364A"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0.98</w:t>
            </w:r>
          </w:p>
        </w:tc>
        <w:tc>
          <w:tcPr>
            <w:tcW w:w="2117" w:type="dxa"/>
            <w:shd w:val="clear" w:color="auto" w:fill="auto"/>
            <w:noWrap/>
            <w:vAlign w:val="center"/>
            <w:hideMark/>
          </w:tcPr>
          <w:p w14:paraId="02198EE0"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2.37</w:t>
            </w:r>
          </w:p>
        </w:tc>
        <w:tc>
          <w:tcPr>
            <w:tcW w:w="1115" w:type="dxa"/>
            <w:shd w:val="clear" w:color="auto" w:fill="auto"/>
            <w:noWrap/>
            <w:vAlign w:val="center"/>
            <w:hideMark/>
          </w:tcPr>
          <w:p w14:paraId="298AE09F"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4FD804E9"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1.43</w:t>
            </w:r>
          </w:p>
        </w:tc>
      </w:tr>
      <w:tr w:rsidR="00D3605A" w:rsidRPr="00D3605A" w14:paraId="20A3E561" w14:textId="77777777" w:rsidTr="00994AE3">
        <w:trPr>
          <w:trHeight w:val="317"/>
        </w:trPr>
        <w:tc>
          <w:tcPr>
            <w:tcW w:w="2652" w:type="dxa"/>
            <w:shd w:val="clear" w:color="auto" w:fill="auto"/>
            <w:noWrap/>
            <w:vAlign w:val="center"/>
            <w:hideMark/>
          </w:tcPr>
          <w:p w14:paraId="3BF269C5"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xml:space="preserve">Southern Africa </w:t>
            </w:r>
          </w:p>
        </w:tc>
        <w:tc>
          <w:tcPr>
            <w:tcW w:w="1381" w:type="dxa"/>
            <w:shd w:val="clear" w:color="auto" w:fill="auto"/>
            <w:noWrap/>
            <w:vAlign w:val="center"/>
            <w:hideMark/>
          </w:tcPr>
          <w:p w14:paraId="5DD07485"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0.45</w:t>
            </w:r>
          </w:p>
        </w:tc>
        <w:tc>
          <w:tcPr>
            <w:tcW w:w="2117" w:type="dxa"/>
            <w:shd w:val="clear" w:color="auto" w:fill="auto"/>
            <w:noWrap/>
            <w:vAlign w:val="center"/>
            <w:hideMark/>
          </w:tcPr>
          <w:p w14:paraId="2112F6DF"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3.24</w:t>
            </w:r>
          </w:p>
        </w:tc>
        <w:tc>
          <w:tcPr>
            <w:tcW w:w="1115" w:type="dxa"/>
            <w:shd w:val="clear" w:color="auto" w:fill="auto"/>
            <w:noWrap/>
            <w:vAlign w:val="center"/>
            <w:hideMark/>
          </w:tcPr>
          <w:p w14:paraId="6F9599B5"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5936A6A5"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1.25</w:t>
            </w:r>
          </w:p>
        </w:tc>
      </w:tr>
      <w:tr w:rsidR="00D3605A" w:rsidRPr="00D3605A" w14:paraId="44129C31" w14:textId="77777777" w:rsidTr="00994AE3">
        <w:trPr>
          <w:trHeight w:val="317"/>
        </w:trPr>
        <w:tc>
          <w:tcPr>
            <w:tcW w:w="2652" w:type="dxa"/>
            <w:shd w:val="clear" w:color="auto" w:fill="auto"/>
            <w:noWrap/>
            <w:vAlign w:val="center"/>
            <w:hideMark/>
          </w:tcPr>
          <w:p w14:paraId="4AA3811F"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xml:space="preserve">Southeast Asia </w:t>
            </w:r>
          </w:p>
        </w:tc>
        <w:tc>
          <w:tcPr>
            <w:tcW w:w="1381" w:type="dxa"/>
            <w:shd w:val="clear" w:color="auto" w:fill="auto"/>
            <w:noWrap/>
            <w:vAlign w:val="center"/>
            <w:hideMark/>
          </w:tcPr>
          <w:p w14:paraId="7D9D55A7"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0.80</w:t>
            </w:r>
          </w:p>
        </w:tc>
        <w:tc>
          <w:tcPr>
            <w:tcW w:w="2117" w:type="dxa"/>
            <w:shd w:val="clear" w:color="auto" w:fill="auto"/>
            <w:noWrap/>
            <w:vAlign w:val="center"/>
            <w:hideMark/>
          </w:tcPr>
          <w:p w14:paraId="17EBEE3E"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4.26</w:t>
            </w:r>
          </w:p>
        </w:tc>
        <w:tc>
          <w:tcPr>
            <w:tcW w:w="1115" w:type="dxa"/>
            <w:shd w:val="clear" w:color="auto" w:fill="auto"/>
            <w:noWrap/>
            <w:vAlign w:val="center"/>
            <w:hideMark/>
          </w:tcPr>
          <w:p w14:paraId="511F7CB1"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3FFF66AC"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1.40</w:t>
            </w:r>
          </w:p>
        </w:tc>
      </w:tr>
      <w:tr w:rsidR="00D3605A" w:rsidRPr="00D3605A" w14:paraId="5ACAD8F9" w14:textId="77777777" w:rsidTr="00994AE3">
        <w:trPr>
          <w:trHeight w:val="317"/>
        </w:trPr>
        <w:tc>
          <w:tcPr>
            <w:tcW w:w="2652" w:type="dxa"/>
            <w:shd w:val="clear" w:color="auto" w:fill="auto"/>
            <w:noWrap/>
            <w:vAlign w:val="center"/>
            <w:hideMark/>
          </w:tcPr>
          <w:p w14:paraId="18FED720"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xml:space="preserve">Canada/US </w:t>
            </w:r>
          </w:p>
        </w:tc>
        <w:tc>
          <w:tcPr>
            <w:tcW w:w="1381" w:type="dxa"/>
            <w:shd w:val="clear" w:color="auto" w:fill="auto"/>
            <w:noWrap/>
            <w:vAlign w:val="center"/>
            <w:hideMark/>
          </w:tcPr>
          <w:p w14:paraId="038F9981"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0.64</w:t>
            </w:r>
          </w:p>
        </w:tc>
        <w:tc>
          <w:tcPr>
            <w:tcW w:w="2117" w:type="dxa"/>
            <w:shd w:val="clear" w:color="auto" w:fill="auto"/>
            <w:noWrap/>
            <w:vAlign w:val="center"/>
            <w:hideMark/>
          </w:tcPr>
          <w:p w14:paraId="3700AA27"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1.10</w:t>
            </w:r>
          </w:p>
        </w:tc>
        <w:tc>
          <w:tcPr>
            <w:tcW w:w="1115" w:type="dxa"/>
            <w:shd w:val="clear" w:color="auto" w:fill="auto"/>
            <w:noWrap/>
            <w:vAlign w:val="center"/>
            <w:hideMark/>
          </w:tcPr>
          <w:p w14:paraId="2F8C6E2A"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396B0C7D"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1.28</w:t>
            </w:r>
          </w:p>
        </w:tc>
      </w:tr>
      <w:tr w:rsidR="00D3605A" w:rsidRPr="00D3605A" w14:paraId="7DA56573" w14:textId="77777777" w:rsidTr="00994AE3">
        <w:trPr>
          <w:trHeight w:val="317"/>
        </w:trPr>
        <w:tc>
          <w:tcPr>
            <w:tcW w:w="2652" w:type="dxa"/>
            <w:shd w:val="clear" w:color="auto" w:fill="auto"/>
            <w:noWrap/>
            <w:vAlign w:val="center"/>
            <w:hideMark/>
          </w:tcPr>
          <w:p w14:paraId="32F29FD3"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xml:space="preserve">China </w:t>
            </w:r>
          </w:p>
        </w:tc>
        <w:tc>
          <w:tcPr>
            <w:tcW w:w="1381" w:type="dxa"/>
            <w:shd w:val="clear" w:color="auto" w:fill="auto"/>
            <w:noWrap/>
            <w:vAlign w:val="center"/>
            <w:hideMark/>
          </w:tcPr>
          <w:p w14:paraId="20EA338D"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-0.13</w:t>
            </w:r>
          </w:p>
        </w:tc>
        <w:tc>
          <w:tcPr>
            <w:tcW w:w="2117" w:type="dxa"/>
            <w:shd w:val="clear" w:color="auto" w:fill="auto"/>
            <w:noWrap/>
            <w:vAlign w:val="center"/>
            <w:hideMark/>
          </w:tcPr>
          <w:p w14:paraId="53C87027"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5.77</w:t>
            </w:r>
          </w:p>
        </w:tc>
        <w:tc>
          <w:tcPr>
            <w:tcW w:w="1115" w:type="dxa"/>
            <w:shd w:val="clear" w:color="auto" w:fill="auto"/>
            <w:noWrap/>
            <w:vAlign w:val="center"/>
            <w:hideMark/>
          </w:tcPr>
          <w:p w14:paraId="4B837065"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0C7B9F92"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1.75</w:t>
            </w:r>
          </w:p>
        </w:tc>
      </w:tr>
      <w:tr w:rsidR="00D3605A" w:rsidRPr="00D3605A" w14:paraId="5CBB70DD" w14:textId="77777777" w:rsidTr="00994AE3">
        <w:trPr>
          <w:trHeight w:val="317"/>
        </w:trPr>
        <w:tc>
          <w:tcPr>
            <w:tcW w:w="2652" w:type="dxa"/>
            <w:shd w:val="clear" w:color="auto" w:fill="auto"/>
            <w:noWrap/>
            <w:vAlign w:val="center"/>
            <w:hideMark/>
          </w:tcPr>
          <w:p w14:paraId="4D31DC92"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 xml:space="preserve">Middle East </w:t>
            </w:r>
          </w:p>
        </w:tc>
        <w:tc>
          <w:tcPr>
            <w:tcW w:w="1381" w:type="dxa"/>
            <w:shd w:val="clear" w:color="auto" w:fill="auto"/>
            <w:noWrap/>
            <w:vAlign w:val="center"/>
            <w:hideMark/>
          </w:tcPr>
          <w:p w14:paraId="0CE7A72E"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1.46</w:t>
            </w:r>
          </w:p>
        </w:tc>
        <w:tc>
          <w:tcPr>
            <w:tcW w:w="2117" w:type="dxa"/>
            <w:shd w:val="clear" w:color="auto" w:fill="auto"/>
            <w:noWrap/>
            <w:vAlign w:val="center"/>
            <w:hideMark/>
          </w:tcPr>
          <w:p w14:paraId="2E0556E5"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1.89</w:t>
            </w:r>
          </w:p>
        </w:tc>
        <w:tc>
          <w:tcPr>
            <w:tcW w:w="1115" w:type="dxa"/>
            <w:shd w:val="clear" w:color="auto" w:fill="auto"/>
            <w:noWrap/>
            <w:vAlign w:val="center"/>
            <w:hideMark/>
          </w:tcPr>
          <w:p w14:paraId="1DE35819"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35B786CF"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1.10</w:t>
            </w:r>
          </w:p>
        </w:tc>
      </w:tr>
      <w:tr w:rsidR="00D3605A" w:rsidRPr="00D3605A" w14:paraId="1473B426" w14:textId="77777777" w:rsidTr="00994AE3">
        <w:trPr>
          <w:trHeight w:val="317"/>
        </w:trPr>
        <w:tc>
          <w:tcPr>
            <w:tcW w:w="2652" w:type="dxa"/>
            <w:shd w:val="clear" w:color="auto" w:fill="auto"/>
            <w:noWrap/>
            <w:vAlign w:val="center"/>
            <w:hideMark/>
          </w:tcPr>
          <w:p w14:paraId="1DE5BAEF"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Japan/Korea</w:t>
            </w:r>
          </w:p>
        </w:tc>
        <w:tc>
          <w:tcPr>
            <w:tcW w:w="1381" w:type="dxa"/>
            <w:shd w:val="clear" w:color="auto" w:fill="auto"/>
            <w:noWrap/>
            <w:vAlign w:val="center"/>
            <w:hideMark/>
          </w:tcPr>
          <w:p w14:paraId="114124D7"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-0.39</w:t>
            </w:r>
          </w:p>
        </w:tc>
        <w:tc>
          <w:tcPr>
            <w:tcW w:w="2117" w:type="dxa"/>
            <w:shd w:val="clear" w:color="auto" w:fill="auto"/>
            <w:noWrap/>
            <w:vAlign w:val="center"/>
            <w:hideMark/>
          </w:tcPr>
          <w:p w14:paraId="0B2F008F"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1.74</w:t>
            </w:r>
          </w:p>
        </w:tc>
        <w:tc>
          <w:tcPr>
            <w:tcW w:w="1115" w:type="dxa"/>
            <w:shd w:val="clear" w:color="auto" w:fill="auto"/>
            <w:noWrap/>
            <w:vAlign w:val="center"/>
            <w:hideMark/>
          </w:tcPr>
          <w:p w14:paraId="2535271F"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032A9A72"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1.40</w:t>
            </w:r>
          </w:p>
        </w:tc>
      </w:tr>
      <w:tr w:rsidR="00D3605A" w:rsidRPr="00D3605A" w14:paraId="174AAAC9" w14:textId="77777777" w:rsidTr="00994AE3">
        <w:trPr>
          <w:trHeight w:val="317"/>
        </w:trPr>
        <w:tc>
          <w:tcPr>
            <w:tcW w:w="2652" w:type="dxa"/>
            <w:shd w:val="clear" w:color="auto" w:fill="auto"/>
            <w:noWrap/>
            <w:vAlign w:val="center"/>
            <w:hideMark/>
          </w:tcPr>
          <w:p w14:paraId="35D2DA25"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Central Asia</w:t>
            </w:r>
          </w:p>
        </w:tc>
        <w:tc>
          <w:tcPr>
            <w:tcW w:w="1381" w:type="dxa"/>
            <w:shd w:val="clear" w:color="auto" w:fill="auto"/>
            <w:noWrap/>
            <w:vAlign w:val="center"/>
            <w:hideMark/>
          </w:tcPr>
          <w:p w14:paraId="75077ABB"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1.18</w:t>
            </w:r>
          </w:p>
        </w:tc>
        <w:tc>
          <w:tcPr>
            <w:tcW w:w="2117" w:type="dxa"/>
            <w:shd w:val="clear" w:color="auto" w:fill="auto"/>
            <w:noWrap/>
            <w:vAlign w:val="center"/>
            <w:hideMark/>
          </w:tcPr>
          <w:p w14:paraId="3AFC481A"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4.72</w:t>
            </w:r>
          </w:p>
        </w:tc>
        <w:tc>
          <w:tcPr>
            <w:tcW w:w="1115" w:type="dxa"/>
            <w:shd w:val="clear" w:color="auto" w:fill="auto"/>
            <w:noWrap/>
            <w:vAlign w:val="center"/>
            <w:hideMark/>
          </w:tcPr>
          <w:p w14:paraId="7B66E422"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041" w:type="dxa"/>
            <w:shd w:val="clear" w:color="auto" w:fill="auto"/>
            <w:noWrap/>
            <w:vAlign w:val="center"/>
            <w:hideMark/>
          </w:tcPr>
          <w:p w14:paraId="354AF2A0"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1.45</w:t>
            </w:r>
          </w:p>
        </w:tc>
      </w:tr>
      <w:tr w:rsidR="00D3605A" w:rsidRPr="00D3605A" w14:paraId="1D0B1DFA" w14:textId="77777777" w:rsidTr="00994AE3">
        <w:trPr>
          <w:trHeight w:val="317"/>
        </w:trPr>
        <w:tc>
          <w:tcPr>
            <w:tcW w:w="2652" w:type="dxa"/>
            <w:tcBorders>
              <w:bottom w:val="single" w:sz="12" w:space="0" w:color="auto"/>
            </w:tcBorders>
            <w:shd w:val="clear" w:color="auto" w:fill="auto"/>
            <w:noWrap/>
            <w:vAlign w:val="center"/>
            <w:hideMark/>
          </w:tcPr>
          <w:p w14:paraId="26869F83" w14:textId="77777777" w:rsidR="00D3605A" w:rsidRPr="00D3605A" w:rsidRDefault="00D3605A" w:rsidP="00D3605A">
            <w:pPr>
              <w:spacing w:after="0" w:line="240" w:lineRule="auto"/>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World</w:t>
            </w:r>
          </w:p>
        </w:tc>
        <w:tc>
          <w:tcPr>
            <w:tcW w:w="1381" w:type="dxa"/>
            <w:tcBorders>
              <w:bottom w:val="single" w:sz="12" w:space="0" w:color="auto"/>
            </w:tcBorders>
            <w:shd w:val="clear" w:color="auto" w:fill="auto"/>
            <w:noWrap/>
            <w:vAlign w:val="center"/>
            <w:hideMark/>
          </w:tcPr>
          <w:p w14:paraId="15A22ACD"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2117" w:type="dxa"/>
            <w:tcBorders>
              <w:bottom w:val="single" w:sz="12" w:space="0" w:color="auto"/>
            </w:tcBorders>
            <w:shd w:val="clear" w:color="auto" w:fill="auto"/>
            <w:noWrap/>
            <w:vAlign w:val="center"/>
            <w:hideMark/>
          </w:tcPr>
          <w:p w14:paraId="0950B585"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c>
          <w:tcPr>
            <w:tcW w:w="1115" w:type="dxa"/>
            <w:tcBorders>
              <w:bottom w:val="single" w:sz="12" w:space="0" w:color="auto"/>
            </w:tcBorders>
            <w:shd w:val="clear" w:color="auto" w:fill="auto"/>
            <w:noWrap/>
            <w:vAlign w:val="center"/>
            <w:hideMark/>
          </w:tcPr>
          <w:p w14:paraId="785067E2"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r w:rsidRPr="00D3605A">
              <w:rPr>
                <w:rFonts w:ascii="Times New Roman" w:eastAsia="Malgun Gothic" w:hAnsi="Times New Roman" w:cs="Times New Roman"/>
                <w:color w:val="000000"/>
                <w:sz w:val="24"/>
                <w:szCs w:val="24"/>
                <w:lang w:eastAsia="ko-KR"/>
              </w:rPr>
              <w:t>6.96</w:t>
            </w:r>
          </w:p>
        </w:tc>
        <w:tc>
          <w:tcPr>
            <w:tcW w:w="2041" w:type="dxa"/>
            <w:tcBorders>
              <w:bottom w:val="single" w:sz="12" w:space="0" w:color="auto"/>
            </w:tcBorders>
            <w:shd w:val="clear" w:color="auto" w:fill="auto"/>
            <w:noWrap/>
            <w:vAlign w:val="center"/>
            <w:hideMark/>
          </w:tcPr>
          <w:p w14:paraId="3FAE4EA0" w14:textId="77777777" w:rsidR="00D3605A" w:rsidRPr="00D3605A" w:rsidRDefault="00D3605A" w:rsidP="00D3605A">
            <w:pPr>
              <w:spacing w:after="0" w:line="240" w:lineRule="auto"/>
              <w:jc w:val="center"/>
              <w:rPr>
                <w:rFonts w:ascii="Times New Roman" w:eastAsia="Malgun Gothic" w:hAnsi="Times New Roman" w:cs="Times New Roman"/>
                <w:color w:val="000000"/>
                <w:sz w:val="24"/>
                <w:szCs w:val="24"/>
                <w:lang w:eastAsia="ko-KR"/>
              </w:rPr>
            </w:pPr>
          </w:p>
        </w:tc>
      </w:tr>
    </w:tbl>
    <w:p w14:paraId="79271A76" w14:textId="2CF7D434" w:rsidR="00713CB6" w:rsidRPr="00D30F54" w:rsidRDefault="00D3605A" w:rsidP="00D3605A">
      <w:pPr>
        <w:spacing w:after="0" w:line="240" w:lineRule="auto"/>
        <w:jc w:val="both"/>
        <w:rPr>
          <w:rFonts w:ascii="Times New Roman" w:eastAsia="Malgun Gothic" w:hAnsi="Times New Roman" w:cs="Times New Roman"/>
          <w:iCs/>
          <w:color w:val="000000"/>
          <w:sz w:val="20"/>
          <w:szCs w:val="20"/>
          <w:lang w:eastAsia="ko-KR"/>
        </w:rPr>
      </w:pPr>
      <w:r w:rsidRPr="00D30F54">
        <w:rPr>
          <w:rFonts w:ascii="Times New Roman" w:eastAsia="Malgun Gothic" w:hAnsi="Times New Roman" w:cs="Times New Roman"/>
          <w:bCs/>
          <w:iCs/>
          <w:color w:val="000000"/>
          <w:sz w:val="20"/>
          <w:szCs w:val="20"/>
          <w:lang w:eastAsia="ko-KR"/>
        </w:rPr>
        <w:t xml:space="preserve">Note: </w:t>
      </w:r>
      <w:r w:rsidRPr="00D30F54">
        <w:rPr>
          <w:rFonts w:ascii="Times New Roman" w:eastAsia="Malgun Gothic" w:hAnsi="Times New Roman" w:cs="Times New Roman"/>
          <w:iCs/>
          <w:color w:val="000000"/>
          <w:sz w:val="20"/>
          <w:szCs w:val="20"/>
          <w:lang w:eastAsia="ko-KR"/>
        </w:rPr>
        <w:t xml:space="preserve">From left to right – Population and per capita Income growths from SSP2 </w:t>
      </w:r>
      <w:r w:rsidRPr="00D30F54">
        <w:rPr>
          <w:rFonts w:ascii="Times New Roman" w:eastAsia="Malgun Gothic" w:hAnsi="Times New Roman" w:cs="Times New Roman"/>
          <w:iCs/>
          <w:color w:val="000000"/>
          <w:sz w:val="20"/>
          <w:szCs w:val="20"/>
          <w:lang w:eastAsia="ko-KR"/>
        </w:rPr>
        <w:fldChar w:fldCharType="begin"/>
      </w:r>
      <w:r w:rsidR="0023119E">
        <w:rPr>
          <w:rFonts w:ascii="Times New Roman" w:eastAsia="Malgun Gothic" w:hAnsi="Times New Roman" w:cs="Times New Roman"/>
          <w:iCs/>
          <w:color w:val="000000"/>
          <w:sz w:val="20"/>
          <w:szCs w:val="20"/>
          <w:lang w:eastAsia="ko-KR"/>
        </w:rPr>
        <w:instrText xml:space="preserve"> ADDIN ZOTERO_ITEM CSL_CITATION {"citationID":"tcvjqXE3","properties":{"formattedCitation":"\\super 16\\nosupersub{}","plainCitation":"16","noteIndex":0},"citationItems":[{"id":142,"uris":["http://zotero.org/users/5867530/items/CQELE6QM"],"uri":["http://zotero.org/users/5867530/items/CQELE6QM"],"itemData":{"id":142,"type":"article-journal","container-title":"Global Environmental Change","page":"251-267","title":"The marker quantification of the Shared Socioeconomic Pathway 2: A middle-of-the-road scenario for the 21st century","volume":"42","author":[{"family":"Fricko","given":"Oliver"},{"family":"Havlik","given":"Petr"},{"family":"Rogelj","given":"Joeri"},{"family":"Klimont","given":"Zbigniew"},{"family":"Gusti","given":"Mykola"},{"family":"Johnson","given":"Nils"},{"family":"Kolp","given":"Peter"},{"family":"Strubegger","given":"Manfred"},{"family":"Valin","given":"Hugo"},{"family":"Amann","given":"Markus"}],"issued":{"date-parts":[["2017"]]}}}],"schema":"https://github.com/citation-style-language/schema/raw/master/csl-citation.json"} </w:instrText>
      </w:r>
      <w:r w:rsidRPr="00D30F54">
        <w:rPr>
          <w:rFonts w:ascii="Times New Roman" w:eastAsia="Malgun Gothic" w:hAnsi="Times New Roman" w:cs="Times New Roman"/>
          <w:iCs/>
          <w:color w:val="000000"/>
          <w:sz w:val="20"/>
          <w:szCs w:val="20"/>
          <w:lang w:eastAsia="ko-KR"/>
        </w:rPr>
        <w:fldChar w:fldCharType="separate"/>
      </w:r>
      <w:r w:rsidR="0023119E" w:rsidRPr="0023119E">
        <w:rPr>
          <w:rFonts w:ascii="Times New Roman" w:hAnsi="Times New Roman" w:cs="Times New Roman"/>
          <w:sz w:val="20"/>
          <w:szCs w:val="24"/>
          <w:vertAlign w:val="superscript"/>
        </w:rPr>
        <w:t>16</w:t>
      </w:r>
      <w:r w:rsidRPr="00D30F54">
        <w:rPr>
          <w:rFonts w:ascii="Times New Roman" w:eastAsia="Malgun Gothic" w:hAnsi="Times New Roman" w:cs="Times New Roman"/>
          <w:iCs/>
          <w:color w:val="000000"/>
          <w:sz w:val="20"/>
          <w:szCs w:val="20"/>
          <w:lang w:eastAsia="ko-KR"/>
        </w:rPr>
        <w:fldChar w:fldCharType="end"/>
      </w:r>
      <w:r w:rsidRPr="00D30F54">
        <w:rPr>
          <w:rFonts w:ascii="Times New Roman" w:eastAsia="Malgun Gothic" w:hAnsi="Times New Roman" w:cs="Times New Roman"/>
          <w:iCs/>
          <w:color w:val="000000"/>
          <w:sz w:val="20"/>
          <w:szCs w:val="20"/>
          <w:lang w:eastAsia="ko-KR"/>
        </w:rPr>
        <w:t xml:space="preserve">. The increase in demand for biofuels from </w:t>
      </w:r>
      <w:r w:rsidRPr="00D30F54">
        <w:rPr>
          <w:rFonts w:ascii="Times New Roman" w:eastAsia="Malgun Gothic" w:hAnsi="Times New Roman" w:cs="Times New Roman"/>
          <w:iCs/>
          <w:color w:val="000000"/>
          <w:sz w:val="20"/>
          <w:szCs w:val="20"/>
          <w:lang w:eastAsia="ko-KR"/>
        </w:rPr>
        <w:fldChar w:fldCharType="begin"/>
      </w:r>
      <w:r w:rsidR="0023119E">
        <w:rPr>
          <w:rFonts w:ascii="Times New Roman" w:eastAsia="Malgun Gothic" w:hAnsi="Times New Roman" w:cs="Times New Roman"/>
          <w:iCs/>
          <w:color w:val="000000"/>
          <w:sz w:val="20"/>
          <w:szCs w:val="20"/>
          <w:lang w:eastAsia="ko-KR"/>
        </w:rPr>
        <w:instrText xml:space="preserve"> ADDIN ZOTERO_ITEM CSL_CITATION {"citationID":"zh1HtCxT","properties":{"formattedCitation":"\\super 19\\nosupersub{}","plainCitation":"19","noteIndex":0},"citationItems":[{"id":431,"uris":["http://zotero.org/users/5867530/items/JUEQEPVP"],"uri":["http://zotero.org/users/5867530/items/JUEQEPVP"],"itemData":{"id":431,"type":"book","collection-title":"World Energy Outlook","ISBN":"978-92-64-52327-2","language":"en","note":"DOI: 10.1787/caf32f3b-en","publisher":"OECD","source":"DOI.org (Crossref)","title":"World Energy Outlook 2019","URL":"https://www.oecd-ilibrary.org/energy/world-energy-outlook-2019_caf32f3b-en","author":[{"literal":"International Energy Agency"}],"accessed":{"date-parts":[["2021",5,11]]},"issued":{"date-parts":[["2019",11,13]]}}}],"schema":"https://github.com/citation-style-language/schema/raw/master/csl-citation.json"} </w:instrText>
      </w:r>
      <w:r w:rsidRPr="00D30F54">
        <w:rPr>
          <w:rFonts w:ascii="Times New Roman" w:eastAsia="Malgun Gothic" w:hAnsi="Times New Roman" w:cs="Times New Roman"/>
          <w:iCs/>
          <w:color w:val="000000"/>
          <w:sz w:val="20"/>
          <w:szCs w:val="20"/>
          <w:lang w:eastAsia="ko-KR"/>
        </w:rPr>
        <w:fldChar w:fldCharType="separate"/>
      </w:r>
      <w:r w:rsidR="0023119E" w:rsidRPr="0023119E">
        <w:rPr>
          <w:rFonts w:ascii="Times New Roman" w:hAnsi="Times New Roman" w:cs="Times New Roman"/>
          <w:sz w:val="20"/>
          <w:szCs w:val="24"/>
          <w:vertAlign w:val="superscript"/>
        </w:rPr>
        <w:t>19</w:t>
      </w:r>
      <w:r w:rsidRPr="00D30F54">
        <w:rPr>
          <w:rFonts w:ascii="Times New Roman" w:eastAsia="Malgun Gothic" w:hAnsi="Times New Roman" w:cs="Times New Roman"/>
          <w:iCs/>
          <w:color w:val="000000"/>
          <w:sz w:val="20"/>
          <w:szCs w:val="20"/>
          <w:lang w:eastAsia="ko-KR"/>
        </w:rPr>
        <w:fldChar w:fldCharType="end"/>
      </w:r>
      <w:r w:rsidRPr="00D30F54">
        <w:rPr>
          <w:rFonts w:ascii="Times New Roman" w:eastAsia="Malgun Gothic" w:hAnsi="Times New Roman" w:cs="Times New Roman"/>
          <w:iCs/>
          <w:color w:val="000000"/>
          <w:sz w:val="20"/>
          <w:szCs w:val="20"/>
          <w:lang w:eastAsia="ko-KR"/>
        </w:rPr>
        <w:t>.</w:t>
      </w:r>
      <w:r w:rsidR="007204AD">
        <w:rPr>
          <w:rFonts w:ascii="Times New Roman" w:eastAsia="Malgun Gothic" w:hAnsi="Times New Roman" w:cs="Times New Roman"/>
          <w:iCs/>
          <w:color w:val="000000"/>
          <w:sz w:val="20"/>
          <w:szCs w:val="20"/>
          <w:lang w:eastAsia="ko-KR"/>
        </w:rPr>
        <w:t xml:space="preserve"> </w:t>
      </w:r>
      <w:r w:rsidRPr="00D30F54">
        <w:rPr>
          <w:rFonts w:ascii="Times New Roman" w:eastAsia="Malgun Gothic" w:hAnsi="Times New Roman" w:cs="Times New Roman"/>
          <w:iCs/>
          <w:color w:val="000000"/>
          <w:sz w:val="20"/>
          <w:szCs w:val="20"/>
          <w:lang w:eastAsia="ko-KR"/>
        </w:rPr>
        <w:t xml:space="preserve">Future TFP growth rates from </w:t>
      </w:r>
      <w:r w:rsidRPr="00D30F54">
        <w:rPr>
          <w:rFonts w:ascii="Times New Roman" w:eastAsia="Malgun Gothic" w:hAnsi="Times New Roman" w:cs="Times New Roman"/>
          <w:iCs/>
          <w:color w:val="000000"/>
          <w:sz w:val="20"/>
          <w:szCs w:val="20"/>
          <w:lang w:eastAsia="ko-KR"/>
        </w:rPr>
        <w:fldChar w:fldCharType="begin"/>
      </w:r>
      <w:r w:rsidR="0023119E">
        <w:rPr>
          <w:rFonts w:ascii="Times New Roman" w:eastAsia="Malgun Gothic" w:hAnsi="Times New Roman" w:cs="Times New Roman"/>
          <w:iCs/>
          <w:color w:val="000000"/>
          <w:sz w:val="20"/>
          <w:szCs w:val="20"/>
          <w:lang w:eastAsia="ko-KR"/>
        </w:rPr>
        <w:instrText xml:space="preserve"> ADDIN ZOTERO_ITEM CSL_CITATION {"citationID":"wtCkiAM5","properties":{"formattedCitation":"(Ludena et al. 2007)","plainCitation":"(Ludena et al. 2007)","dontUpdate":true,"noteIndex":0},"citationItems":[{"id":"xNxQuBvD/tCiRLVPE","uris":["http://zotero.org/users/5867530/items/IBYJMPBL"],"uri":["http://zotero.org/users/5867530/items/IBYJMPBL"],"itemData":{"id":262,"type":"article-journal","title":"Productivity growth and convergence in crop, ruminant, and nonruminant production: measurement and forecasts","container-title":"Agricultural Economics","page":"1-17","volume":"37","issue":"1","author":[{"family":"Ludena","given":"Carlos E."},{"family":"Hertel","given":"Thomas W."},{"family":"Preckel","given":"Paul V."},{"family":"Foster","given":"Kenneth"},{"family":"Nin","given":"Alejandro"}],"issued":{"date-parts":[["2007"]]}}}],"schema":"https://github.com/citation-style-language/schema/raw/master/csl-citation.json"} </w:instrText>
      </w:r>
      <w:r w:rsidRPr="00D30F54">
        <w:rPr>
          <w:rFonts w:ascii="Times New Roman" w:eastAsia="Malgun Gothic" w:hAnsi="Times New Roman" w:cs="Times New Roman"/>
          <w:iCs/>
          <w:color w:val="000000"/>
          <w:sz w:val="20"/>
          <w:szCs w:val="20"/>
          <w:lang w:eastAsia="ko-KR"/>
        </w:rPr>
        <w:fldChar w:fldCharType="separate"/>
      </w:r>
      <w:r w:rsidRPr="00D30F54">
        <w:rPr>
          <w:rFonts w:ascii="Times New Roman" w:eastAsia="Malgun Gothic" w:hAnsi="Times New Roman" w:cs="Times New Roman"/>
          <w:iCs/>
          <w:color w:val="000000"/>
          <w:sz w:val="20"/>
          <w:szCs w:val="20"/>
          <w:lang w:eastAsia="ko-KR"/>
        </w:rPr>
        <w:t>Ludena et al. (2007)</w:t>
      </w:r>
      <w:r w:rsidRPr="00D30F54">
        <w:rPr>
          <w:rFonts w:ascii="Times New Roman" w:eastAsia="Malgun Gothic" w:hAnsi="Times New Roman" w:cs="Times New Roman"/>
          <w:iCs/>
          <w:color w:val="000000"/>
          <w:sz w:val="20"/>
          <w:szCs w:val="20"/>
          <w:lang w:eastAsia="ko-KR"/>
        </w:rPr>
        <w:fldChar w:fldCharType="end"/>
      </w:r>
      <w:r w:rsidRPr="00D30F54">
        <w:rPr>
          <w:rFonts w:ascii="Times New Roman" w:eastAsia="Malgun Gothic" w:hAnsi="Times New Roman" w:cs="Times New Roman"/>
          <w:iCs/>
          <w:color w:val="000000"/>
          <w:sz w:val="20"/>
          <w:szCs w:val="20"/>
          <w:lang w:eastAsia="ko-KR"/>
        </w:rPr>
        <w:t xml:space="preserve"> using </w:t>
      </w:r>
      <w:r w:rsidRPr="00D30F54">
        <w:rPr>
          <w:rFonts w:ascii="Times New Roman" w:eastAsia="Malgun Gothic" w:hAnsi="Times New Roman" w:cs="Times New Roman"/>
          <w:iCs/>
          <w:color w:val="000000"/>
          <w:sz w:val="20"/>
          <w:szCs w:val="20"/>
          <w:lang w:eastAsia="ko-KR"/>
        </w:rPr>
        <w:fldChar w:fldCharType="begin"/>
      </w:r>
      <w:r w:rsidR="00730BDC" w:rsidRPr="00D30F54">
        <w:rPr>
          <w:rFonts w:ascii="Times New Roman" w:eastAsia="Malgun Gothic" w:hAnsi="Times New Roman" w:cs="Times New Roman"/>
          <w:iCs/>
          <w:color w:val="000000"/>
          <w:sz w:val="20"/>
          <w:szCs w:val="20"/>
          <w:lang w:eastAsia="ko-KR"/>
        </w:rPr>
        <w:instrText xml:space="preserve"> ADDIN ZOTERO_ITEM CSL_CITATION {"citationID":"rEJFzwo1","properties":{"formattedCitation":"\\super 17\\nosupersub{}","plainCitation":"17","noteIndex":0},"citationItems":[{"id":141,"uris":["http://zotero.org/users/5867530/items/CJ7LV62D"],"uri":["http://zotero.org/users/5867530/items/CJ7LV62D"],"itemData":{"id":141,"type":"article-journal","container-title":"Productivity growth in agriculture: An international perspective","page":"335","title":"16 Productivity Growth and Technology Capital in the Global Agricultural Economy","author":[{"family":"Fuglie","given":"Keith O."}],"issued":{"date-parts":[["2012"]]}}}],"schema":"https://github.com/citation-style-language/schema/raw/master/csl-citation.json"} </w:instrText>
      </w:r>
      <w:r w:rsidRPr="00D30F54">
        <w:rPr>
          <w:rFonts w:ascii="Times New Roman" w:eastAsia="Malgun Gothic" w:hAnsi="Times New Roman" w:cs="Times New Roman"/>
          <w:iCs/>
          <w:color w:val="000000"/>
          <w:sz w:val="20"/>
          <w:szCs w:val="20"/>
          <w:lang w:eastAsia="ko-KR"/>
        </w:rPr>
        <w:fldChar w:fldCharType="separate"/>
      </w:r>
      <w:r w:rsidR="00730BDC" w:rsidRPr="00D30F54">
        <w:rPr>
          <w:rFonts w:ascii="Times New Roman" w:hAnsi="Times New Roman" w:cs="Times New Roman"/>
          <w:sz w:val="20"/>
          <w:szCs w:val="20"/>
          <w:vertAlign w:val="superscript"/>
        </w:rPr>
        <w:t>17</w:t>
      </w:r>
      <w:r w:rsidRPr="00D30F54">
        <w:rPr>
          <w:rFonts w:ascii="Times New Roman" w:eastAsia="Malgun Gothic" w:hAnsi="Times New Roman" w:cs="Times New Roman"/>
          <w:iCs/>
          <w:color w:val="000000"/>
          <w:sz w:val="20"/>
          <w:szCs w:val="20"/>
          <w:lang w:eastAsia="ko-KR"/>
        </w:rPr>
        <w:fldChar w:fldCharType="end"/>
      </w:r>
      <w:r w:rsidRPr="00D30F54">
        <w:rPr>
          <w:rFonts w:ascii="Times New Roman" w:eastAsia="Malgun Gothic" w:hAnsi="Times New Roman" w:cs="Times New Roman"/>
          <w:iCs/>
          <w:color w:val="000000"/>
          <w:sz w:val="20"/>
          <w:szCs w:val="20"/>
          <w:lang w:eastAsia="ko-KR"/>
        </w:rPr>
        <w:t xml:space="preserve"> as regional scalars.</w:t>
      </w:r>
    </w:p>
    <w:p w14:paraId="17DAAC4E" w14:textId="4030B9B9" w:rsidR="00D3605A" w:rsidRPr="00737CCB" w:rsidRDefault="00D3605A" w:rsidP="00737CCB">
      <w:pPr>
        <w:keepNext/>
        <w:spacing w:before="240" w:after="60" w:line="240" w:lineRule="auto"/>
        <w:outlineLvl w:val="0"/>
        <w:rPr>
          <w:rFonts w:ascii="Times New Roman" w:eastAsia="Times New Roman" w:hAnsi="Times New Roman" w:cs="Times New Roman"/>
          <w:b/>
          <w:bCs/>
          <w:kern w:val="32"/>
          <w:sz w:val="24"/>
          <w:szCs w:val="24"/>
        </w:rPr>
      </w:pPr>
      <w:bookmarkStart w:id="50" w:name="_Hlk74925813"/>
      <w:r w:rsidRPr="00737CCB">
        <w:rPr>
          <w:rFonts w:ascii="Times New Roman" w:eastAsia="Times New Roman" w:hAnsi="Times New Roman" w:cs="Times New Roman"/>
          <w:b/>
          <w:bCs/>
          <w:kern w:val="32"/>
          <w:sz w:val="24"/>
          <w:szCs w:val="24"/>
        </w:rPr>
        <w:t>Model implementation and systematic examination of uncertainties</w:t>
      </w:r>
    </w:p>
    <w:bookmarkEnd w:id="50"/>
    <w:p w14:paraId="3B10E4FB" w14:textId="0C5C4422" w:rsidR="00D3605A" w:rsidRPr="00D30F54" w:rsidRDefault="00D3605A" w:rsidP="005F143C">
      <w:pPr>
        <w:spacing w:before="240" w:after="0" w:line="240" w:lineRule="auto"/>
        <w:jc w:val="both"/>
        <w:rPr>
          <w:rFonts w:ascii="Times New Roman" w:eastAsia="Malgun Gothic" w:hAnsi="Times New Roman" w:cs="Times New Roman"/>
          <w:color w:val="000000"/>
          <w:sz w:val="24"/>
          <w:szCs w:val="24"/>
          <w:lang w:eastAsia="ko-KR"/>
        </w:rPr>
      </w:pPr>
      <w:r w:rsidRPr="00D30F54">
        <w:rPr>
          <w:rFonts w:ascii="Times New Roman" w:eastAsia="Malgun Gothic" w:hAnsi="Times New Roman" w:cs="Times New Roman"/>
          <w:color w:val="000000"/>
          <w:sz w:val="24"/>
          <w:szCs w:val="24"/>
          <w:lang w:eastAsia="ko-KR"/>
        </w:rPr>
        <w:t xml:space="preserve">We implement SIMPLE and the double burden of malnutrition module using the GEMPACK </w:t>
      </w:r>
      <w:r w:rsidR="009722F8" w:rsidRPr="00D30F54">
        <w:rPr>
          <w:rFonts w:ascii="Times New Roman" w:eastAsia="Malgun Gothic" w:hAnsi="Times New Roman" w:cs="Times New Roman"/>
          <w:color w:val="000000"/>
          <w:sz w:val="24"/>
          <w:szCs w:val="24"/>
          <w:lang w:eastAsia="ko-KR"/>
        </w:rPr>
        <w:t xml:space="preserve">program </w:t>
      </w:r>
      <w:r w:rsidR="009722F8" w:rsidRPr="00D30F5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{"citationID":"ILrRalxC","properties":{"formattedCitation":"\\super 40\\nosupersub{}","plainCitation":"40","noteIndex":0},"citationItems":[{"id":140,"uris":["http://zotero.org/users/5867530/items/A6W997LQ"],"uri":["http://zotero.org/users/5867530/items/A6W997LQ"],"itemData":{"id":140,"type":"article-journal","container-title":"Computational Economics","issue":"2","page":"83-127","title":"Computing solutions for large general equilibrium models using GEMPACK","volume":"9","author":[{"family":"Harrison","given":"W. Jill"},{"family":"Pearson","given":"Ken R."}],"issued":{"date-parts":[["1996"]]}}}],"schema":"https://github.com/citation-style-language/schema/raw/master/csl-citation.json"} </w:instrText>
      </w:r>
      <w:r w:rsidR="009722F8" w:rsidRPr="00D30F5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40</w:t>
      </w:r>
      <w:r w:rsidR="009722F8" w:rsidRPr="00D30F54">
        <w:rPr>
          <w:rFonts w:ascii="Times New Roman" w:eastAsia="Malgun Gothic" w:hAnsi="Times New Roman" w:cs="Times New Roman"/>
          <w:color w:val="000000"/>
          <w:sz w:val="24"/>
          <w:szCs w:val="24"/>
          <w:lang w:eastAsia="ko-KR"/>
        </w:rPr>
        <w:fldChar w:fldCharType="end"/>
      </w:r>
      <w:r w:rsidR="009722F8" w:rsidRPr="00D30F54">
        <w:rPr>
          <w:rFonts w:ascii="Times New Roman" w:eastAsia="Malgun Gothic" w:hAnsi="Times New Roman" w:cs="Times New Roman"/>
          <w:color w:val="000000"/>
          <w:sz w:val="24"/>
          <w:szCs w:val="24"/>
          <w:lang w:eastAsia="ko-KR"/>
        </w:rPr>
        <w:t xml:space="preserve"> </w:t>
      </w:r>
      <w:r w:rsidR="005F143C" w:rsidRPr="00D30F54">
        <w:rPr>
          <w:rFonts w:ascii="Times New Roman" w:eastAsia="Malgun Gothic" w:hAnsi="Times New Roman" w:cs="Times New Roman"/>
          <w:color w:val="000000"/>
          <w:sz w:val="24"/>
          <w:szCs w:val="24"/>
          <w:lang w:eastAsia="ko-KR"/>
        </w:rPr>
        <w:t>(</w:t>
      </w:r>
      <w:hyperlink r:id="rId23">
        <w:r w:rsidR="005F143C" w:rsidRPr="00D30F54">
          <w:rPr>
            <w:rFonts w:ascii="Times New Roman" w:eastAsia="Malgun Gothic" w:hAnsi="Times New Roman" w:cs="Times New Roman"/>
            <w:color w:val="00A3D6"/>
            <w:sz w:val="24"/>
            <w:szCs w:val="24"/>
            <w:u w:val="single"/>
            <w:lang w:eastAsia="ko-KR"/>
          </w:rPr>
          <w:t>http://www.monash.edu.au/policy/gempack.htm</w:t>
        </w:r>
      </w:hyperlink>
      <w:r w:rsidR="005F143C" w:rsidRPr="00D30F54">
        <w:rPr>
          <w:rFonts w:ascii="Times New Roman" w:eastAsia="Malgun Gothic" w:hAnsi="Times New Roman" w:cs="Times New Roman"/>
          <w:color w:val="000000"/>
          <w:sz w:val="24"/>
          <w:szCs w:val="24"/>
          <w:lang w:eastAsia="ko-KR"/>
        </w:rPr>
        <w:t>)</w:t>
      </w:r>
      <w:r w:rsidR="00676BC2">
        <w:rPr>
          <w:rFonts w:ascii="Times New Roman" w:eastAsia="Malgun Gothic" w:hAnsi="Times New Roman" w:cs="Times New Roman"/>
          <w:color w:val="000000"/>
          <w:sz w:val="24"/>
          <w:szCs w:val="24"/>
          <w:lang w:eastAsia="ko-KR"/>
        </w:rPr>
        <w:t xml:space="preserve"> w</w:t>
      </w:r>
      <w:r w:rsidRPr="00D30F54">
        <w:rPr>
          <w:rFonts w:ascii="Times New Roman" w:eastAsia="Malgun Gothic" w:hAnsi="Times New Roman" w:cs="Times New Roman"/>
          <w:color w:val="000000"/>
          <w:sz w:val="24"/>
          <w:szCs w:val="24"/>
          <w:lang w:eastAsia="ko-KR"/>
        </w:rPr>
        <w:t>hich has many useful features for purposes of analysis</w:t>
      </w:r>
      <w:r w:rsidR="00676BC2">
        <w:rPr>
          <w:rFonts w:ascii="Times New Roman" w:eastAsia="Malgun Gothic" w:hAnsi="Times New Roman" w:cs="Times New Roman"/>
          <w:color w:val="000000"/>
          <w:sz w:val="24"/>
          <w:szCs w:val="24"/>
          <w:lang w:eastAsia="ko-KR"/>
        </w:rPr>
        <w:t>.</w:t>
      </w:r>
      <w:r w:rsidRPr="00D30F54">
        <w:rPr>
          <w:rFonts w:ascii="Times New Roman" w:eastAsia="Malgun Gothic" w:hAnsi="Times New Roman" w:cs="Times New Roman"/>
          <w:color w:val="000000"/>
          <w:sz w:val="24"/>
          <w:szCs w:val="24"/>
          <w:lang w:eastAsia="ko-KR"/>
        </w:rPr>
        <w:t xml:space="preserve"> One of these is the subtotals feature developed by </w:t>
      </w:r>
      <w:r w:rsidRPr="00D30F54">
        <w:rPr>
          <w:rFonts w:ascii="Times New Roman" w:eastAsia="Malgun Gothic" w:hAnsi="Times New Roman" w:cs="Times New Roman"/>
          <w:color w:val="000000"/>
          <w:sz w:val="24"/>
          <w:szCs w:val="24"/>
          <w:lang w:eastAsia="ko-KR"/>
        </w:rPr>
        <w:fldChar w:fldCharType="begin"/>
      </w:r>
      <w:r w:rsidRPr="00D30F54">
        <w:rPr>
          <w:rFonts w:ascii="Times New Roman" w:eastAsia="Malgun Gothic" w:hAnsi="Times New Roman" w:cs="Times New Roman"/>
          <w:color w:val="000000"/>
          <w:sz w:val="24"/>
          <w:szCs w:val="24"/>
          <w:lang w:eastAsia="ko-KR"/>
        </w:rPr>
        <w:instrText xml:space="preserve"> ADDIN ZOTERO_ITEM CSL_CITATION {"citationID":"PU5AzKC9","properties":{"formattedCitation":"(Harrison, Horridge, and Pearson 2000)","plainCitation":"(Harrison, Horridge, and Pearson 2000)","dontUpdate":true,"noteIndex":0},"citationItems":[{"id":139,"uris":["http://zotero.org/users/5867530/items/SWSAU4J5"],"uri":["http://zotero.org/users/5867530/items/SWSAU4J5"],"itemData":{"id":139,"type":"article-journal","container-title":"Computational Economics","issue":"3","page":"227-249","title":"Decomposing simulation results with respect to exogenous shocks","volume":"15","author":[{"family":"Harrison","given":"W. Jill"},{"family":"Horridge","given":"J. Mark"},{"family":"Pearson","given":"Ken R."}],"issued":{"date-parts":[["2000"]]}}}],"schema":"https://github.com/citation-style-language/schema/raw/master/csl-citation.json"} </w:instrText>
      </w:r>
      <w:r w:rsidRPr="00D30F54">
        <w:rPr>
          <w:rFonts w:ascii="Times New Roman" w:eastAsia="Malgun Gothic" w:hAnsi="Times New Roman" w:cs="Times New Roman"/>
          <w:color w:val="000000"/>
          <w:sz w:val="24"/>
          <w:szCs w:val="24"/>
          <w:lang w:eastAsia="ko-KR"/>
        </w:rPr>
        <w:fldChar w:fldCharType="separate"/>
      </w:r>
      <w:r w:rsidRPr="00D30F54">
        <w:rPr>
          <w:rFonts w:ascii="Times New Roman" w:eastAsia="Malgun Gothic" w:hAnsi="Times New Roman" w:cs="Times New Roman"/>
          <w:color w:val="000000"/>
          <w:sz w:val="24"/>
          <w:szCs w:val="24"/>
          <w:lang w:eastAsia="ko-KR"/>
        </w:rPr>
        <w:t>Harrison, Horridge, and Pearson (2000)</w:t>
      </w:r>
      <w:r w:rsidRPr="00D30F54">
        <w:rPr>
          <w:rFonts w:ascii="Times New Roman" w:eastAsia="Malgun Gothic" w:hAnsi="Times New Roman" w:cs="Times New Roman"/>
          <w:color w:val="000000"/>
          <w:sz w:val="24"/>
          <w:szCs w:val="24"/>
          <w:lang w:eastAsia="ko-KR"/>
        </w:rPr>
        <w:fldChar w:fldCharType="end"/>
      </w:r>
      <w:r w:rsidRPr="00D30F54">
        <w:rPr>
          <w:rFonts w:ascii="Times New Roman" w:eastAsia="Malgun Gothic" w:hAnsi="Times New Roman" w:cs="Times New Roman"/>
          <w:color w:val="000000"/>
          <w:sz w:val="24"/>
          <w:szCs w:val="24"/>
          <w:lang w:eastAsia="ko-KR"/>
        </w:rPr>
        <w:t>. The authors note that estimating the contribution of exogenous shocks in general equilibrium models will depend on the assumed path from one equilibrium point to another. They propose a numerical integration technique that exactly partitions the impacts of different exogenous shocks on endogenous variables of interest under the assumption that the assumed path is a straight line. This tool is critical in our analysis of the relative contribution of each key driver of global food security.</w:t>
      </w:r>
    </w:p>
    <w:p w14:paraId="20D28AFD" w14:textId="11D27D0A" w:rsidR="00D3605A" w:rsidRDefault="00D3605A" w:rsidP="00D30F54">
      <w:pPr>
        <w:spacing w:after="0" w:line="240" w:lineRule="auto"/>
        <w:ind w:firstLine="360"/>
        <w:jc w:val="both"/>
        <w:rPr>
          <w:rFonts w:ascii="Times New Roman" w:eastAsia="Malgun Gothic" w:hAnsi="Times New Roman" w:cs="Times New Roman"/>
          <w:color w:val="000000"/>
          <w:sz w:val="24"/>
          <w:szCs w:val="24"/>
          <w:lang w:eastAsia="ko-KR"/>
        </w:rPr>
      </w:pPr>
      <w:bookmarkStart w:id="51" w:name="_Hlk78141662"/>
      <w:r w:rsidRPr="00D30F54">
        <w:rPr>
          <w:rFonts w:ascii="Times New Roman" w:eastAsia="Malgun Gothic" w:hAnsi="Times New Roman" w:cs="Times New Roman"/>
          <w:color w:val="000000"/>
          <w:sz w:val="24"/>
          <w:szCs w:val="24"/>
          <w:lang w:eastAsia="ko-KR"/>
        </w:rPr>
        <w:t xml:space="preserve">Results of simulations often hinge critically on values of key exogenous inputs (parameters and/or shocks applied to exogenous variables) </w:t>
      </w:r>
      <w:r w:rsidRPr="00D30F5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{"citationID":"lvrrBVKS","properties":{"formattedCitation":"\\super 42\\nosupersub{}","plainCitation":"42","noteIndex":0},"citationItems":[{"id":455,"uris":["http://zotero.org/users/5867530/items/E8AZV2MH"],"uri":["http://zotero.org/users/5867530/items/E8AZV2MH"],"itemData":{"id":455,"type":"article-journal","container-title":"Journal of policy modeling","issue":"2","note":"ISBN: 0161-8938\npublisher: Elsevier","page":"175-185","title":"Sensitivity analysis revisited: A quadrature-based approach","volume":"19","author":[{"family":"DeVuyst","given":"Eric A."},{"family":"Preckel","given":"Paul V."}],"issued":{"date-parts":[["1997"]]}}}],"schema":"https://github.com/citation-style-language/schema/raw/master/csl-citation.json"} </w:instrText>
      </w:r>
      <w:r w:rsidRPr="00D30F5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42</w:t>
      </w:r>
      <w:r w:rsidRPr="00D30F54">
        <w:rPr>
          <w:rFonts w:ascii="Times New Roman" w:eastAsia="Malgun Gothic" w:hAnsi="Times New Roman" w:cs="Times New Roman"/>
          <w:color w:val="000000"/>
          <w:sz w:val="24"/>
          <w:szCs w:val="24"/>
          <w:lang w:eastAsia="ko-KR"/>
        </w:rPr>
        <w:fldChar w:fldCharType="end"/>
      </w:r>
      <w:r w:rsidRPr="00D30F54">
        <w:rPr>
          <w:rFonts w:ascii="Times New Roman" w:eastAsia="Malgun Gothic" w:hAnsi="Times New Roman" w:cs="Times New Roman"/>
          <w:color w:val="000000"/>
          <w:sz w:val="24"/>
          <w:szCs w:val="24"/>
          <w:lang w:eastAsia="ko-KR"/>
        </w:rPr>
        <w:t xml:space="preserve">. GEMPACK is equipped with practical methods for systematic investigation of the impacts of variations in these key inputs conducting for any model solved using GEMPACK </w:t>
      </w:r>
      <w:r w:rsidRPr="00D30F54">
        <w:rPr>
          <w:rFonts w:ascii="Times New Roman" w:eastAsia="Malgun Gothic" w:hAnsi="Times New Roman" w:cs="Times New Roman"/>
          <w:color w:val="000000"/>
          <w:sz w:val="24"/>
          <w:szCs w:val="24"/>
          <w:lang w:eastAsia="ko-KR"/>
        </w:rPr>
        <w:fldChar w:fldCharType="begin"/>
      </w:r>
      <w:r w:rsidR="0023119E">
        <w:rPr>
          <w:rFonts w:ascii="Times New Roman" w:eastAsia="Malgun Gothic" w:hAnsi="Times New Roman" w:cs="Times New Roman"/>
          <w:color w:val="000000"/>
          <w:sz w:val="24"/>
          <w:szCs w:val="24"/>
          <w:lang w:eastAsia="ko-KR"/>
        </w:rPr>
        <w:instrText xml:space="preserve"> ADDIN ZOTERO_ITEM CSL_CITATION {"citationID":"jpH64Onk","properties":{"formattedCitation":"\\super 42,43\\nosupersub{}","plainCitation":"42,43","noteIndex":0},"citationItems":[{"id":454,"uris":["http://zotero.org/users/5867530/items/TQ4DKYWL"],"uri":["http://zotero.org/users/5867530/items/TQ4DKYWL"],"itemData":{"id":454,"type":"article-journal","title":"Implementing systematic sensitivity analysis using GEMPACK","author":[{"family":"Pearson","given":"Ken"},{"family":"Arndt","given":"Channing"}],"issued":{"date-parts":[["2000"]]}}},{"id":455,"uris":["http://zotero.org/users/5867530/items/E8AZV2MH"],"uri":["http://zotero.org/users/5867530/items/E8AZV2MH"],"itemData":{"id":455,"type":"article-journal","container-title":"Journal of policy modeling","issue":"2","note":"ISBN: 0161-8938\npublisher: Elsevier","page":"175-185","title":"Sensitivity analysis revisited: A quadrature-based approach","volume":"19","author":[{"family":"DeVuyst","given":"Eric A."},{"family":"Preckel","given":"Paul V."}],"issued":{"date-parts":[["1997"]]}}}],"schema":"https://github.com/citation-style-language/schema/raw/master/csl-citation.json"} </w:instrText>
      </w:r>
      <w:r w:rsidRPr="00D30F54">
        <w:rPr>
          <w:rFonts w:ascii="Times New Roman" w:eastAsia="Malgun Gothic" w:hAnsi="Times New Roman" w:cs="Times New Roman"/>
          <w:color w:val="000000"/>
          <w:sz w:val="24"/>
          <w:szCs w:val="24"/>
          <w:lang w:eastAsia="ko-KR"/>
        </w:rPr>
        <w:fldChar w:fldCharType="separate"/>
      </w:r>
      <w:r w:rsidR="0023119E" w:rsidRPr="0023119E">
        <w:rPr>
          <w:rFonts w:ascii="Times New Roman" w:hAnsi="Times New Roman" w:cs="Times New Roman"/>
          <w:sz w:val="24"/>
          <w:szCs w:val="24"/>
          <w:vertAlign w:val="superscript"/>
        </w:rPr>
        <w:t>42,43</w:t>
      </w:r>
      <w:r w:rsidRPr="00D30F54">
        <w:rPr>
          <w:rFonts w:ascii="Times New Roman" w:eastAsia="Malgun Gothic" w:hAnsi="Times New Roman" w:cs="Times New Roman"/>
          <w:color w:val="000000"/>
          <w:sz w:val="24"/>
          <w:szCs w:val="24"/>
          <w:lang w:eastAsia="ko-KR"/>
        </w:rPr>
        <w:fldChar w:fldCharType="end"/>
      </w:r>
      <w:r w:rsidRPr="00D30F54">
        <w:rPr>
          <w:rFonts w:ascii="Times New Roman" w:eastAsia="Malgun Gothic" w:hAnsi="Times New Roman" w:cs="Times New Roman"/>
          <w:color w:val="000000"/>
          <w:sz w:val="24"/>
          <w:szCs w:val="24"/>
          <w:lang w:eastAsia="ko-KR"/>
        </w:rPr>
        <w:t>. In this process instead of projecting the endogenous variables within the model from a baseline to a projected period by solely “shocking” the key exogeneous variables and/or modifying parameters by their mean expected changes, the “shocks” on key exogenous inputs are drawn from a pool of potential expected changes, usually a triangular approximation for a normal distribution around the media of their respective expected changes. As a result, the procedure reports estimations of the mean and standard deviation for any endogenous variable in the model, resulting in a projection of future distributions of endogenous variables rather than just an average expected projection.</w:t>
      </w:r>
    </w:p>
    <w:p w14:paraId="08333250" w14:textId="77658072" w:rsidR="00C248E8" w:rsidRPr="00AB056F" w:rsidRDefault="00C248E8" w:rsidP="00AB056F">
      <w:pPr>
        <w:keepNext/>
        <w:spacing w:before="240" w:after="60" w:line="240" w:lineRule="auto"/>
        <w:outlineLvl w:val="0"/>
        <w:rPr>
          <w:rFonts w:ascii="Times New Roman" w:eastAsia="Times New Roman" w:hAnsi="Times New Roman" w:cs="Times New Roman"/>
          <w:b/>
          <w:bCs/>
          <w:kern w:val="32"/>
          <w:sz w:val="24"/>
          <w:szCs w:val="24"/>
        </w:rPr>
      </w:pPr>
      <w:bookmarkStart w:id="52" w:name="_Toc75803830"/>
      <w:bookmarkStart w:id="53" w:name="_Hlk74931664"/>
      <w:r w:rsidRPr="00AB056F">
        <w:rPr>
          <w:rFonts w:ascii="Times New Roman" w:eastAsia="Times New Roman" w:hAnsi="Times New Roman" w:cs="Times New Roman"/>
          <w:b/>
          <w:bCs/>
          <w:kern w:val="32"/>
          <w:sz w:val="24"/>
          <w:szCs w:val="24"/>
        </w:rPr>
        <w:t>Specification of the Counterfactual Scenarios</w:t>
      </w:r>
      <w:bookmarkEnd w:id="52"/>
    </w:p>
    <w:p w14:paraId="2F1DD299" w14:textId="3CCF3DA6" w:rsidR="00C248E8" w:rsidRPr="00AB056F" w:rsidRDefault="00C248E8" w:rsidP="00AB056F">
      <w:pPr>
        <w:spacing w:after="0" w:line="240" w:lineRule="auto"/>
        <w:rPr>
          <w:rFonts w:ascii="Times New Roman" w:eastAsia="Times New Roman" w:hAnsi="Times New Roman" w:cs="Times New Roman"/>
          <w:sz w:val="24"/>
          <w:szCs w:val="20"/>
          <w:u w:val="words"/>
        </w:rPr>
      </w:pPr>
      <w:bookmarkStart w:id="54" w:name="_Toc75803831"/>
      <w:r w:rsidRPr="00AB056F">
        <w:rPr>
          <w:rFonts w:ascii="Times New Roman" w:eastAsia="Times New Roman" w:hAnsi="Times New Roman" w:cs="Times New Roman"/>
          <w:sz w:val="24"/>
          <w:szCs w:val="20"/>
          <w:u w:val="words"/>
        </w:rPr>
        <w:t>Th</w:t>
      </w:r>
      <w:bookmarkStart w:id="55" w:name="_Hlk74932239"/>
      <w:r w:rsidRPr="00AB056F">
        <w:rPr>
          <w:rFonts w:ascii="Times New Roman" w:eastAsia="Times New Roman" w:hAnsi="Times New Roman" w:cs="Times New Roman"/>
          <w:sz w:val="24"/>
          <w:szCs w:val="20"/>
          <w:u w:val="words"/>
        </w:rPr>
        <w:t>e Healthy Dietary Guidelines (HDG) and the Flexitarian (FLX) Diets Scenarios</w:t>
      </w:r>
      <w:bookmarkEnd w:id="54"/>
    </w:p>
    <w:bookmarkEnd w:id="53"/>
    <w:bookmarkEnd w:id="55"/>
    <w:p w14:paraId="2624FF84" w14:textId="2B5F7FD2" w:rsidR="00C248E8" w:rsidRPr="00C248E8" w:rsidRDefault="00C248E8" w:rsidP="00AF432E">
      <w:pPr>
        <w:spacing w:after="0" w:line="240" w:lineRule="auto"/>
        <w:jc w:val="both"/>
        <w:rPr>
          <w:rFonts w:ascii="Times New Roman" w:eastAsia="Malgun Gothic" w:hAnsi="Times New Roman" w:cs="Times New Roman"/>
          <w:iCs/>
          <w:sz w:val="24"/>
          <w:szCs w:val="24"/>
          <w:lang w:eastAsia="ko-KR"/>
        </w:rPr>
      </w:pPr>
      <w:r>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adapt the counterfactual scenarios in previous studies </w:t>
      </w:r>
      <w:r w:rsidRPr="00C248E8">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{"citationID":"qQBeNh8U","properties":{"formattedCitation":"\\super 44\\nosupersub{}","plainCitation":"44","noteIndex":0},"citationItems":[{"id":"xNxQuBvD/qxj7LTHD","uris":["http://zotero.org/users/5867530/items/95UPIGF4"],"uri":["http://zotero.org/users/5867530/items/95UPIGF4"],"itemData":{"id":"8BxWfOOU/oseXGDWx","type":"article-journal","container-title":"Nature","issue":"7728","page":"519","title":"Options for keeping the food system within environmental limits","volume":"562","author":[{"family":"Springmann","given":"Marco"},{"family":"Clark","given":"Michael"},{"family":"Mason-D’Croz","given":"Daniel"},{"family":"Wiebe","given":"Keith"},{"family":"Bodirsky","given":"Benjamin Leon"},{"family":"Lassaletta","given":"Luis"},{"family":"Vries","given":"Wim","non-dropping-particle":"de"},{"family":"Vermeulen","given":"Sonja J."},{"family":"Herrero","given":"Mario"},{"family":"Carlson","given":"Kimberly M."}],"issued":{"date-parts":[["2018"]]}}}],"schema":"https://github.com/citation-style-language/schema/raw/master/csl-citation.json"} </w:instrText>
      </w:r>
      <w:r w:rsidRPr="00C248E8">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44</w:t>
      </w:r>
      <w:r w:rsidRPr="00C248E8">
        <w:rPr>
          <w:rFonts w:ascii="Times New Roman" w:eastAsia="Malgun Gothic" w:hAnsi="Times New Roman" w:cs="Times New Roman"/>
          <w:iCs/>
          <w:sz w:val="24"/>
          <w:szCs w:val="24"/>
          <w:lang w:eastAsia="ko-KR"/>
        </w:rPr>
        <w:fldChar w:fldCharType="end"/>
      </w:r>
      <w:r w:rsidRPr="00C248E8">
        <w:rPr>
          <w:rFonts w:ascii="Times New Roman" w:eastAsia="Malgun Gothic" w:hAnsi="Times New Roman" w:cs="Times New Roman"/>
          <w:iCs/>
          <w:sz w:val="24"/>
          <w:szCs w:val="24"/>
          <w:lang w:eastAsia="ko-KR"/>
        </w:rPr>
        <w:t xml:space="preserve"> regarding shifting towards healthier and more sustainable diets. The counterfactual diet scenarios analyzed in this chapter include diets aligned with global dietary guidelines (HDG), and more plant-based flexitarian diets (FLX) that are reflective of present evidence on healthy eating. The HGD scenario is based on global guidelines on healthy eating issued by WHO/FAO Expert Consultations on diet, nutrition </w:t>
      </w:r>
      <w:r w:rsidRPr="00C248E8">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{"citationID":"gOHGt2Jn","properties":{"formattedCitation":"\\super 45\\nosupersub{}","plainCitation":"45","noteIndex":0},"citationItems":[{"id":463,"uris":["http://zotero.org/users/5867530/items/86S977NH"],"uri":["http://zotero.org/users/5867530/items/86S977NH"],"itemData":{"id":463,"type":"book","ISBN":"92-4-120916-X","publisher":"World Health Organization","title":"Diet, nutrition, and the prevention of chronic diseases: report of a joint WHO/FAO expert consultation","volume":"916","author":[{"family":"WHO","given":""}],"issued":{"date-parts":[["2003"]]}}}],"schema":"https://github.com/citation-style-language/schema/raw/master/csl-citation.json"} </w:instrText>
      </w:r>
      <w:r w:rsidRPr="00C248E8">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45</w:t>
      </w:r>
      <w:r w:rsidRPr="00C248E8">
        <w:rPr>
          <w:rFonts w:ascii="Times New Roman" w:eastAsia="Malgun Gothic" w:hAnsi="Times New Roman" w:cs="Times New Roman"/>
          <w:iCs/>
          <w:sz w:val="24"/>
          <w:szCs w:val="24"/>
          <w:lang w:eastAsia="ko-KR"/>
        </w:rPr>
        <w:fldChar w:fldCharType="end"/>
      </w:r>
      <w:r w:rsidRPr="00C248E8">
        <w:rPr>
          <w:rFonts w:ascii="Times New Roman" w:eastAsia="Malgun Gothic" w:hAnsi="Times New Roman" w:cs="Times New Roman"/>
          <w:iCs/>
          <w:sz w:val="24"/>
          <w:szCs w:val="24"/>
          <w:lang w:eastAsia="ko-KR"/>
        </w:rPr>
        <w:t xml:space="preserve"> and human energy requirements </w:t>
      </w:r>
      <w:r w:rsidRPr="00C248E8">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{"citationID":"lGD1Nm3e","properties":{"formattedCitation":"\\super 33\\nosupersub{}","plainCitation":"33","noteIndex":0},"citationItems":[{"id":249,"uris":["http://zotero.org/users/5867530/items/IAVWQRSD"],"uri":["http://zotero.org/users/5867530/items/IAVWQRSD"],"itemData":{"id":249,"type":"article-journal","title":"Human energy requirements. Report of a Joint FAO/WHO/UNU Expert Consultation, Rome, 17-24 October","author":[{"family":"FAO/WHO","given":""}],"issued":{"date-parts":[["2001"]]}}}],"schema":"https://github.com/citation-style-language/schema/raw/master/csl-citation.json"} </w:instrText>
      </w:r>
      <w:r w:rsidRPr="00C248E8">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33</w:t>
      </w:r>
      <w:r w:rsidRPr="00C248E8">
        <w:rPr>
          <w:rFonts w:ascii="Times New Roman" w:eastAsia="Malgun Gothic" w:hAnsi="Times New Roman" w:cs="Times New Roman"/>
          <w:iCs/>
          <w:sz w:val="24"/>
          <w:szCs w:val="24"/>
          <w:lang w:eastAsia="ko-KR"/>
        </w:rPr>
        <w:fldChar w:fldCharType="end"/>
      </w:r>
      <w:r w:rsidRPr="00C248E8">
        <w:rPr>
          <w:rFonts w:ascii="Times New Roman" w:eastAsia="Malgun Gothic" w:hAnsi="Times New Roman" w:cs="Times New Roman"/>
          <w:iCs/>
          <w:sz w:val="24"/>
          <w:szCs w:val="24"/>
          <w:lang w:eastAsia="ko-KR"/>
        </w:rPr>
        <w:t xml:space="preserve"> and the FLX is a more ambitious dietary change that implies larger levels of substitution of animal source proteins for vegetable source proteins. </w:t>
      </w:r>
      <w:r>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start by comparing the BAU projections on food consumption from Springmann et al.’s </w:t>
      </w:r>
      <w:r>
        <w:rPr>
          <w:rFonts w:ascii="Times New Roman" w:eastAsia="Malgun Gothic" w:hAnsi="Times New Roman" w:cs="Times New Roman"/>
          <w:iCs/>
          <w:sz w:val="24"/>
          <w:szCs w:val="24"/>
          <w:lang w:eastAsia="ko-KR"/>
        </w:rPr>
        <w:t xml:space="preserve">(2018) </w:t>
      </w:r>
      <w:r w:rsidRPr="00C248E8">
        <w:rPr>
          <w:rFonts w:ascii="Times New Roman" w:eastAsia="Malgun Gothic" w:hAnsi="Times New Roman" w:cs="Times New Roman"/>
          <w:iCs/>
          <w:sz w:val="24"/>
          <w:szCs w:val="24"/>
          <w:lang w:eastAsia="ko-KR"/>
        </w:rPr>
        <w:t xml:space="preserve">with the ones in this study obtained with SIMPLE, under the SSP2 scenarios. </w:t>
      </w:r>
      <w:r>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do so by aggregating across food groups from Springmann et al. into “crop” and “livestock” categories. </w:t>
      </w:r>
      <w:r>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find that baseline projections from both studies are very similar, and global averages of per capita consumption of crops and livestock are around 1130 grams and 412-425 grams, respectively.</w:t>
      </w:r>
    </w:p>
    <w:p w14:paraId="746B2CD0" w14:textId="0D83C998" w:rsidR="00C248E8" w:rsidRPr="00C248E8" w:rsidRDefault="00C248E8" w:rsidP="00AF432E">
      <w:pPr>
        <w:spacing w:after="0" w:line="240" w:lineRule="auto"/>
        <w:ind w:firstLine="360"/>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In Springmann et al.</w:t>
      </w:r>
      <w:r>
        <w:rPr>
          <w:rFonts w:ascii="Times New Roman" w:eastAsia="Malgun Gothic" w:hAnsi="Times New Roman" w:cs="Times New Roman"/>
          <w:iCs/>
          <w:sz w:val="24"/>
          <w:szCs w:val="24"/>
          <w:lang w:eastAsia="ko-KR"/>
        </w:rPr>
        <w:t xml:space="preserve"> (2018)</w:t>
      </w:r>
      <w:r w:rsidRPr="00C248E8">
        <w:rPr>
          <w:rFonts w:ascii="Times New Roman" w:eastAsia="Malgun Gothic" w:hAnsi="Times New Roman" w:cs="Times New Roman"/>
          <w:iCs/>
          <w:sz w:val="24"/>
          <w:szCs w:val="24"/>
          <w:lang w:eastAsia="ko-KR"/>
        </w:rPr>
        <w:t xml:space="preserve"> authors develop two different counterfactual scenarios regarding shifting towards healthier and more sustainable diets. One in which average consumers follow the Healthy Dietary Guidelines (HDG) and another one in which the average consumers follow a flexitarian style diet (FLX). In both scenarios, regional diets maintain their character of preferred foods but are restricted to an intake of 2100</w:t>
      </w:r>
      <w:r w:rsidRPr="00C248E8">
        <w:rPr>
          <w:rFonts w:ascii="Times New Roman" w:eastAsia="Malgun Gothic" w:hAnsi="Times New Roman" w:cs="Times New Roman"/>
          <w:iCs/>
          <w:sz w:val="24"/>
          <w:szCs w:val="24"/>
          <w:lang w:eastAsia="ko-KR"/>
        </w:rPr>
        <w:noBreakHyphen/>
        <w:t xml:space="preserve">2300 kcal per person per day, with specified grams per person per day servings of food categories such as red meat, dairy, fruits and vegetables, and staple crops. The flexitarian diet pathway is a more ambitious dietary change projection, in the sense that it implies a larger restriction in the consumption of livestock products and a boost in the nut and legume intake. </w:t>
      </w:r>
    </w:p>
    <w:p w14:paraId="4EA31ACD" w14:textId="2BBE1FA3" w:rsidR="00C248E8" w:rsidRPr="00C248E8" w:rsidRDefault="00C248E8" w:rsidP="00AF432E">
      <w:pPr>
        <w:spacing w:after="0" w:line="240" w:lineRule="auto"/>
        <w:ind w:firstLine="360"/>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 xml:space="preserve">To calculate the necessary shocks to simulate Springmann et al.’s </w:t>
      </w:r>
      <w:r>
        <w:rPr>
          <w:rFonts w:ascii="Times New Roman" w:eastAsia="Malgun Gothic" w:hAnsi="Times New Roman" w:cs="Times New Roman"/>
          <w:iCs/>
          <w:sz w:val="24"/>
          <w:szCs w:val="24"/>
          <w:lang w:eastAsia="ko-KR"/>
        </w:rPr>
        <w:t xml:space="preserve">(2018) </w:t>
      </w:r>
      <w:r w:rsidRPr="00C248E8">
        <w:rPr>
          <w:rFonts w:ascii="Times New Roman" w:eastAsia="Malgun Gothic" w:hAnsi="Times New Roman" w:cs="Times New Roman"/>
          <w:iCs/>
          <w:sz w:val="24"/>
          <w:szCs w:val="24"/>
          <w:lang w:eastAsia="ko-KR"/>
        </w:rPr>
        <w:t>two dietary change scenarios, regional per capita food consumption in grams is obtained from the QCONS_GRAM variable. Because this information is separated into “crops,” “livestock,” and “processed food” categories, the food groups in Springmann et al. are aggregated for comparison. Thus, wheat, rice, maize, legumes, vegetables, nut &amp; seeds, et cetera are summed for “crops,” while “livestock” included such categories as beef, poultry, and eggs. For the healthy diets’ scenario, this corresponds to 1093.6 g of crops and 369 grams of livestock products per person per day, while the flexitarian diet consists of 1110.3 grams of crops and 240.6 grams of livestock products. To translate these values into shocks, the percentage change necessary in per capita consumption to meet the scenario values was calculated.</w:t>
      </w:r>
    </w:p>
    <w:p w14:paraId="62481265" w14:textId="1FC8E4C7" w:rsidR="00AF432E" w:rsidRDefault="00C248E8" w:rsidP="00AF432E">
      <w:pPr>
        <w:spacing w:after="0" w:line="240" w:lineRule="auto"/>
        <w:ind w:firstLine="360"/>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 xml:space="preserve">In order to better understand the dynamics of the malnutrition double burden, </w:t>
      </w:r>
      <w:r>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restrict the exogenous changes in food consumption to those regions that are already at latter stages in the nutrition transition </w:t>
      </w:r>
      <w:r w:rsidRPr="00C248E8">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{"citationID":"Xe6ORJhU","properties":{"formattedCitation":"\\super 46\\nosupersub{}","plainCitation":"46","noteIndex":0},"citationItems":[{"id":452,"uris":["http://zotero.org/users/5867530/items/C73ASWQD"],"uri":["http://zotero.org/users/5867530/items/C73ASWQD"],"itemData":{"id":452,"type":"article-journal","abstract":"Abstract\n            The nutrition transition transforms food systems globally and shapes public health and environmental change. Here we provide a global forward-looking assessment of a continued nutrition transition and its interlinked symptoms in respect to food consumption. These symptoms range from underweight and unbalanced diets to obesity, food waste and environmental pressure. We find that by 2050, 45% (39–52%) of the world population will be overweight and 16% (13–20%) obese, compared to 29% and 9% in 2010 respectively. The prevalence of underweight approximately halves but absolute numbers stagnate at 0.4–0.7 billion. Aligned, dietary composition shifts towards animal-source foods and empty calories, while the consumption of vegetables, fruits and nuts increases insufficiently. Population growth, ageing, increasing body mass and more wasteful consumption patterns are jointly pushing global food demand from 30 to 45 (43–47) Exajoules. Our comprehensive open dataset and model provides the interfaces necessary for integrated studies of global health, food systems, and environmental change. Achieving zero hunger, healthy diets, and a food demand compatible with environmental boundaries necessitates a coordinated redirection of the nutrition transition. Reducing household waste, animal-source foods, and overweight could synergistically address multiple symptoms at once, while eliminating underweight would not substantially increase food demand.","container-title":"Scientific Reports","DOI":"10.1038/s41598-020-75213-3","ISSN":"2045-2322","issue":"1","journalAbbreviation":"Sci Rep","language":"en","page":"19778","source":"DOI.org (Crossref)","title":"The ongoing nutrition transition thwarts long-term targets for food security, public health and environmental protection","volume":"10","author":[{"family":"Bodirsky","given":"Benjamin Leon"},{"family":"Dietrich","given":"Jan Philipp"},{"family":"Martinelli","given":"Eleonora"},{"family":"Stenstad","given":"Antonia"},{"family":"Pradhan","given":"Prajal"},{"family":"Gabrysch","given":"Sabine"},{"family":"Mishra","given":"Abhijeet"},{"family":"Weindl","given":"Isabelle"},{"family":"Le Mouël","given":"Chantal"},{"family":"Rolinski","given":"Susanne"},{"family":"Baumstark","given":"Lavinia"},{"family":"Wang","given":"Xiaoxi"},{"family":"Waid","given":"Jillian L."},{"family":"Lotze-Campen","given":"Hermann"},{"family":"Popp","given":"Alexander"}],"issued":{"date-parts":[["2020",12]]}}}],"schema":"https://github.com/citation-style-language/schema/raw/master/csl-citation.json"} </w:instrText>
      </w:r>
      <w:r w:rsidRPr="00C248E8">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46</w:t>
      </w:r>
      <w:r w:rsidRPr="00C248E8">
        <w:rPr>
          <w:rFonts w:ascii="Times New Roman" w:eastAsia="Malgun Gothic" w:hAnsi="Times New Roman" w:cs="Times New Roman"/>
          <w:iCs/>
          <w:sz w:val="24"/>
          <w:szCs w:val="24"/>
          <w:lang w:eastAsia="ko-KR"/>
        </w:rPr>
        <w:fldChar w:fldCharType="end"/>
      </w:r>
      <w:r w:rsidRPr="00C248E8">
        <w:rPr>
          <w:rFonts w:ascii="Times New Roman" w:eastAsia="Malgun Gothic" w:hAnsi="Times New Roman" w:cs="Times New Roman"/>
          <w:iCs/>
          <w:sz w:val="24"/>
          <w:szCs w:val="24"/>
          <w:lang w:eastAsia="ko-KR"/>
        </w:rPr>
        <w:t xml:space="preserve">. This allows us to project endogenous changes in caloric undernutrition in those regions that host most of the current and projected hunger individuals. So doing, </w:t>
      </w:r>
      <w:r>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observe the potential multiple dividends (i.e., health and environmental benefits) derived from the shift towards healthier dietary intake levels in those regions that project higher levels on adult BMI. </w:t>
      </w:r>
      <w:r>
        <w:rPr>
          <w:rFonts w:ascii="Times New Roman" w:eastAsia="Malgun Gothic" w:hAnsi="Times New Roman" w:cs="Times New Roman"/>
          <w:b/>
          <w:bCs/>
          <w:iCs/>
          <w:sz w:val="24"/>
          <w:szCs w:val="24"/>
          <w:lang w:eastAsia="ko-KR"/>
        </w:rPr>
        <w:t xml:space="preserve">Table S4 </w:t>
      </w:r>
      <w:r w:rsidRPr="00C248E8">
        <w:rPr>
          <w:rFonts w:ascii="Times New Roman" w:eastAsia="Malgun Gothic" w:hAnsi="Times New Roman" w:cs="Times New Roman"/>
          <w:iCs/>
          <w:sz w:val="24"/>
          <w:szCs w:val="24"/>
          <w:lang w:eastAsia="ko-KR"/>
        </w:rPr>
        <w:t xml:space="preserve">lists the shocks in food consumption with respect to the baseline case, for the HDG and the FLX diets scenarios. </w:t>
      </w:r>
    </w:p>
    <w:p w14:paraId="6F37D88D" w14:textId="77777777" w:rsidR="00AF432E" w:rsidRDefault="00AF432E">
      <w:pPr>
        <w:rPr>
          <w:rFonts w:ascii="Times New Roman" w:eastAsia="Malgun Gothic" w:hAnsi="Times New Roman" w:cs="Times New Roman"/>
          <w:iCs/>
          <w:sz w:val="24"/>
          <w:szCs w:val="24"/>
          <w:lang w:eastAsia="ko-KR"/>
        </w:rPr>
      </w:pPr>
      <w:r>
        <w:rPr>
          <w:rFonts w:ascii="Times New Roman" w:eastAsia="Malgun Gothic" w:hAnsi="Times New Roman" w:cs="Times New Roman"/>
          <w:iCs/>
          <w:sz w:val="24"/>
          <w:szCs w:val="24"/>
          <w:lang w:eastAsia="ko-KR"/>
        </w:rPr>
        <w:br w:type="page"/>
      </w:r>
    </w:p>
    <w:p w14:paraId="01F6AA6D" w14:textId="7F42714A" w:rsidR="00C248E8" w:rsidRPr="00C248E8" w:rsidRDefault="00C248E8" w:rsidP="00AF432E">
      <w:pPr>
        <w:pStyle w:val="Descripcin"/>
        <w:rPr>
          <w:rFonts w:ascii="Times New Roman" w:eastAsia="Malgun Gothic" w:hAnsi="Times New Roman" w:cs="Times New Roman"/>
          <w:b/>
          <w:i w:val="0"/>
          <w:iCs w:val="0"/>
          <w:color w:val="auto"/>
          <w:sz w:val="24"/>
          <w:szCs w:val="24"/>
          <w:lang w:eastAsia="ko-KR"/>
        </w:rPr>
      </w:pPr>
      <w:bookmarkStart w:id="56" w:name="_Ref75541696"/>
      <w:bookmarkStart w:id="57" w:name="_Toc75803847"/>
      <w:bookmarkStart w:id="58" w:name="_Toc97739557"/>
      <w:r w:rsidRPr="00C248E8">
        <w:rPr>
          <w:rFonts w:ascii="Times New Roman" w:eastAsia="Malgun Gothic" w:hAnsi="Times New Roman" w:cs="Times New Roman"/>
          <w:b/>
          <w:i w:val="0"/>
          <w:iCs w:val="0"/>
          <w:color w:val="auto"/>
          <w:sz w:val="24"/>
          <w:szCs w:val="24"/>
          <w:lang w:eastAsia="ko-KR"/>
        </w:rPr>
        <w:t>Table</w:t>
      </w:r>
      <w:bookmarkEnd w:id="56"/>
      <w:r w:rsidRPr="00C248E8">
        <w:rPr>
          <w:rFonts w:ascii="Times New Roman" w:eastAsia="Malgun Gothic" w:hAnsi="Times New Roman" w:cs="Times New Roman"/>
          <w:b/>
          <w:i w:val="0"/>
          <w:iCs w:val="0"/>
          <w:color w:val="auto"/>
          <w:sz w:val="24"/>
          <w:szCs w:val="24"/>
          <w:lang w:eastAsia="ko-KR"/>
        </w:rPr>
        <w:t xml:space="preserve"> </w:t>
      </w:r>
      <w:r>
        <w:rPr>
          <w:rFonts w:ascii="Times New Roman" w:eastAsia="Malgun Gothic" w:hAnsi="Times New Roman" w:cs="Times New Roman"/>
          <w:b/>
          <w:i w:val="0"/>
          <w:iCs w:val="0"/>
          <w:color w:val="auto"/>
          <w:sz w:val="24"/>
          <w:szCs w:val="24"/>
          <w:lang w:eastAsia="ko-KR"/>
        </w:rPr>
        <w:t>S</w:t>
      </w:r>
      <w:r w:rsidRPr="00C248E8">
        <w:rPr>
          <w:rFonts w:ascii="Times New Roman" w:hAnsi="Times New Roman" w:cs="Times New Roman"/>
          <w:b/>
          <w:i w:val="0"/>
          <w:iCs w:val="0"/>
          <w:color w:val="auto"/>
          <w:sz w:val="24"/>
          <w:szCs w:val="24"/>
        </w:rPr>
        <w:fldChar w:fldCharType="begin"/>
      </w:r>
      <w:r w:rsidRPr="00C248E8">
        <w:rPr>
          <w:rFonts w:ascii="Times New Roman" w:hAnsi="Times New Roman" w:cs="Times New Roman"/>
          <w:b/>
          <w:i w:val="0"/>
          <w:iCs w:val="0"/>
          <w:color w:val="auto"/>
          <w:sz w:val="24"/>
          <w:szCs w:val="24"/>
        </w:rPr>
        <w:instrText xml:space="preserve"> SEQ Table_S \* ARABIC </w:instrText>
      </w:r>
      <w:r w:rsidRPr="00C248E8">
        <w:rPr>
          <w:rFonts w:ascii="Times New Roman" w:hAnsi="Times New Roman" w:cs="Times New Roman"/>
          <w:b/>
          <w:i w:val="0"/>
          <w:iCs w:val="0"/>
          <w:color w:val="auto"/>
          <w:sz w:val="24"/>
          <w:szCs w:val="24"/>
        </w:rPr>
        <w:fldChar w:fldCharType="separate"/>
      </w:r>
      <w:r w:rsidR="00473FA6">
        <w:rPr>
          <w:rFonts w:ascii="Times New Roman" w:hAnsi="Times New Roman" w:cs="Times New Roman"/>
          <w:b/>
          <w:i w:val="0"/>
          <w:iCs w:val="0"/>
          <w:noProof/>
          <w:color w:val="auto"/>
          <w:sz w:val="24"/>
          <w:szCs w:val="24"/>
        </w:rPr>
        <w:t>4</w:t>
      </w:r>
      <w:r w:rsidRPr="00C248E8">
        <w:rPr>
          <w:rFonts w:ascii="Times New Roman" w:hAnsi="Times New Roman" w:cs="Times New Roman"/>
          <w:b/>
          <w:i w:val="0"/>
          <w:iCs w:val="0"/>
          <w:color w:val="auto"/>
          <w:sz w:val="24"/>
          <w:szCs w:val="24"/>
        </w:rPr>
        <w:fldChar w:fldCharType="end"/>
      </w:r>
      <w:r w:rsidRPr="00C248E8">
        <w:rPr>
          <w:rFonts w:ascii="Times New Roman" w:hAnsi="Times New Roman" w:cs="Times New Roman"/>
          <w:b/>
          <w:i w:val="0"/>
          <w:iCs w:val="0"/>
          <w:color w:val="auto"/>
          <w:sz w:val="24"/>
          <w:szCs w:val="24"/>
        </w:rPr>
        <w:t>.</w:t>
      </w:r>
      <w:r w:rsidRPr="00C248E8">
        <w:rPr>
          <w:rFonts w:ascii="Times New Roman" w:eastAsia="Malgun Gothic" w:hAnsi="Times New Roman" w:cs="Times New Roman"/>
          <w:b/>
          <w:i w:val="0"/>
          <w:iCs w:val="0"/>
          <w:color w:val="auto"/>
          <w:sz w:val="24"/>
          <w:szCs w:val="24"/>
          <w:lang w:eastAsia="ko-KR"/>
        </w:rPr>
        <w:t xml:space="preserve"> Shocks on per capita consumption in grams by type of food (i.e., crops, livestock, and processed food) in SIMPLE</w:t>
      </w:r>
      <w:bookmarkEnd w:id="57"/>
      <w:r>
        <w:rPr>
          <w:rFonts w:ascii="Times New Roman" w:eastAsia="Malgun Gothic" w:hAnsi="Times New Roman" w:cs="Times New Roman"/>
          <w:b/>
          <w:i w:val="0"/>
          <w:iCs w:val="0"/>
          <w:color w:val="auto"/>
          <w:sz w:val="24"/>
          <w:szCs w:val="24"/>
          <w:lang w:eastAsia="ko-KR"/>
        </w:rPr>
        <w:t>.</w:t>
      </w:r>
      <w:bookmarkEnd w:id="58"/>
    </w:p>
    <w:tbl>
      <w:tblPr>
        <w:tblW w:w="9248" w:type="dxa"/>
        <w:tblLook w:val="04A0" w:firstRow="1" w:lastRow="0" w:firstColumn="1" w:lastColumn="0" w:noHBand="0" w:noVBand="1"/>
      </w:tblPr>
      <w:tblGrid>
        <w:gridCol w:w="2562"/>
        <w:gridCol w:w="790"/>
        <w:gridCol w:w="1163"/>
        <w:gridCol w:w="1270"/>
        <w:gridCol w:w="240"/>
        <w:gridCol w:w="790"/>
        <w:gridCol w:w="1163"/>
        <w:gridCol w:w="1270"/>
      </w:tblGrid>
      <w:tr w:rsidR="00C248E8" w:rsidRPr="00C248E8" w14:paraId="55E0F76B" w14:textId="77777777" w:rsidTr="00994AE3">
        <w:trPr>
          <w:trHeight w:val="373"/>
        </w:trPr>
        <w:tc>
          <w:tcPr>
            <w:tcW w:w="2562" w:type="dxa"/>
            <w:tcBorders>
              <w:top w:val="nil"/>
              <w:left w:val="nil"/>
              <w:bottom w:val="nil"/>
              <w:right w:val="nil"/>
            </w:tcBorders>
            <w:shd w:val="clear" w:color="auto" w:fill="auto"/>
            <w:noWrap/>
            <w:vAlign w:val="bottom"/>
            <w:hideMark/>
          </w:tcPr>
          <w:p w14:paraId="6EF4C32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3223" w:type="dxa"/>
            <w:gridSpan w:val="3"/>
            <w:tcBorders>
              <w:top w:val="nil"/>
              <w:left w:val="nil"/>
              <w:bottom w:val="single" w:sz="8" w:space="0" w:color="auto"/>
              <w:right w:val="nil"/>
            </w:tcBorders>
            <w:shd w:val="clear" w:color="auto" w:fill="auto"/>
            <w:noWrap/>
            <w:vAlign w:val="bottom"/>
            <w:hideMark/>
          </w:tcPr>
          <w:p w14:paraId="3EEEB749"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HDG</w:t>
            </w:r>
          </w:p>
        </w:tc>
        <w:tc>
          <w:tcPr>
            <w:tcW w:w="240" w:type="dxa"/>
            <w:tcBorders>
              <w:top w:val="nil"/>
              <w:left w:val="nil"/>
              <w:bottom w:val="nil"/>
              <w:right w:val="nil"/>
            </w:tcBorders>
            <w:shd w:val="clear" w:color="auto" w:fill="auto"/>
            <w:noWrap/>
            <w:vAlign w:val="bottom"/>
            <w:hideMark/>
          </w:tcPr>
          <w:p w14:paraId="66FA4475"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p>
        </w:tc>
        <w:tc>
          <w:tcPr>
            <w:tcW w:w="3223" w:type="dxa"/>
            <w:gridSpan w:val="3"/>
            <w:tcBorders>
              <w:top w:val="nil"/>
              <w:left w:val="nil"/>
              <w:bottom w:val="single" w:sz="8" w:space="0" w:color="auto"/>
              <w:right w:val="nil"/>
            </w:tcBorders>
            <w:shd w:val="clear" w:color="auto" w:fill="auto"/>
            <w:noWrap/>
            <w:vAlign w:val="bottom"/>
            <w:hideMark/>
          </w:tcPr>
          <w:p w14:paraId="2A212DA6"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FLX</w:t>
            </w:r>
          </w:p>
        </w:tc>
      </w:tr>
      <w:tr w:rsidR="00C248E8" w:rsidRPr="00C248E8" w14:paraId="4655679A" w14:textId="77777777" w:rsidTr="00994AE3">
        <w:trPr>
          <w:trHeight w:val="373"/>
        </w:trPr>
        <w:tc>
          <w:tcPr>
            <w:tcW w:w="2562" w:type="dxa"/>
            <w:tcBorders>
              <w:top w:val="nil"/>
              <w:left w:val="nil"/>
              <w:bottom w:val="single" w:sz="8" w:space="0" w:color="auto"/>
              <w:right w:val="nil"/>
            </w:tcBorders>
            <w:shd w:val="clear" w:color="auto" w:fill="auto"/>
            <w:noWrap/>
            <w:vAlign w:val="bottom"/>
            <w:hideMark/>
          </w:tcPr>
          <w:p w14:paraId="3280B3F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 </w:t>
            </w:r>
          </w:p>
        </w:tc>
        <w:tc>
          <w:tcPr>
            <w:tcW w:w="790" w:type="dxa"/>
            <w:tcBorders>
              <w:top w:val="nil"/>
              <w:left w:val="nil"/>
              <w:bottom w:val="single" w:sz="8" w:space="0" w:color="auto"/>
              <w:right w:val="nil"/>
            </w:tcBorders>
            <w:shd w:val="clear" w:color="auto" w:fill="auto"/>
            <w:noWrap/>
            <w:vAlign w:val="bottom"/>
            <w:hideMark/>
          </w:tcPr>
          <w:p w14:paraId="0E84DA6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Crops</w:t>
            </w:r>
          </w:p>
        </w:tc>
        <w:tc>
          <w:tcPr>
            <w:tcW w:w="1163" w:type="dxa"/>
            <w:tcBorders>
              <w:top w:val="nil"/>
              <w:left w:val="nil"/>
              <w:bottom w:val="single" w:sz="8" w:space="0" w:color="auto"/>
              <w:right w:val="nil"/>
            </w:tcBorders>
            <w:shd w:val="clear" w:color="auto" w:fill="auto"/>
            <w:noWrap/>
            <w:vAlign w:val="bottom"/>
            <w:hideMark/>
          </w:tcPr>
          <w:p w14:paraId="19BA984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Livestock</w:t>
            </w:r>
          </w:p>
        </w:tc>
        <w:tc>
          <w:tcPr>
            <w:tcW w:w="1270" w:type="dxa"/>
            <w:tcBorders>
              <w:top w:val="nil"/>
              <w:left w:val="nil"/>
              <w:bottom w:val="single" w:sz="8" w:space="0" w:color="auto"/>
              <w:right w:val="nil"/>
            </w:tcBorders>
            <w:shd w:val="clear" w:color="auto" w:fill="auto"/>
            <w:noWrap/>
            <w:vAlign w:val="bottom"/>
            <w:hideMark/>
          </w:tcPr>
          <w:p w14:paraId="26718C6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roofErr w:type="spellStart"/>
            <w:r w:rsidRPr="00C248E8">
              <w:rPr>
                <w:rFonts w:ascii="Times New Roman" w:eastAsia="Malgun Gothic" w:hAnsi="Times New Roman" w:cs="Times New Roman"/>
                <w:iCs/>
                <w:sz w:val="24"/>
                <w:szCs w:val="24"/>
                <w:lang w:eastAsia="ko-KR"/>
              </w:rPr>
              <w:t>Proc_Food</w:t>
            </w:r>
            <w:proofErr w:type="spellEnd"/>
          </w:p>
        </w:tc>
        <w:tc>
          <w:tcPr>
            <w:tcW w:w="240" w:type="dxa"/>
            <w:tcBorders>
              <w:top w:val="nil"/>
              <w:left w:val="nil"/>
              <w:bottom w:val="nil"/>
              <w:right w:val="nil"/>
            </w:tcBorders>
            <w:shd w:val="clear" w:color="auto" w:fill="auto"/>
            <w:noWrap/>
            <w:vAlign w:val="bottom"/>
            <w:hideMark/>
          </w:tcPr>
          <w:p w14:paraId="6D2326D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90" w:type="dxa"/>
            <w:tcBorders>
              <w:top w:val="nil"/>
              <w:left w:val="nil"/>
              <w:bottom w:val="single" w:sz="8" w:space="0" w:color="auto"/>
              <w:right w:val="nil"/>
            </w:tcBorders>
            <w:shd w:val="clear" w:color="auto" w:fill="auto"/>
            <w:noWrap/>
            <w:vAlign w:val="bottom"/>
            <w:hideMark/>
          </w:tcPr>
          <w:p w14:paraId="78973DB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Crops</w:t>
            </w:r>
          </w:p>
        </w:tc>
        <w:tc>
          <w:tcPr>
            <w:tcW w:w="1163" w:type="dxa"/>
            <w:tcBorders>
              <w:top w:val="nil"/>
              <w:left w:val="nil"/>
              <w:bottom w:val="single" w:sz="8" w:space="0" w:color="auto"/>
              <w:right w:val="nil"/>
            </w:tcBorders>
            <w:shd w:val="clear" w:color="auto" w:fill="auto"/>
            <w:noWrap/>
            <w:vAlign w:val="bottom"/>
            <w:hideMark/>
          </w:tcPr>
          <w:p w14:paraId="5D273CF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Livestock</w:t>
            </w:r>
          </w:p>
        </w:tc>
        <w:tc>
          <w:tcPr>
            <w:tcW w:w="1270" w:type="dxa"/>
            <w:tcBorders>
              <w:top w:val="nil"/>
              <w:left w:val="nil"/>
              <w:bottom w:val="single" w:sz="8" w:space="0" w:color="auto"/>
              <w:right w:val="nil"/>
            </w:tcBorders>
            <w:shd w:val="clear" w:color="auto" w:fill="auto"/>
            <w:noWrap/>
            <w:vAlign w:val="bottom"/>
            <w:hideMark/>
          </w:tcPr>
          <w:p w14:paraId="455AC57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roofErr w:type="spellStart"/>
            <w:r w:rsidRPr="00C248E8">
              <w:rPr>
                <w:rFonts w:ascii="Times New Roman" w:eastAsia="Malgun Gothic" w:hAnsi="Times New Roman" w:cs="Times New Roman"/>
                <w:iCs/>
                <w:sz w:val="24"/>
                <w:szCs w:val="24"/>
                <w:lang w:eastAsia="ko-KR"/>
              </w:rPr>
              <w:t>Proc_Food</w:t>
            </w:r>
            <w:proofErr w:type="spellEnd"/>
          </w:p>
        </w:tc>
      </w:tr>
      <w:tr w:rsidR="00C248E8" w:rsidRPr="00C248E8" w14:paraId="297C06EA" w14:textId="77777777" w:rsidTr="00994AE3">
        <w:trPr>
          <w:trHeight w:val="356"/>
        </w:trPr>
        <w:tc>
          <w:tcPr>
            <w:tcW w:w="2562" w:type="dxa"/>
            <w:tcBorders>
              <w:top w:val="nil"/>
              <w:left w:val="nil"/>
              <w:bottom w:val="nil"/>
              <w:right w:val="nil"/>
            </w:tcBorders>
            <w:shd w:val="clear" w:color="auto" w:fill="auto"/>
            <w:noWrap/>
            <w:vAlign w:val="bottom"/>
            <w:hideMark/>
          </w:tcPr>
          <w:p w14:paraId="557459D5"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East of Europe</w:t>
            </w:r>
          </w:p>
        </w:tc>
        <w:tc>
          <w:tcPr>
            <w:tcW w:w="790" w:type="dxa"/>
            <w:tcBorders>
              <w:top w:val="nil"/>
              <w:left w:val="nil"/>
              <w:bottom w:val="nil"/>
              <w:right w:val="nil"/>
            </w:tcBorders>
            <w:shd w:val="clear" w:color="auto" w:fill="auto"/>
            <w:noWrap/>
            <w:vAlign w:val="bottom"/>
            <w:hideMark/>
          </w:tcPr>
          <w:p w14:paraId="6BA726E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-15.9</w:t>
            </w:r>
          </w:p>
        </w:tc>
        <w:tc>
          <w:tcPr>
            <w:tcW w:w="1163" w:type="dxa"/>
            <w:tcBorders>
              <w:top w:val="nil"/>
              <w:left w:val="nil"/>
              <w:bottom w:val="nil"/>
              <w:right w:val="nil"/>
            </w:tcBorders>
            <w:shd w:val="clear" w:color="auto" w:fill="auto"/>
            <w:noWrap/>
            <w:vAlign w:val="bottom"/>
            <w:hideMark/>
          </w:tcPr>
          <w:p w14:paraId="068B722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-46.2</w:t>
            </w:r>
          </w:p>
        </w:tc>
        <w:tc>
          <w:tcPr>
            <w:tcW w:w="1270" w:type="dxa"/>
            <w:tcBorders>
              <w:top w:val="nil"/>
              <w:left w:val="nil"/>
              <w:bottom w:val="nil"/>
              <w:right w:val="nil"/>
            </w:tcBorders>
            <w:shd w:val="clear" w:color="auto" w:fill="auto"/>
            <w:noWrap/>
            <w:vAlign w:val="bottom"/>
            <w:hideMark/>
          </w:tcPr>
          <w:p w14:paraId="2EA7627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-35.3</w:t>
            </w:r>
          </w:p>
        </w:tc>
        <w:tc>
          <w:tcPr>
            <w:tcW w:w="240" w:type="dxa"/>
            <w:tcBorders>
              <w:top w:val="nil"/>
              <w:left w:val="nil"/>
              <w:bottom w:val="nil"/>
              <w:right w:val="nil"/>
            </w:tcBorders>
            <w:shd w:val="clear" w:color="auto" w:fill="auto"/>
            <w:noWrap/>
            <w:vAlign w:val="bottom"/>
            <w:hideMark/>
          </w:tcPr>
          <w:p w14:paraId="667850D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90" w:type="dxa"/>
            <w:tcBorders>
              <w:top w:val="nil"/>
              <w:left w:val="nil"/>
              <w:bottom w:val="nil"/>
              <w:right w:val="nil"/>
            </w:tcBorders>
            <w:shd w:val="clear" w:color="auto" w:fill="auto"/>
            <w:noWrap/>
            <w:vAlign w:val="bottom"/>
            <w:hideMark/>
          </w:tcPr>
          <w:p w14:paraId="30C1D5A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-14.6</w:t>
            </w:r>
          </w:p>
        </w:tc>
        <w:tc>
          <w:tcPr>
            <w:tcW w:w="1163" w:type="dxa"/>
            <w:tcBorders>
              <w:top w:val="nil"/>
              <w:left w:val="nil"/>
              <w:bottom w:val="nil"/>
              <w:right w:val="nil"/>
            </w:tcBorders>
            <w:shd w:val="clear" w:color="auto" w:fill="auto"/>
            <w:noWrap/>
            <w:vAlign w:val="bottom"/>
            <w:hideMark/>
          </w:tcPr>
          <w:p w14:paraId="172ED63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-64.9</w:t>
            </w:r>
          </w:p>
        </w:tc>
        <w:tc>
          <w:tcPr>
            <w:tcW w:w="1270" w:type="dxa"/>
            <w:tcBorders>
              <w:top w:val="nil"/>
              <w:left w:val="nil"/>
              <w:bottom w:val="nil"/>
              <w:right w:val="nil"/>
            </w:tcBorders>
            <w:shd w:val="clear" w:color="auto" w:fill="auto"/>
            <w:noWrap/>
            <w:vAlign w:val="bottom"/>
            <w:hideMark/>
          </w:tcPr>
          <w:p w14:paraId="7ADDC92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-22.0</w:t>
            </w:r>
          </w:p>
        </w:tc>
      </w:tr>
      <w:tr w:rsidR="00C248E8" w:rsidRPr="00C248E8" w14:paraId="7F106382" w14:textId="77777777" w:rsidTr="00994AE3">
        <w:trPr>
          <w:trHeight w:val="356"/>
        </w:trPr>
        <w:tc>
          <w:tcPr>
            <w:tcW w:w="2562" w:type="dxa"/>
            <w:tcBorders>
              <w:top w:val="nil"/>
              <w:left w:val="nil"/>
              <w:bottom w:val="nil"/>
              <w:right w:val="nil"/>
            </w:tcBorders>
            <w:shd w:val="clear" w:color="auto" w:fill="auto"/>
            <w:noWrap/>
            <w:vAlign w:val="bottom"/>
            <w:hideMark/>
          </w:tcPr>
          <w:p w14:paraId="1621F5C9"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South America</w:t>
            </w:r>
          </w:p>
        </w:tc>
        <w:tc>
          <w:tcPr>
            <w:tcW w:w="790" w:type="dxa"/>
            <w:tcBorders>
              <w:top w:val="nil"/>
              <w:left w:val="nil"/>
              <w:bottom w:val="nil"/>
              <w:right w:val="nil"/>
            </w:tcBorders>
            <w:shd w:val="clear" w:color="auto" w:fill="auto"/>
            <w:noWrap/>
            <w:vAlign w:val="bottom"/>
            <w:hideMark/>
          </w:tcPr>
          <w:p w14:paraId="2FDECB0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12.0</w:t>
            </w:r>
          </w:p>
        </w:tc>
        <w:tc>
          <w:tcPr>
            <w:tcW w:w="1163" w:type="dxa"/>
            <w:tcBorders>
              <w:top w:val="nil"/>
              <w:left w:val="nil"/>
              <w:bottom w:val="nil"/>
              <w:right w:val="nil"/>
            </w:tcBorders>
            <w:shd w:val="clear" w:color="auto" w:fill="auto"/>
            <w:noWrap/>
            <w:vAlign w:val="bottom"/>
            <w:hideMark/>
          </w:tcPr>
          <w:p w14:paraId="111FAF6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-39.2</w:t>
            </w:r>
          </w:p>
        </w:tc>
        <w:tc>
          <w:tcPr>
            <w:tcW w:w="1270" w:type="dxa"/>
            <w:tcBorders>
              <w:top w:val="nil"/>
              <w:left w:val="nil"/>
              <w:bottom w:val="nil"/>
              <w:right w:val="nil"/>
            </w:tcBorders>
            <w:shd w:val="clear" w:color="auto" w:fill="auto"/>
            <w:noWrap/>
            <w:vAlign w:val="bottom"/>
            <w:hideMark/>
          </w:tcPr>
          <w:p w14:paraId="0799A0F3"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-60.5</w:t>
            </w:r>
          </w:p>
        </w:tc>
        <w:tc>
          <w:tcPr>
            <w:tcW w:w="240" w:type="dxa"/>
            <w:tcBorders>
              <w:top w:val="nil"/>
              <w:left w:val="nil"/>
              <w:bottom w:val="nil"/>
              <w:right w:val="nil"/>
            </w:tcBorders>
            <w:shd w:val="clear" w:color="auto" w:fill="auto"/>
            <w:noWrap/>
            <w:vAlign w:val="bottom"/>
            <w:hideMark/>
          </w:tcPr>
          <w:p w14:paraId="2BC02E2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90" w:type="dxa"/>
            <w:tcBorders>
              <w:top w:val="nil"/>
              <w:left w:val="nil"/>
              <w:bottom w:val="nil"/>
              <w:right w:val="nil"/>
            </w:tcBorders>
            <w:shd w:val="clear" w:color="auto" w:fill="auto"/>
            <w:noWrap/>
            <w:vAlign w:val="bottom"/>
            <w:hideMark/>
          </w:tcPr>
          <w:p w14:paraId="06B801B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13.7</w:t>
            </w:r>
          </w:p>
        </w:tc>
        <w:tc>
          <w:tcPr>
            <w:tcW w:w="1163" w:type="dxa"/>
            <w:tcBorders>
              <w:top w:val="nil"/>
              <w:left w:val="nil"/>
              <w:bottom w:val="nil"/>
              <w:right w:val="nil"/>
            </w:tcBorders>
            <w:shd w:val="clear" w:color="auto" w:fill="auto"/>
            <w:noWrap/>
            <w:vAlign w:val="bottom"/>
            <w:hideMark/>
          </w:tcPr>
          <w:p w14:paraId="5C257D2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-60.3</w:t>
            </w:r>
          </w:p>
        </w:tc>
        <w:tc>
          <w:tcPr>
            <w:tcW w:w="1270" w:type="dxa"/>
            <w:tcBorders>
              <w:top w:val="nil"/>
              <w:left w:val="nil"/>
              <w:bottom w:val="nil"/>
              <w:right w:val="nil"/>
            </w:tcBorders>
            <w:shd w:val="clear" w:color="auto" w:fill="auto"/>
            <w:noWrap/>
            <w:vAlign w:val="bottom"/>
            <w:hideMark/>
          </w:tcPr>
          <w:p w14:paraId="253F0E3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-45.8</w:t>
            </w:r>
          </w:p>
        </w:tc>
      </w:tr>
      <w:tr w:rsidR="00C248E8" w:rsidRPr="00C248E8" w14:paraId="682B2A73" w14:textId="77777777" w:rsidTr="00994AE3">
        <w:trPr>
          <w:trHeight w:val="356"/>
        </w:trPr>
        <w:tc>
          <w:tcPr>
            <w:tcW w:w="2562" w:type="dxa"/>
            <w:tcBorders>
              <w:top w:val="nil"/>
              <w:left w:val="nil"/>
              <w:bottom w:val="nil"/>
              <w:right w:val="nil"/>
            </w:tcBorders>
            <w:shd w:val="clear" w:color="auto" w:fill="auto"/>
            <w:noWrap/>
            <w:vAlign w:val="bottom"/>
            <w:hideMark/>
          </w:tcPr>
          <w:p w14:paraId="32C68024"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Aust&amp; N. Zealand</w:t>
            </w:r>
          </w:p>
        </w:tc>
        <w:tc>
          <w:tcPr>
            <w:tcW w:w="790" w:type="dxa"/>
            <w:tcBorders>
              <w:top w:val="nil"/>
              <w:left w:val="nil"/>
              <w:bottom w:val="nil"/>
              <w:right w:val="nil"/>
            </w:tcBorders>
            <w:shd w:val="clear" w:color="auto" w:fill="auto"/>
            <w:noWrap/>
            <w:vAlign w:val="bottom"/>
            <w:hideMark/>
          </w:tcPr>
          <w:p w14:paraId="042EC01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10.3</w:t>
            </w:r>
          </w:p>
        </w:tc>
        <w:tc>
          <w:tcPr>
            <w:tcW w:w="1163" w:type="dxa"/>
            <w:tcBorders>
              <w:top w:val="nil"/>
              <w:left w:val="nil"/>
              <w:bottom w:val="nil"/>
              <w:right w:val="nil"/>
            </w:tcBorders>
            <w:shd w:val="clear" w:color="auto" w:fill="auto"/>
            <w:noWrap/>
            <w:vAlign w:val="bottom"/>
            <w:hideMark/>
          </w:tcPr>
          <w:p w14:paraId="108D0CF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-52.7</w:t>
            </w:r>
          </w:p>
        </w:tc>
        <w:tc>
          <w:tcPr>
            <w:tcW w:w="1270" w:type="dxa"/>
            <w:tcBorders>
              <w:top w:val="nil"/>
              <w:left w:val="nil"/>
              <w:bottom w:val="nil"/>
              <w:right w:val="nil"/>
            </w:tcBorders>
            <w:shd w:val="clear" w:color="auto" w:fill="auto"/>
            <w:noWrap/>
            <w:vAlign w:val="bottom"/>
            <w:hideMark/>
          </w:tcPr>
          <w:p w14:paraId="0E3790A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-31.5</w:t>
            </w:r>
          </w:p>
        </w:tc>
        <w:tc>
          <w:tcPr>
            <w:tcW w:w="240" w:type="dxa"/>
            <w:tcBorders>
              <w:top w:val="nil"/>
              <w:left w:val="nil"/>
              <w:bottom w:val="nil"/>
              <w:right w:val="nil"/>
            </w:tcBorders>
            <w:shd w:val="clear" w:color="auto" w:fill="auto"/>
            <w:noWrap/>
            <w:vAlign w:val="bottom"/>
            <w:hideMark/>
          </w:tcPr>
          <w:p w14:paraId="04B4917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90" w:type="dxa"/>
            <w:tcBorders>
              <w:top w:val="nil"/>
              <w:left w:val="nil"/>
              <w:bottom w:val="nil"/>
              <w:right w:val="nil"/>
            </w:tcBorders>
            <w:shd w:val="clear" w:color="auto" w:fill="auto"/>
            <w:noWrap/>
            <w:vAlign w:val="bottom"/>
            <w:hideMark/>
          </w:tcPr>
          <w:p w14:paraId="1E3C2F7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12.0</w:t>
            </w:r>
          </w:p>
        </w:tc>
        <w:tc>
          <w:tcPr>
            <w:tcW w:w="1163" w:type="dxa"/>
            <w:tcBorders>
              <w:top w:val="nil"/>
              <w:left w:val="nil"/>
              <w:bottom w:val="nil"/>
              <w:right w:val="nil"/>
            </w:tcBorders>
            <w:shd w:val="clear" w:color="auto" w:fill="auto"/>
            <w:noWrap/>
            <w:vAlign w:val="bottom"/>
            <w:hideMark/>
          </w:tcPr>
          <w:p w14:paraId="05F5771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-69.1</w:t>
            </w:r>
          </w:p>
        </w:tc>
        <w:tc>
          <w:tcPr>
            <w:tcW w:w="1270" w:type="dxa"/>
            <w:tcBorders>
              <w:top w:val="nil"/>
              <w:left w:val="nil"/>
              <w:bottom w:val="nil"/>
              <w:right w:val="nil"/>
            </w:tcBorders>
            <w:shd w:val="clear" w:color="auto" w:fill="auto"/>
            <w:noWrap/>
            <w:vAlign w:val="bottom"/>
            <w:hideMark/>
          </w:tcPr>
          <w:p w14:paraId="34E59FA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-18.4</w:t>
            </w:r>
          </w:p>
        </w:tc>
      </w:tr>
      <w:tr w:rsidR="00C248E8" w:rsidRPr="00C248E8" w14:paraId="03D32247" w14:textId="77777777" w:rsidTr="00994AE3">
        <w:trPr>
          <w:trHeight w:val="356"/>
        </w:trPr>
        <w:tc>
          <w:tcPr>
            <w:tcW w:w="2562" w:type="dxa"/>
            <w:tcBorders>
              <w:top w:val="nil"/>
              <w:left w:val="nil"/>
              <w:bottom w:val="nil"/>
              <w:right w:val="nil"/>
            </w:tcBorders>
            <w:shd w:val="clear" w:color="auto" w:fill="auto"/>
            <w:noWrap/>
            <w:vAlign w:val="bottom"/>
            <w:hideMark/>
          </w:tcPr>
          <w:p w14:paraId="5B087AFB"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Europe</w:t>
            </w:r>
          </w:p>
        </w:tc>
        <w:tc>
          <w:tcPr>
            <w:tcW w:w="790" w:type="dxa"/>
            <w:tcBorders>
              <w:top w:val="nil"/>
              <w:left w:val="nil"/>
              <w:bottom w:val="nil"/>
              <w:right w:val="nil"/>
            </w:tcBorders>
            <w:shd w:val="clear" w:color="auto" w:fill="auto"/>
            <w:noWrap/>
            <w:vAlign w:val="bottom"/>
            <w:hideMark/>
          </w:tcPr>
          <w:p w14:paraId="6F62DD0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-3.8</w:t>
            </w:r>
          </w:p>
        </w:tc>
        <w:tc>
          <w:tcPr>
            <w:tcW w:w="1163" w:type="dxa"/>
            <w:tcBorders>
              <w:top w:val="nil"/>
              <w:left w:val="nil"/>
              <w:bottom w:val="nil"/>
              <w:right w:val="nil"/>
            </w:tcBorders>
            <w:shd w:val="clear" w:color="auto" w:fill="auto"/>
            <w:noWrap/>
            <w:vAlign w:val="bottom"/>
            <w:hideMark/>
          </w:tcPr>
          <w:p w14:paraId="3EC63A5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-42.4</w:t>
            </w:r>
          </w:p>
        </w:tc>
        <w:tc>
          <w:tcPr>
            <w:tcW w:w="1270" w:type="dxa"/>
            <w:tcBorders>
              <w:top w:val="nil"/>
              <w:left w:val="nil"/>
              <w:bottom w:val="nil"/>
              <w:right w:val="nil"/>
            </w:tcBorders>
            <w:shd w:val="clear" w:color="auto" w:fill="auto"/>
            <w:noWrap/>
            <w:vAlign w:val="bottom"/>
            <w:hideMark/>
          </w:tcPr>
          <w:p w14:paraId="55B8417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-49.5</w:t>
            </w:r>
          </w:p>
        </w:tc>
        <w:tc>
          <w:tcPr>
            <w:tcW w:w="240" w:type="dxa"/>
            <w:tcBorders>
              <w:top w:val="nil"/>
              <w:left w:val="nil"/>
              <w:bottom w:val="nil"/>
              <w:right w:val="nil"/>
            </w:tcBorders>
            <w:shd w:val="clear" w:color="auto" w:fill="auto"/>
            <w:noWrap/>
            <w:vAlign w:val="bottom"/>
            <w:hideMark/>
          </w:tcPr>
          <w:p w14:paraId="18B45EB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90" w:type="dxa"/>
            <w:tcBorders>
              <w:top w:val="nil"/>
              <w:left w:val="nil"/>
              <w:bottom w:val="nil"/>
              <w:right w:val="nil"/>
            </w:tcBorders>
            <w:shd w:val="clear" w:color="auto" w:fill="auto"/>
            <w:noWrap/>
            <w:vAlign w:val="bottom"/>
            <w:hideMark/>
          </w:tcPr>
          <w:p w14:paraId="5AA2E00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-2.3</w:t>
            </w:r>
          </w:p>
        </w:tc>
        <w:tc>
          <w:tcPr>
            <w:tcW w:w="1163" w:type="dxa"/>
            <w:tcBorders>
              <w:top w:val="nil"/>
              <w:left w:val="nil"/>
              <w:bottom w:val="nil"/>
              <w:right w:val="nil"/>
            </w:tcBorders>
            <w:shd w:val="clear" w:color="auto" w:fill="auto"/>
            <w:noWrap/>
            <w:vAlign w:val="bottom"/>
            <w:hideMark/>
          </w:tcPr>
          <w:p w14:paraId="35788FC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-62.4</w:t>
            </w:r>
          </w:p>
        </w:tc>
        <w:tc>
          <w:tcPr>
            <w:tcW w:w="1270" w:type="dxa"/>
            <w:tcBorders>
              <w:top w:val="nil"/>
              <w:left w:val="nil"/>
              <w:bottom w:val="nil"/>
              <w:right w:val="nil"/>
            </w:tcBorders>
            <w:shd w:val="clear" w:color="auto" w:fill="auto"/>
            <w:noWrap/>
            <w:vAlign w:val="bottom"/>
            <w:hideMark/>
          </w:tcPr>
          <w:p w14:paraId="6D30CA7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-33.1</w:t>
            </w:r>
          </w:p>
        </w:tc>
      </w:tr>
      <w:tr w:rsidR="00C248E8" w:rsidRPr="00C248E8" w14:paraId="1AE8B281" w14:textId="77777777" w:rsidTr="00994AE3">
        <w:trPr>
          <w:trHeight w:val="356"/>
        </w:trPr>
        <w:tc>
          <w:tcPr>
            <w:tcW w:w="2562" w:type="dxa"/>
            <w:tcBorders>
              <w:top w:val="nil"/>
              <w:left w:val="nil"/>
              <w:bottom w:val="nil"/>
              <w:right w:val="nil"/>
            </w:tcBorders>
            <w:shd w:val="clear" w:color="auto" w:fill="auto"/>
            <w:noWrap/>
            <w:vAlign w:val="bottom"/>
            <w:hideMark/>
          </w:tcPr>
          <w:p w14:paraId="55D6AD5F"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South Africa</w:t>
            </w:r>
          </w:p>
        </w:tc>
        <w:tc>
          <w:tcPr>
            <w:tcW w:w="790" w:type="dxa"/>
            <w:tcBorders>
              <w:top w:val="nil"/>
              <w:left w:val="nil"/>
              <w:bottom w:val="nil"/>
              <w:right w:val="nil"/>
            </w:tcBorders>
            <w:shd w:val="clear" w:color="auto" w:fill="auto"/>
            <w:noWrap/>
            <w:vAlign w:val="bottom"/>
            <w:hideMark/>
          </w:tcPr>
          <w:p w14:paraId="27C5FC7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31.3</w:t>
            </w:r>
          </w:p>
        </w:tc>
        <w:tc>
          <w:tcPr>
            <w:tcW w:w="1163" w:type="dxa"/>
            <w:tcBorders>
              <w:top w:val="nil"/>
              <w:left w:val="nil"/>
              <w:bottom w:val="nil"/>
              <w:right w:val="nil"/>
            </w:tcBorders>
            <w:shd w:val="clear" w:color="auto" w:fill="auto"/>
            <w:noWrap/>
            <w:vAlign w:val="bottom"/>
            <w:hideMark/>
          </w:tcPr>
          <w:p w14:paraId="71732ABC"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16.1</w:t>
            </w:r>
          </w:p>
        </w:tc>
        <w:tc>
          <w:tcPr>
            <w:tcW w:w="1270" w:type="dxa"/>
            <w:tcBorders>
              <w:top w:val="nil"/>
              <w:left w:val="nil"/>
              <w:bottom w:val="nil"/>
              <w:right w:val="nil"/>
            </w:tcBorders>
            <w:shd w:val="clear" w:color="auto" w:fill="auto"/>
            <w:noWrap/>
            <w:vAlign w:val="bottom"/>
            <w:hideMark/>
          </w:tcPr>
          <w:p w14:paraId="6A3B4F6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-140.1</w:t>
            </w:r>
          </w:p>
        </w:tc>
        <w:tc>
          <w:tcPr>
            <w:tcW w:w="240" w:type="dxa"/>
            <w:tcBorders>
              <w:top w:val="nil"/>
              <w:left w:val="nil"/>
              <w:bottom w:val="nil"/>
              <w:right w:val="nil"/>
            </w:tcBorders>
            <w:shd w:val="clear" w:color="auto" w:fill="auto"/>
            <w:noWrap/>
            <w:vAlign w:val="bottom"/>
            <w:hideMark/>
          </w:tcPr>
          <w:p w14:paraId="00620BD9"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90" w:type="dxa"/>
            <w:tcBorders>
              <w:top w:val="nil"/>
              <w:left w:val="nil"/>
              <w:bottom w:val="nil"/>
              <w:right w:val="nil"/>
            </w:tcBorders>
            <w:shd w:val="clear" w:color="auto" w:fill="auto"/>
            <w:noWrap/>
            <w:vAlign w:val="bottom"/>
            <w:hideMark/>
          </w:tcPr>
          <w:p w14:paraId="4C6D26C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33.3</w:t>
            </w:r>
          </w:p>
        </w:tc>
        <w:tc>
          <w:tcPr>
            <w:tcW w:w="1163" w:type="dxa"/>
            <w:tcBorders>
              <w:top w:val="nil"/>
              <w:left w:val="nil"/>
              <w:bottom w:val="nil"/>
              <w:right w:val="nil"/>
            </w:tcBorders>
            <w:shd w:val="clear" w:color="auto" w:fill="auto"/>
            <w:noWrap/>
            <w:vAlign w:val="bottom"/>
            <w:hideMark/>
          </w:tcPr>
          <w:p w14:paraId="12745FF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-24.3</w:t>
            </w:r>
          </w:p>
        </w:tc>
        <w:tc>
          <w:tcPr>
            <w:tcW w:w="1270" w:type="dxa"/>
            <w:tcBorders>
              <w:top w:val="nil"/>
              <w:left w:val="nil"/>
              <w:bottom w:val="nil"/>
              <w:right w:val="nil"/>
            </w:tcBorders>
            <w:shd w:val="clear" w:color="auto" w:fill="auto"/>
            <w:noWrap/>
            <w:vAlign w:val="bottom"/>
            <w:hideMark/>
          </w:tcPr>
          <w:p w14:paraId="1591F17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-123.9</w:t>
            </w:r>
          </w:p>
        </w:tc>
      </w:tr>
      <w:tr w:rsidR="00C248E8" w:rsidRPr="00C248E8" w14:paraId="090DE3AD" w14:textId="77777777" w:rsidTr="00994AE3">
        <w:trPr>
          <w:trHeight w:val="356"/>
        </w:trPr>
        <w:tc>
          <w:tcPr>
            <w:tcW w:w="2562" w:type="dxa"/>
            <w:tcBorders>
              <w:top w:val="nil"/>
              <w:left w:val="nil"/>
              <w:bottom w:val="nil"/>
              <w:right w:val="nil"/>
            </w:tcBorders>
            <w:shd w:val="clear" w:color="auto" w:fill="auto"/>
            <w:noWrap/>
            <w:vAlign w:val="bottom"/>
            <w:hideMark/>
          </w:tcPr>
          <w:p w14:paraId="6C14BDA7"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Canada &amp; US</w:t>
            </w:r>
          </w:p>
        </w:tc>
        <w:tc>
          <w:tcPr>
            <w:tcW w:w="790" w:type="dxa"/>
            <w:tcBorders>
              <w:top w:val="nil"/>
              <w:left w:val="nil"/>
              <w:bottom w:val="nil"/>
              <w:right w:val="nil"/>
            </w:tcBorders>
            <w:shd w:val="clear" w:color="auto" w:fill="auto"/>
            <w:noWrap/>
            <w:vAlign w:val="bottom"/>
            <w:hideMark/>
          </w:tcPr>
          <w:p w14:paraId="72BC91B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-3.7</w:t>
            </w:r>
          </w:p>
        </w:tc>
        <w:tc>
          <w:tcPr>
            <w:tcW w:w="1163" w:type="dxa"/>
            <w:tcBorders>
              <w:top w:val="nil"/>
              <w:left w:val="nil"/>
              <w:bottom w:val="nil"/>
              <w:right w:val="nil"/>
            </w:tcBorders>
            <w:shd w:val="clear" w:color="auto" w:fill="auto"/>
            <w:noWrap/>
            <w:vAlign w:val="bottom"/>
            <w:hideMark/>
          </w:tcPr>
          <w:p w14:paraId="473043B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-54.1</w:t>
            </w:r>
          </w:p>
        </w:tc>
        <w:tc>
          <w:tcPr>
            <w:tcW w:w="1270" w:type="dxa"/>
            <w:tcBorders>
              <w:top w:val="nil"/>
              <w:left w:val="nil"/>
              <w:bottom w:val="nil"/>
              <w:right w:val="nil"/>
            </w:tcBorders>
            <w:shd w:val="clear" w:color="auto" w:fill="auto"/>
            <w:noWrap/>
            <w:vAlign w:val="bottom"/>
            <w:hideMark/>
          </w:tcPr>
          <w:p w14:paraId="21A3DDD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-48.9</w:t>
            </w:r>
          </w:p>
        </w:tc>
        <w:tc>
          <w:tcPr>
            <w:tcW w:w="240" w:type="dxa"/>
            <w:tcBorders>
              <w:top w:val="nil"/>
              <w:left w:val="nil"/>
              <w:bottom w:val="nil"/>
              <w:right w:val="nil"/>
            </w:tcBorders>
            <w:shd w:val="clear" w:color="auto" w:fill="auto"/>
            <w:noWrap/>
            <w:vAlign w:val="bottom"/>
            <w:hideMark/>
          </w:tcPr>
          <w:p w14:paraId="26833B3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90" w:type="dxa"/>
            <w:tcBorders>
              <w:top w:val="nil"/>
              <w:left w:val="nil"/>
              <w:bottom w:val="nil"/>
              <w:right w:val="nil"/>
            </w:tcBorders>
            <w:shd w:val="clear" w:color="auto" w:fill="auto"/>
            <w:noWrap/>
            <w:vAlign w:val="bottom"/>
            <w:hideMark/>
          </w:tcPr>
          <w:p w14:paraId="1383248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-2.3</w:t>
            </w:r>
          </w:p>
        </w:tc>
        <w:tc>
          <w:tcPr>
            <w:tcW w:w="1163" w:type="dxa"/>
            <w:tcBorders>
              <w:top w:val="nil"/>
              <w:left w:val="nil"/>
              <w:bottom w:val="nil"/>
              <w:right w:val="nil"/>
            </w:tcBorders>
            <w:shd w:val="clear" w:color="auto" w:fill="auto"/>
            <w:noWrap/>
            <w:vAlign w:val="bottom"/>
            <w:hideMark/>
          </w:tcPr>
          <w:p w14:paraId="291CA1A3"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-70.1</w:t>
            </w:r>
          </w:p>
        </w:tc>
        <w:tc>
          <w:tcPr>
            <w:tcW w:w="1270" w:type="dxa"/>
            <w:tcBorders>
              <w:top w:val="nil"/>
              <w:left w:val="nil"/>
              <w:bottom w:val="nil"/>
              <w:right w:val="nil"/>
            </w:tcBorders>
            <w:shd w:val="clear" w:color="auto" w:fill="auto"/>
            <w:noWrap/>
            <w:vAlign w:val="bottom"/>
            <w:hideMark/>
          </w:tcPr>
          <w:p w14:paraId="4A71C13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-41.7</w:t>
            </w:r>
          </w:p>
        </w:tc>
      </w:tr>
      <w:tr w:rsidR="00C248E8" w:rsidRPr="00C248E8" w14:paraId="27ECF574" w14:textId="77777777" w:rsidTr="00994AE3">
        <w:trPr>
          <w:trHeight w:val="356"/>
        </w:trPr>
        <w:tc>
          <w:tcPr>
            <w:tcW w:w="2562" w:type="dxa"/>
            <w:tcBorders>
              <w:top w:val="nil"/>
              <w:left w:val="nil"/>
              <w:bottom w:val="nil"/>
              <w:right w:val="nil"/>
            </w:tcBorders>
            <w:shd w:val="clear" w:color="auto" w:fill="auto"/>
            <w:noWrap/>
            <w:vAlign w:val="bottom"/>
            <w:hideMark/>
          </w:tcPr>
          <w:p w14:paraId="74E41A05"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China</w:t>
            </w:r>
          </w:p>
        </w:tc>
        <w:tc>
          <w:tcPr>
            <w:tcW w:w="790" w:type="dxa"/>
            <w:tcBorders>
              <w:top w:val="nil"/>
              <w:left w:val="nil"/>
              <w:bottom w:val="nil"/>
              <w:right w:val="nil"/>
            </w:tcBorders>
            <w:shd w:val="clear" w:color="auto" w:fill="auto"/>
            <w:noWrap/>
            <w:vAlign w:val="bottom"/>
            <w:hideMark/>
          </w:tcPr>
          <w:p w14:paraId="6DC7182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-37.2</w:t>
            </w:r>
          </w:p>
        </w:tc>
        <w:tc>
          <w:tcPr>
            <w:tcW w:w="1163" w:type="dxa"/>
            <w:tcBorders>
              <w:top w:val="nil"/>
              <w:left w:val="nil"/>
              <w:bottom w:val="nil"/>
              <w:right w:val="nil"/>
            </w:tcBorders>
            <w:shd w:val="clear" w:color="auto" w:fill="auto"/>
            <w:noWrap/>
            <w:vAlign w:val="bottom"/>
            <w:hideMark/>
          </w:tcPr>
          <w:p w14:paraId="09F7084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-3.4</w:t>
            </w:r>
          </w:p>
        </w:tc>
        <w:tc>
          <w:tcPr>
            <w:tcW w:w="1270" w:type="dxa"/>
            <w:tcBorders>
              <w:top w:val="nil"/>
              <w:left w:val="nil"/>
              <w:bottom w:val="nil"/>
              <w:right w:val="nil"/>
            </w:tcBorders>
            <w:shd w:val="clear" w:color="auto" w:fill="auto"/>
            <w:noWrap/>
            <w:vAlign w:val="bottom"/>
            <w:hideMark/>
          </w:tcPr>
          <w:p w14:paraId="65048F5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-40.8</w:t>
            </w:r>
          </w:p>
        </w:tc>
        <w:tc>
          <w:tcPr>
            <w:tcW w:w="240" w:type="dxa"/>
            <w:tcBorders>
              <w:top w:val="nil"/>
              <w:left w:val="nil"/>
              <w:bottom w:val="nil"/>
              <w:right w:val="nil"/>
            </w:tcBorders>
            <w:shd w:val="clear" w:color="auto" w:fill="auto"/>
            <w:noWrap/>
            <w:vAlign w:val="bottom"/>
            <w:hideMark/>
          </w:tcPr>
          <w:p w14:paraId="7AFBBB6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90" w:type="dxa"/>
            <w:tcBorders>
              <w:top w:val="nil"/>
              <w:left w:val="nil"/>
              <w:bottom w:val="nil"/>
              <w:right w:val="nil"/>
            </w:tcBorders>
            <w:shd w:val="clear" w:color="auto" w:fill="auto"/>
            <w:noWrap/>
            <w:vAlign w:val="bottom"/>
            <w:hideMark/>
          </w:tcPr>
          <w:p w14:paraId="2650F3C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-36.2</w:t>
            </w:r>
          </w:p>
        </w:tc>
        <w:tc>
          <w:tcPr>
            <w:tcW w:w="1163" w:type="dxa"/>
            <w:tcBorders>
              <w:top w:val="nil"/>
              <w:left w:val="nil"/>
              <w:bottom w:val="nil"/>
              <w:right w:val="nil"/>
            </w:tcBorders>
            <w:shd w:val="clear" w:color="auto" w:fill="auto"/>
            <w:noWrap/>
            <w:vAlign w:val="bottom"/>
            <w:hideMark/>
          </w:tcPr>
          <w:p w14:paraId="0AA4C3E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-37.0</w:t>
            </w:r>
          </w:p>
        </w:tc>
        <w:tc>
          <w:tcPr>
            <w:tcW w:w="1270" w:type="dxa"/>
            <w:tcBorders>
              <w:top w:val="nil"/>
              <w:left w:val="nil"/>
              <w:bottom w:val="nil"/>
              <w:right w:val="nil"/>
            </w:tcBorders>
            <w:shd w:val="clear" w:color="auto" w:fill="auto"/>
            <w:noWrap/>
            <w:vAlign w:val="bottom"/>
            <w:hideMark/>
          </w:tcPr>
          <w:p w14:paraId="6DFD427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77.0</w:t>
            </w:r>
          </w:p>
        </w:tc>
      </w:tr>
      <w:tr w:rsidR="00C248E8" w:rsidRPr="00C248E8" w14:paraId="76B1A00B" w14:textId="77777777" w:rsidTr="00994AE3">
        <w:trPr>
          <w:trHeight w:val="356"/>
        </w:trPr>
        <w:tc>
          <w:tcPr>
            <w:tcW w:w="2562" w:type="dxa"/>
            <w:tcBorders>
              <w:top w:val="nil"/>
              <w:left w:val="nil"/>
              <w:bottom w:val="nil"/>
              <w:right w:val="nil"/>
            </w:tcBorders>
            <w:shd w:val="clear" w:color="auto" w:fill="auto"/>
            <w:noWrap/>
            <w:vAlign w:val="bottom"/>
            <w:hideMark/>
          </w:tcPr>
          <w:p w14:paraId="48912B99"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Japan and Korea</w:t>
            </w:r>
          </w:p>
        </w:tc>
        <w:tc>
          <w:tcPr>
            <w:tcW w:w="790" w:type="dxa"/>
            <w:tcBorders>
              <w:top w:val="nil"/>
              <w:left w:val="nil"/>
              <w:bottom w:val="nil"/>
              <w:right w:val="nil"/>
            </w:tcBorders>
            <w:shd w:val="clear" w:color="auto" w:fill="auto"/>
            <w:noWrap/>
            <w:vAlign w:val="bottom"/>
            <w:hideMark/>
          </w:tcPr>
          <w:p w14:paraId="044258D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11.5</w:t>
            </w:r>
          </w:p>
        </w:tc>
        <w:tc>
          <w:tcPr>
            <w:tcW w:w="1163" w:type="dxa"/>
            <w:tcBorders>
              <w:top w:val="nil"/>
              <w:left w:val="nil"/>
              <w:bottom w:val="nil"/>
              <w:right w:val="nil"/>
            </w:tcBorders>
            <w:shd w:val="clear" w:color="auto" w:fill="auto"/>
            <w:noWrap/>
            <w:vAlign w:val="bottom"/>
            <w:hideMark/>
          </w:tcPr>
          <w:p w14:paraId="0057C65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6.3</w:t>
            </w:r>
          </w:p>
        </w:tc>
        <w:tc>
          <w:tcPr>
            <w:tcW w:w="1270" w:type="dxa"/>
            <w:tcBorders>
              <w:top w:val="nil"/>
              <w:left w:val="nil"/>
              <w:bottom w:val="nil"/>
              <w:right w:val="nil"/>
            </w:tcBorders>
            <w:shd w:val="clear" w:color="auto" w:fill="auto"/>
            <w:noWrap/>
            <w:vAlign w:val="bottom"/>
            <w:hideMark/>
          </w:tcPr>
          <w:p w14:paraId="425FD57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-77.6</w:t>
            </w:r>
          </w:p>
        </w:tc>
        <w:tc>
          <w:tcPr>
            <w:tcW w:w="240" w:type="dxa"/>
            <w:tcBorders>
              <w:top w:val="nil"/>
              <w:left w:val="nil"/>
              <w:bottom w:val="nil"/>
              <w:right w:val="nil"/>
            </w:tcBorders>
            <w:shd w:val="clear" w:color="auto" w:fill="auto"/>
            <w:noWrap/>
            <w:vAlign w:val="bottom"/>
            <w:hideMark/>
          </w:tcPr>
          <w:p w14:paraId="718CE70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90" w:type="dxa"/>
            <w:tcBorders>
              <w:top w:val="nil"/>
              <w:left w:val="nil"/>
              <w:bottom w:val="nil"/>
              <w:right w:val="nil"/>
            </w:tcBorders>
            <w:shd w:val="clear" w:color="auto" w:fill="auto"/>
            <w:noWrap/>
            <w:vAlign w:val="bottom"/>
            <w:hideMark/>
          </w:tcPr>
          <w:p w14:paraId="4587297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13.2</w:t>
            </w:r>
          </w:p>
        </w:tc>
        <w:tc>
          <w:tcPr>
            <w:tcW w:w="1163" w:type="dxa"/>
            <w:tcBorders>
              <w:top w:val="nil"/>
              <w:left w:val="nil"/>
              <w:bottom w:val="nil"/>
              <w:right w:val="nil"/>
            </w:tcBorders>
            <w:shd w:val="clear" w:color="auto" w:fill="auto"/>
            <w:noWrap/>
            <w:vAlign w:val="bottom"/>
            <w:hideMark/>
          </w:tcPr>
          <w:p w14:paraId="6D4EB03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-30.7</w:t>
            </w:r>
          </w:p>
        </w:tc>
        <w:tc>
          <w:tcPr>
            <w:tcW w:w="1270" w:type="dxa"/>
            <w:tcBorders>
              <w:top w:val="nil"/>
              <w:left w:val="nil"/>
              <w:bottom w:val="nil"/>
              <w:right w:val="nil"/>
            </w:tcBorders>
            <w:shd w:val="clear" w:color="auto" w:fill="auto"/>
            <w:noWrap/>
            <w:vAlign w:val="bottom"/>
            <w:hideMark/>
          </w:tcPr>
          <w:p w14:paraId="7ECC179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-58.3</w:t>
            </w:r>
          </w:p>
        </w:tc>
      </w:tr>
      <w:tr w:rsidR="00C248E8" w:rsidRPr="00C248E8" w14:paraId="68A80AEA" w14:textId="77777777" w:rsidTr="00994AE3">
        <w:trPr>
          <w:trHeight w:val="373"/>
        </w:trPr>
        <w:tc>
          <w:tcPr>
            <w:tcW w:w="2562" w:type="dxa"/>
            <w:tcBorders>
              <w:top w:val="nil"/>
              <w:left w:val="nil"/>
              <w:bottom w:val="single" w:sz="8" w:space="0" w:color="auto"/>
              <w:right w:val="nil"/>
            </w:tcBorders>
            <w:shd w:val="clear" w:color="auto" w:fill="auto"/>
            <w:noWrap/>
            <w:vAlign w:val="bottom"/>
            <w:hideMark/>
          </w:tcPr>
          <w:p w14:paraId="1755BC03"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Central Asia</w:t>
            </w:r>
          </w:p>
        </w:tc>
        <w:tc>
          <w:tcPr>
            <w:tcW w:w="790" w:type="dxa"/>
            <w:tcBorders>
              <w:top w:val="nil"/>
              <w:left w:val="nil"/>
              <w:bottom w:val="single" w:sz="8" w:space="0" w:color="auto"/>
              <w:right w:val="nil"/>
            </w:tcBorders>
            <w:shd w:val="clear" w:color="auto" w:fill="auto"/>
            <w:noWrap/>
            <w:vAlign w:val="bottom"/>
            <w:hideMark/>
          </w:tcPr>
          <w:p w14:paraId="4F1A75D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-14.2</w:t>
            </w:r>
          </w:p>
        </w:tc>
        <w:tc>
          <w:tcPr>
            <w:tcW w:w="1163" w:type="dxa"/>
            <w:tcBorders>
              <w:top w:val="nil"/>
              <w:left w:val="nil"/>
              <w:bottom w:val="single" w:sz="8" w:space="0" w:color="auto"/>
              <w:right w:val="nil"/>
            </w:tcBorders>
            <w:shd w:val="clear" w:color="auto" w:fill="auto"/>
            <w:noWrap/>
            <w:vAlign w:val="bottom"/>
            <w:hideMark/>
          </w:tcPr>
          <w:p w14:paraId="452870A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-35.7</w:t>
            </w:r>
          </w:p>
        </w:tc>
        <w:tc>
          <w:tcPr>
            <w:tcW w:w="1270" w:type="dxa"/>
            <w:tcBorders>
              <w:top w:val="nil"/>
              <w:left w:val="nil"/>
              <w:bottom w:val="single" w:sz="8" w:space="0" w:color="auto"/>
              <w:right w:val="nil"/>
            </w:tcBorders>
            <w:shd w:val="clear" w:color="auto" w:fill="auto"/>
            <w:noWrap/>
            <w:vAlign w:val="bottom"/>
            <w:hideMark/>
          </w:tcPr>
          <w:p w14:paraId="3B76C0E9"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6.6</w:t>
            </w:r>
          </w:p>
        </w:tc>
        <w:tc>
          <w:tcPr>
            <w:tcW w:w="240" w:type="dxa"/>
            <w:tcBorders>
              <w:top w:val="nil"/>
              <w:left w:val="nil"/>
              <w:bottom w:val="nil"/>
              <w:right w:val="nil"/>
            </w:tcBorders>
            <w:shd w:val="clear" w:color="auto" w:fill="auto"/>
            <w:noWrap/>
            <w:vAlign w:val="bottom"/>
            <w:hideMark/>
          </w:tcPr>
          <w:p w14:paraId="55D3895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90" w:type="dxa"/>
            <w:tcBorders>
              <w:top w:val="nil"/>
              <w:left w:val="nil"/>
              <w:bottom w:val="single" w:sz="8" w:space="0" w:color="auto"/>
              <w:right w:val="nil"/>
            </w:tcBorders>
            <w:shd w:val="clear" w:color="auto" w:fill="auto"/>
            <w:noWrap/>
            <w:vAlign w:val="bottom"/>
            <w:hideMark/>
          </w:tcPr>
          <w:p w14:paraId="2F49325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-12.9</w:t>
            </w:r>
          </w:p>
        </w:tc>
        <w:tc>
          <w:tcPr>
            <w:tcW w:w="1163" w:type="dxa"/>
            <w:tcBorders>
              <w:top w:val="nil"/>
              <w:left w:val="nil"/>
              <w:bottom w:val="single" w:sz="8" w:space="0" w:color="auto"/>
              <w:right w:val="nil"/>
            </w:tcBorders>
            <w:shd w:val="clear" w:color="auto" w:fill="auto"/>
            <w:noWrap/>
            <w:vAlign w:val="bottom"/>
            <w:hideMark/>
          </w:tcPr>
          <w:p w14:paraId="261C012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-58.1</w:t>
            </w:r>
          </w:p>
        </w:tc>
        <w:tc>
          <w:tcPr>
            <w:tcW w:w="1270" w:type="dxa"/>
            <w:tcBorders>
              <w:top w:val="nil"/>
              <w:left w:val="nil"/>
              <w:bottom w:val="single" w:sz="8" w:space="0" w:color="auto"/>
              <w:right w:val="nil"/>
            </w:tcBorders>
            <w:shd w:val="clear" w:color="auto" w:fill="auto"/>
            <w:noWrap/>
            <w:vAlign w:val="bottom"/>
            <w:hideMark/>
          </w:tcPr>
          <w:p w14:paraId="1B640F3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33.8</w:t>
            </w:r>
          </w:p>
        </w:tc>
      </w:tr>
    </w:tbl>
    <w:p w14:paraId="11B7A8B9" w14:textId="764E4000" w:rsidR="00C248E8" w:rsidRPr="00AF432E" w:rsidRDefault="00C248E8" w:rsidP="00AF432E">
      <w:pPr>
        <w:spacing w:line="240" w:lineRule="auto"/>
        <w:rPr>
          <w:rFonts w:ascii="Times New Roman" w:eastAsia="Malgun Gothic" w:hAnsi="Times New Roman" w:cs="Times New Roman"/>
          <w:iCs/>
          <w:sz w:val="20"/>
          <w:szCs w:val="20"/>
          <w:lang w:eastAsia="ko-KR"/>
        </w:rPr>
      </w:pPr>
      <w:r w:rsidRPr="00AF432E">
        <w:rPr>
          <w:rFonts w:ascii="Times New Roman" w:eastAsia="Malgun Gothic" w:hAnsi="Times New Roman" w:cs="Times New Roman"/>
          <w:iCs/>
          <w:sz w:val="20"/>
          <w:szCs w:val="20"/>
          <w:lang w:eastAsia="ko-KR"/>
        </w:rPr>
        <w:t>Note: Shocks</w:t>
      </w:r>
      <w:r w:rsidRPr="00AF432E">
        <w:rPr>
          <w:rFonts w:ascii="Times New Roman" w:eastAsia="Malgun Gothic" w:hAnsi="Times New Roman" w:cs="Times New Roman"/>
          <w:b/>
          <w:bCs/>
          <w:iCs/>
          <w:sz w:val="20"/>
          <w:szCs w:val="20"/>
          <w:lang w:eastAsia="ko-KR"/>
        </w:rPr>
        <w:t xml:space="preserve"> </w:t>
      </w:r>
      <w:r w:rsidRPr="00AF432E">
        <w:rPr>
          <w:rFonts w:ascii="Times New Roman" w:eastAsia="Malgun Gothic" w:hAnsi="Times New Roman" w:cs="Times New Roman"/>
          <w:iCs/>
          <w:sz w:val="20"/>
          <w:szCs w:val="20"/>
          <w:lang w:eastAsia="ko-KR"/>
        </w:rPr>
        <w:t xml:space="preserve">on per capita consumption in grams by type of food (i.e., crops, livestock, and processed food) in SIMPLE. These shocks imply exogenous shifts for the average consumer, to move from the projected baseline diets towards 2050 to more healthy and sustainable intake levels. </w:t>
      </w:r>
      <w:r w:rsidR="00496F8F" w:rsidRPr="00AF432E">
        <w:rPr>
          <w:rFonts w:ascii="Times New Roman" w:eastAsia="Malgun Gothic" w:hAnsi="Times New Roman" w:cs="Times New Roman"/>
          <w:iCs/>
          <w:sz w:val="20"/>
          <w:szCs w:val="20"/>
          <w:lang w:eastAsia="ko-KR"/>
        </w:rPr>
        <w:t>we</w:t>
      </w:r>
      <w:r w:rsidRPr="00AF432E">
        <w:rPr>
          <w:rFonts w:ascii="Times New Roman" w:eastAsia="Malgun Gothic" w:hAnsi="Times New Roman" w:cs="Times New Roman"/>
          <w:iCs/>
          <w:sz w:val="20"/>
          <w:szCs w:val="20"/>
          <w:lang w:eastAsia="ko-KR"/>
        </w:rPr>
        <w:t xml:space="preserve"> develop the counterfactual diets scenarios following healthy dietary guidelines scenario (HDG) and the flexitarian (FLX) diets scenario from Springmann et al. 2018.</w:t>
      </w:r>
    </w:p>
    <w:p w14:paraId="4DD08265" w14:textId="77777777" w:rsidR="00C248E8" w:rsidRPr="00AB056F" w:rsidRDefault="00C248E8" w:rsidP="00AF432E">
      <w:pPr>
        <w:spacing w:after="0" w:line="240" w:lineRule="auto"/>
        <w:rPr>
          <w:rFonts w:ascii="Times New Roman" w:eastAsia="Times New Roman" w:hAnsi="Times New Roman" w:cs="Times New Roman"/>
          <w:sz w:val="24"/>
          <w:szCs w:val="20"/>
          <w:u w:val="words"/>
        </w:rPr>
      </w:pPr>
      <w:bookmarkStart w:id="59" w:name="_Hlk74931681"/>
      <w:bookmarkStart w:id="60" w:name="_Toc75803832"/>
      <w:r w:rsidRPr="00AB056F">
        <w:rPr>
          <w:rFonts w:ascii="Times New Roman" w:eastAsia="Times New Roman" w:hAnsi="Times New Roman" w:cs="Times New Roman"/>
          <w:sz w:val="24"/>
          <w:szCs w:val="20"/>
          <w:u w:val="words"/>
        </w:rPr>
        <w:t>Extending the Counterfactual Scenarios: Splitting the Excessive Consumption Between Excessive Intake and Food Waste</w:t>
      </w:r>
      <w:bookmarkEnd w:id="59"/>
      <w:bookmarkEnd w:id="60"/>
    </w:p>
    <w:p w14:paraId="53273794" w14:textId="3D794108" w:rsidR="00C248E8" w:rsidRPr="00C248E8" w:rsidRDefault="00C248E8" w:rsidP="00AF432E">
      <w:pPr>
        <w:spacing w:after="0" w:line="240" w:lineRule="auto"/>
        <w:jc w:val="both"/>
        <w:rPr>
          <w:rFonts w:ascii="Times New Roman" w:eastAsia="Malgun Gothic" w:hAnsi="Times New Roman" w:cs="Times New Roman"/>
          <w:iCs/>
          <w:sz w:val="24"/>
          <w:szCs w:val="24"/>
          <w:lang w:eastAsia="ko-KR"/>
        </w:rPr>
      </w:pPr>
      <w:bookmarkStart w:id="61" w:name="_Hlk75197305"/>
      <w:r w:rsidRPr="00C248E8">
        <w:rPr>
          <w:rFonts w:ascii="Times New Roman" w:eastAsia="Malgun Gothic" w:hAnsi="Times New Roman" w:cs="Times New Roman"/>
          <w:iCs/>
          <w:sz w:val="24"/>
          <w:szCs w:val="24"/>
          <w:lang w:eastAsia="ko-KR"/>
        </w:rPr>
        <w:t xml:space="preserve">Much of the previous literature has just looked at total calories from the FAO’s FBS and concluded that reducing them to a healthy level would greatly benefit the environment. However, the FBS calories have included food waste at consumers’ level– although recently some adjustments have been made the inaccuracy persists </w:t>
      </w:r>
      <w:r w:rsidRPr="00C248E8">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{"citationID":"ZqTyesw2","properties":{"formattedCitation":"\\super 10\\nosupersub{}","plainCitation":"10","noteIndex":0},"citationItems":[{"id":104,"uris":["http://zotero.org/users/5867530/items/W4HMI3P4"],"uri":["http://zotero.org/users/5867530/items/W4HMI3P4"],"itemData":{"id":104,"type":"article","language":"English","publisher":"FAO","title":"Key differences between new and old Food Balance Sheet (FBS) methodology","author":[{"family":"FAO","given":""}],"issued":{"date-parts":[["2019"]]}}}],"schema":"https://github.com/citation-style-language/schema/raw/master/csl-citation.json"} </w:instrText>
      </w:r>
      <w:r w:rsidRPr="00C248E8">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10</w:t>
      </w:r>
      <w:r w:rsidRPr="00C248E8">
        <w:rPr>
          <w:rFonts w:ascii="Times New Roman" w:eastAsia="Malgun Gothic" w:hAnsi="Times New Roman" w:cs="Times New Roman"/>
          <w:iCs/>
          <w:sz w:val="24"/>
          <w:szCs w:val="24"/>
          <w:lang w:eastAsia="ko-KR"/>
        </w:rPr>
        <w:fldChar w:fldCharType="end"/>
      </w:r>
      <w:r w:rsidRPr="00C248E8">
        <w:rPr>
          <w:rFonts w:ascii="Times New Roman" w:eastAsia="Malgun Gothic" w:hAnsi="Times New Roman" w:cs="Times New Roman"/>
          <w:iCs/>
          <w:sz w:val="24"/>
          <w:szCs w:val="24"/>
          <w:lang w:eastAsia="ko-KR"/>
        </w:rPr>
        <w:t>.</w:t>
      </w:r>
      <w:bookmarkEnd w:id="61"/>
      <w:r w:rsidRPr="00C248E8">
        <w:rPr>
          <w:rFonts w:ascii="Times New Roman" w:eastAsia="Malgun Gothic" w:hAnsi="Times New Roman" w:cs="Times New Roman"/>
          <w:iCs/>
          <w:sz w:val="24"/>
          <w:szCs w:val="24"/>
          <w:lang w:eastAsia="ko-KR"/>
        </w:rPr>
        <w:t xml:space="preserve"> </w:t>
      </w:r>
      <w:bookmarkStart w:id="62" w:name="_Hlk75197721"/>
      <w:bookmarkStart w:id="63" w:name="_Hlk75197335"/>
      <w:r w:rsidRPr="00C248E8">
        <w:rPr>
          <w:rFonts w:ascii="Times New Roman" w:eastAsia="Malgun Gothic" w:hAnsi="Times New Roman" w:cs="Times New Roman"/>
          <w:iCs/>
          <w:sz w:val="24"/>
          <w:szCs w:val="24"/>
          <w:lang w:eastAsia="ko-KR"/>
        </w:rPr>
        <w:t xml:space="preserve">Therefore, the excessive consumption of food in current diets, understood as the gap between current food consumption levels (equated to FAO FBS’s) and healthy dietary intake levels, really includes both food waste and excessive intake. </w:t>
      </w:r>
      <w:bookmarkEnd w:id="62"/>
      <w:r w:rsidRPr="00C248E8">
        <w:rPr>
          <w:rFonts w:ascii="Times New Roman" w:eastAsia="Malgun Gothic" w:hAnsi="Times New Roman" w:cs="Times New Roman"/>
          <w:iCs/>
          <w:sz w:val="24"/>
          <w:szCs w:val="24"/>
          <w:lang w:eastAsia="ko-KR"/>
        </w:rPr>
        <w:t xml:space="preserve">Additionally, since shifting towards healthier diets usually imply not only the reduction in food consumption, but also shifting towards more plant-based diets, there is also a third contributor – the composition of these calories. </w:t>
      </w:r>
      <w:bookmarkEnd w:id="63"/>
      <w:r w:rsidRPr="00C248E8">
        <w:rPr>
          <w:rFonts w:ascii="Times New Roman" w:eastAsia="Malgun Gothic" w:hAnsi="Times New Roman" w:cs="Times New Roman"/>
          <w:iCs/>
          <w:sz w:val="24"/>
          <w:szCs w:val="24"/>
          <w:lang w:eastAsia="ko-KR"/>
        </w:rPr>
        <w:t xml:space="preserve">Here, </w:t>
      </w:r>
      <w:r>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decompose, </w:t>
      </w:r>
      <w:bookmarkStart w:id="64" w:name="_Hlk75197408"/>
      <w:r w:rsidRPr="00C248E8">
        <w:rPr>
          <w:rFonts w:ascii="Times New Roman" w:eastAsia="Malgun Gothic" w:hAnsi="Times New Roman" w:cs="Times New Roman"/>
          <w:iCs/>
          <w:sz w:val="24"/>
          <w:szCs w:val="24"/>
          <w:lang w:eastAsia="ko-KR"/>
        </w:rPr>
        <w:t>for the first time, these three elements (composition of diets, excessive intake, and food waste) of the linkage from food purchasing behavior and the environment</w:t>
      </w:r>
      <w:bookmarkEnd w:id="64"/>
      <w:r w:rsidRPr="00C248E8">
        <w:rPr>
          <w:rFonts w:ascii="Times New Roman" w:eastAsia="Malgun Gothic" w:hAnsi="Times New Roman" w:cs="Times New Roman"/>
          <w:iCs/>
          <w:sz w:val="24"/>
          <w:szCs w:val="24"/>
          <w:lang w:eastAsia="ko-KR"/>
        </w:rPr>
        <w:t xml:space="preserve"> to analyze their relative contribution to environmental sustainability. In order to decompose the relative environmental benefits of each of the subcomponents, </w:t>
      </w:r>
      <w:r>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design a 3-steps complementary experiments to decompose the overall environmental benefits of shifting towards healthier diets, in both HDG and FLX, dietary scenarios described in the previous sub-section.</w:t>
      </w:r>
    </w:p>
    <w:p w14:paraId="228C0F45" w14:textId="4C911B2E" w:rsidR="00C248E8" w:rsidRPr="00C248E8" w:rsidRDefault="00C248E8" w:rsidP="00AF432E">
      <w:pPr>
        <w:spacing w:after="0" w:line="240" w:lineRule="auto"/>
        <w:ind w:firstLine="360"/>
        <w:jc w:val="both"/>
        <w:rPr>
          <w:rFonts w:ascii="Times New Roman" w:eastAsia="Malgun Gothic" w:hAnsi="Times New Roman" w:cs="Times New Roman"/>
          <w:iCs/>
          <w:sz w:val="24"/>
          <w:szCs w:val="24"/>
          <w:lang w:eastAsia="ko-KR"/>
        </w:rPr>
      </w:pPr>
      <w:r>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start by isolating the relative contribution of the changes in the composition of diets (i.e., shifting towards more plant-based food consumption bundle) when shifting towards HDG and FLX diets. </w:t>
      </w:r>
      <w:r>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do so by imposing shifts in food consumption that imply the necessary changes in dietary composition in the HDG and FLX (i.e., relatively more calories from direct crop consumption and less from livestock) but maintaining the overall calories purchased as in the BAU towards 2050 scenario. This first step allows us to isolate the environmental benefits of changes in dietary composition by comparing the GHG emission and resource use resulting from this scenario with the ones resulting from the BAU. In the second step, in addition to the changes in the dietary composition, </w:t>
      </w:r>
      <w:r>
        <w:rPr>
          <w:rFonts w:ascii="Times New Roman" w:eastAsia="Malgun Gothic" w:hAnsi="Times New Roman" w:cs="Times New Roman"/>
          <w:iCs/>
          <w:sz w:val="24"/>
          <w:szCs w:val="24"/>
          <w:lang w:eastAsia="ko-KR"/>
        </w:rPr>
        <w:t xml:space="preserve">we </w:t>
      </w:r>
      <w:r w:rsidRPr="00C248E8">
        <w:rPr>
          <w:rFonts w:ascii="Times New Roman" w:eastAsia="Malgun Gothic" w:hAnsi="Times New Roman" w:cs="Times New Roman"/>
          <w:iCs/>
          <w:sz w:val="24"/>
          <w:szCs w:val="24"/>
          <w:lang w:eastAsia="ko-KR"/>
        </w:rPr>
        <w:t xml:space="preserve">impose a restrictions in food purchasing mimicking reductions in consumers’ food waste based on imputed values of uneaten calories art consumers’ level from previous studies </w:t>
      </w:r>
      <w:r w:rsidRPr="00C248E8">
        <w:rPr>
          <w:rFonts w:ascii="Times New Roman" w:eastAsia="Malgun Gothic" w:hAnsi="Times New Roman" w:cs="Times New Roman"/>
          <w:iCs/>
          <w:sz w:val="24"/>
          <w:szCs w:val="24"/>
          <w:lang w:eastAsia="ko-KR"/>
        </w:rPr>
        <w:fldChar w:fldCharType="begin"/>
      </w:r>
      <w:r w:rsidR="0023119E">
        <w:rPr>
          <w:rFonts w:ascii="Times New Roman" w:eastAsia="Malgun Gothic" w:hAnsi="Times New Roman" w:cs="Times New Roman"/>
          <w:iCs/>
          <w:sz w:val="24"/>
          <w:szCs w:val="24"/>
          <w:lang w:eastAsia="ko-KR"/>
        </w:rPr>
        <w:instrText xml:space="preserve"> ADDIN ZOTERO_ITEM CSL_CITATION {"citationID":"ilgcvRPk","properties":{"formattedCitation":"\\super 3\\nosupersub{}","plainCitation":"3","noteIndex":0},"citationItems":[{"id":223,"uris":["http://zotero.org/users/5867530/items/MULUTKCA"],"uri":["http://zotero.org/users/5867530/items/MULUTKCA"],"itemData":{"id":223,"type":"article-journal","container-title":"Food Policy","page":"101874","title":"Global food waste across the income spectrum: Implications for food prices, production and resource use","author":[{"family":"Barrera","given":"Emiliano Lopez"},{"family":"Hertel","given":"Thomas"}],"issued":{"date-parts":[["2020"]]}}}],"schema":"https://github.com/citation-style-language/schema/raw/master/csl-citation.json"} </w:instrText>
      </w:r>
      <w:r w:rsidRPr="00C248E8">
        <w:rPr>
          <w:rFonts w:ascii="Times New Roman" w:eastAsia="Malgun Gothic" w:hAnsi="Times New Roman" w:cs="Times New Roman"/>
          <w:iCs/>
          <w:sz w:val="24"/>
          <w:szCs w:val="24"/>
          <w:lang w:eastAsia="ko-KR"/>
        </w:rPr>
        <w:fldChar w:fldCharType="separate"/>
      </w:r>
      <w:r w:rsidR="0023119E" w:rsidRPr="0023119E">
        <w:rPr>
          <w:rFonts w:ascii="Times New Roman" w:hAnsi="Times New Roman" w:cs="Times New Roman"/>
          <w:sz w:val="24"/>
          <w:szCs w:val="24"/>
          <w:vertAlign w:val="superscript"/>
        </w:rPr>
        <w:t>3</w:t>
      </w:r>
      <w:r w:rsidRPr="00C248E8">
        <w:rPr>
          <w:rFonts w:ascii="Times New Roman" w:eastAsia="Malgun Gothic" w:hAnsi="Times New Roman" w:cs="Times New Roman"/>
          <w:iCs/>
          <w:sz w:val="24"/>
          <w:szCs w:val="24"/>
          <w:lang w:eastAsia="ko-KR"/>
        </w:rPr>
        <w:fldChar w:fldCharType="end"/>
      </w:r>
      <w:r w:rsidRPr="00C248E8">
        <w:rPr>
          <w:rFonts w:ascii="Times New Roman" w:eastAsia="Malgun Gothic" w:hAnsi="Times New Roman" w:cs="Times New Roman"/>
          <w:iCs/>
          <w:sz w:val="24"/>
          <w:szCs w:val="24"/>
          <w:lang w:eastAsia="ko-KR"/>
        </w:rPr>
        <w:t xml:space="preserve">. The second step allows us to isolate the environmental benefits of reducing food waste by comparing the by comparing the GHG emission and resource use resulting from this scenario with the ones resulting of changes in dietary composition (results from step 1). In the third step of these complementary experiments, </w:t>
      </w:r>
      <w:r w:rsidR="002974AC">
        <w:rPr>
          <w:rFonts w:ascii="Times New Roman" w:eastAsia="Malgun Gothic" w:hAnsi="Times New Roman" w:cs="Times New Roman"/>
          <w:iCs/>
          <w:sz w:val="24"/>
          <w:szCs w:val="24"/>
          <w:lang w:eastAsia="ko-KR"/>
        </w:rPr>
        <w:t>we</w:t>
      </w:r>
      <w:r w:rsidRPr="00C248E8">
        <w:rPr>
          <w:rFonts w:ascii="Times New Roman" w:eastAsia="Malgun Gothic" w:hAnsi="Times New Roman" w:cs="Times New Roman"/>
          <w:iCs/>
          <w:sz w:val="24"/>
          <w:szCs w:val="24"/>
          <w:lang w:eastAsia="ko-KR"/>
        </w:rPr>
        <w:t xml:space="preserve"> isolate the environmental benefits of </w:t>
      </w:r>
      <w:r w:rsidR="002974AC">
        <w:rPr>
          <w:rFonts w:ascii="Times New Roman" w:eastAsia="Malgun Gothic" w:hAnsi="Times New Roman" w:cs="Times New Roman"/>
          <w:iCs/>
          <w:sz w:val="24"/>
          <w:szCs w:val="24"/>
          <w:lang w:eastAsia="ko-KR"/>
        </w:rPr>
        <w:t xml:space="preserve">the </w:t>
      </w:r>
      <w:r w:rsidRPr="00C248E8">
        <w:rPr>
          <w:rFonts w:ascii="Times New Roman" w:eastAsia="Malgun Gothic" w:hAnsi="Times New Roman" w:cs="Times New Roman"/>
          <w:iCs/>
          <w:sz w:val="24"/>
          <w:szCs w:val="24"/>
          <w:lang w:eastAsia="ko-KR"/>
        </w:rPr>
        <w:t>reductions in excessive intake of food by comparing the resulting GHG emissions and result use from the HDG and FLX diets scenarios (</w:t>
      </w:r>
      <w:r w:rsidR="002974AC" w:rsidRPr="002974AC">
        <w:rPr>
          <w:rFonts w:ascii="Times New Roman" w:eastAsia="Malgun Gothic" w:hAnsi="Times New Roman" w:cs="Times New Roman"/>
          <w:b/>
          <w:bCs/>
          <w:iCs/>
          <w:sz w:val="24"/>
          <w:szCs w:val="24"/>
          <w:lang w:eastAsia="ko-KR"/>
        </w:rPr>
        <w:t>Table S4</w:t>
      </w:r>
      <w:r w:rsidRPr="00C248E8">
        <w:rPr>
          <w:rFonts w:ascii="Times New Roman" w:eastAsia="Malgun Gothic" w:hAnsi="Times New Roman" w:cs="Times New Roman"/>
          <w:iCs/>
          <w:sz w:val="24"/>
          <w:szCs w:val="24"/>
          <w:lang w:eastAsia="ko-KR"/>
        </w:rPr>
        <w:t xml:space="preserve">) with the ones resulting from the second step (food reduction + change in dietary composition) in these complementary experiments. </w:t>
      </w:r>
      <w:r w:rsidR="002974AC" w:rsidRPr="002974AC">
        <w:rPr>
          <w:rFonts w:ascii="Times New Roman" w:eastAsia="Malgun Gothic" w:hAnsi="Times New Roman" w:cs="Times New Roman"/>
          <w:b/>
          <w:bCs/>
          <w:iCs/>
          <w:sz w:val="24"/>
          <w:szCs w:val="24"/>
          <w:lang w:eastAsia="ko-KR"/>
        </w:rPr>
        <w:t>Table S5</w:t>
      </w:r>
      <w:r w:rsidRPr="00C248E8">
        <w:rPr>
          <w:rFonts w:ascii="Times New Roman" w:eastAsia="Malgun Gothic" w:hAnsi="Times New Roman" w:cs="Times New Roman"/>
          <w:b/>
          <w:bCs/>
          <w:iCs/>
          <w:sz w:val="24"/>
          <w:szCs w:val="24"/>
          <w:lang w:eastAsia="ko-KR"/>
        </w:rPr>
        <w:t xml:space="preserve"> </w:t>
      </w:r>
      <w:r w:rsidRPr="00C248E8">
        <w:rPr>
          <w:rFonts w:ascii="Times New Roman" w:eastAsia="Malgun Gothic" w:hAnsi="Times New Roman" w:cs="Times New Roman"/>
          <w:iCs/>
          <w:sz w:val="24"/>
          <w:szCs w:val="24"/>
          <w:lang w:eastAsia="ko-KR"/>
        </w:rPr>
        <w:t>lists the shocks in food consumption with respect to the baseline case, for the steps 1 and 2, that complements the HDG and the FLX diets scenarios.</w:t>
      </w:r>
    </w:p>
    <w:p w14:paraId="18CFEF19" w14:textId="4EA2FCB4" w:rsidR="00C248E8" w:rsidRPr="00C248E8" w:rsidRDefault="00C248E8" w:rsidP="00AF432E">
      <w:pPr>
        <w:spacing w:after="0" w:line="360" w:lineRule="auto"/>
        <w:rPr>
          <w:rFonts w:ascii="Times New Roman" w:eastAsia="Malgun Gothic" w:hAnsi="Times New Roman" w:cs="Times New Roman"/>
          <w:b/>
          <w:i/>
          <w:iCs/>
          <w:sz w:val="24"/>
          <w:szCs w:val="24"/>
          <w:lang w:eastAsia="ko-KR"/>
        </w:rPr>
      </w:pPr>
      <w:bookmarkStart w:id="65" w:name="_Ref75541736"/>
      <w:bookmarkStart w:id="66" w:name="_Toc75803848"/>
      <w:bookmarkStart w:id="67" w:name="_Toc97739558"/>
      <w:r w:rsidRPr="00C248E8">
        <w:rPr>
          <w:rFonts w:ascii="Times New Roman" w:eastAsia="Malgun Gothic" w:hAnsi="Times New Roman" w:cs="Times New Roman"/>
          <w:b/>
          <w:sz w:val="24"/>
          <w:szCs w:val="24"/>
          <w:lang w:eastAsia="ko-KR"/>
        </w:rPr>
        <w:t xml:space="preserve">Table </w:t>
      </w:r>
      <w:bookmarkEnd w:id="65"/>
      <w:r w:rsidR="002974AC" w:rsidRPr="002974AC">
        <w:rPr>
          <w:rFonts w:ascii="Times New Roman" w:eastAsia="Malgun Gothic" w:hAnsi="Times New Roman" w:cs="Times New Roman"/>
          <w:b/>
          <w:sz w:val="24"/>
          <w:szCs w:val="24"/>
          <w:lang w:eastAsia="ko-KR"/>
        </w:rPr>
        <w:t>S</w:t>
      </w:r>
      <w:r w:rsidR="002974AC" w:rsidRPr="002974AC">
        <w:rPr>
          <w:rFonts w:ascii="Times New Roman" w:hAnsi="Times New Roman" w:cs="Times New Roman"/>
          <w:b/>
          <w:i/>
          <w:iCs/>
          <w:sz w:val="24"/>
          <w:szCs w:val="24"/>
        </w:rPr>
        <w:fldChar w:fldCharType="begin"/>
      </w:r>
      <w:r w:rsidR="002974AC" w:rsidRPr="002974AC">
        <w:rPr>
          <w:rFonts w:ascii="Times New Roman" w:hAnsi="Times New Roman" w:cs="Times New Roman"/>
          <w:b/>
          <w:sz w:val="24"/>
          <w:szCs w:val="24"/>
        </w:rPr>
        <w:instrText xml:space="preserve"> SEQ Table_S \* ARABIC </w:instrText>
      </w:r>
      <w:r w:rsidR="002974AC" w:rsidRPr="002974AC">
        <w:rPr>
          <w:rFonts w:ascii="Times New Roman" w:hAnsi="Times New Roman" w:cs="Times New Roman"/>
          <w:b/>
          <w:i/>
          <w:iCs/>
          <w:sz w:val="24"/>
          <w:szCs w:val="24"/>
        </w:rPr>
        <w:fldChar w:fldCharType="separate"/>
      </w:r>
      <w:r w:rsidR="00473FA6">
        <w:rPr>
          <w:rFonts w:ascii="Times New Roman" w:hAnsi="Times New Roman" w:cs="Times New Roman"/>
          <w:b/>
          <w:noProof/>
          <w:sz w:val="24"/>
          <w:szCs w:val="24"/>
        </w:rPr>
        <w:t>5</w:t>
      </w:r>
      <w:r w:rsidR="002974AC" w:rsidRPr="002974AC">
        <w:rPr>
          <w:rFonts w:ascii="Times New Roman" w:hAnsi="Times New Roman" w:cs="Times New Roman"/>
          <w:b/>
          <w:i/>
          <w:iCs/>
          <w:sz w:val="24"/>
          <w:szCs w:val="24"/>
        </w:rPr>
        <w:fldChar w:fldCharType="end"/>
      </w:r>
      <w:r w:rsidR="002974AC" w:rsidRPr="002974AC">
        <w:rPr>
          <w:rFonts w:ascii="Times New Roman" w:hAnsi="Times New Roman" w:cs="Times New Roman"/>
          <w:b/>
          <w:sz w:val="24"/>
          <w:szCs w:val="24"/>
        </w:rPr>
        <w:t>.</w:t>
      </w:r>
      <w:r w:rsidRPr="00C248E8">
        <w:rPr>
          <w:rFonts w:ascii="Times New Roman" w:eastAsia="Malgun Gothic" w:hAnsi="Times New Roman" w:cs="Times New Roman"/>
          <w:b/>
          <w:sz w:val="24"/>
          <w:szCs w:val="24"/>
          <w:lang w:eastAsia="ko-KR"/>
        </w:rPr>
        <w:t xml:space="preserve"> Shocks on per capita consumption in grams by type of food (i.e., crops, livestock, and processed food) in SIMPLE.</w:t>
      </w:r>
      <w:bookmarkEnd w:id="66"/>
      <w:bookmarkEnd w:id="67"/>
    </w:p>
    <w:tbl>
      <w:tblPr>
        <w:tblW w:w="9360" w:type="dxa"/>
        <w:tblLook w:val="04A0" w:firstRow="1" w:lastRow="0" w:firstColumn="1" w:lastColumn="0" w:noHBand="0" w:noVBand="1"/>
      </w:tblPr>
      <w:tblGrid>
        <w:gridCol w:w="2322"/>
        <w:gridCol w:w="1081"/>
        <w:gridCol w:w="87"/>
        <w:gridCol w:w="1163"/>
        <w:gridCol w:w="1275"/>
        <w:gridCol w:w="222"/>
        <w:gridCol w:w="790"/>
        <w:gridCol w:w="1163"/>
        <w:gridCol w:w="1275"/>
      </w:tblGrid>
      <w:tr w:rsidR="00C248E8" w:rsidRPr="00C248E8" w14:paraId="7BE1E3CA" w14:textId="77777777" w:rsidTr="00994AE3">
        <w:trPr>
          <w:trHeight w:val="325"/>
        </w:trPr>
        <w:tc>
          <w:tcPr>
            <w:tcW w:w="2322" w:type="dxa"/>
            <w:tcBorders>
              <w:top w:val="nil"/>
              <w:left w:val="nil"/>
              <w:bottom w:val="single" w:sz="8" w:space="0" w:color="auto"/>
              <w:right w:val="nil"/>
            </w:tcBorders>
            <w:shd w:val="clear" w:color="auto" w:fill="auto"/>
            <w:noWrap/>
            <w:vAlign w:val="bottom"/>
            <w:hideMark/>
          </w:tcPr>
          <w:p w14:paraId="7C14530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 </w:t>
            </w:r>
          </w:p>
        </w:tc>
        <w:tc>
          <w:tcPr>
            <w:tcW w:w="3599" w:type="dxa"/>
            <w:gridSpan w:val="4"/>
            <w:tcBorders>
              <w:top w:val="nil"/>
              <w:left w:val="nil"/>
              <w:bottom w:val="single" w:sz="8" w:space="0" w:color="auto"/>
              <w:right w:val="nil"/>
            </w:tcBorders>
            <w:shd w:val="clear" w:color="auto" w:fill="auto"/>
            <w:noWrap/>
            <w:vAlign w:val="center"/>
            <w:hideMark/>
          </w:tcPr>
          <w:p w14:paraId="32C2B958"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Step 1</w:t>
            </w:r>
          </w:p>
        </w:tc>
        <w:tc>
          <w:tcPr>
            <w:tcW w:w="222" w:type="dxa"/>
            <w:tcBorders>
              <w:top w:val="nil"/>
              <w:left w:val="nil"/>
              <w:bottom w:val="nil"/>
              <w:right w:val="nil"/>
            </w:tcBorders>
            <w:shd w:val="clear" w:color="auto" w:fill="auto"/>
            <w:noWrap/>
            <w:vAlign w:val="center"/>
            <w:hideMark/>
          </w:tcPr>
          <w:p w14:paraId="734D319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3217" w:type="dxa"/>
            <w:gridSpan w:val="3"/>
            <w:tcBorders>
              <w:top w:val="nil"/>
              <w:left w:val="nil"/>
              <w:bottom w:val="single" w:sz="8" w:space="0" w:color="auto"/>
              <w:right w:val="nil"/>
            </w:tcBorders>
            <w:shd w:val="clear" w:color="auto" w:fill="auto"/>
            <w:noWrap/>
            <w:vAlign w:val="center"/>
            <w:hideMark/>
          </w:tcPr>
          <w:p w14:paraId="737573A1"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Step 2</w:t>
            </w:r>
          </w:p>
        </w:tc>
      </w:tr>
      <w:tr w:rsidR="00C248E8" w:rsidRPr="00C248E8" w14:paraId="0A1F982E" w14:textId="77777777" w:rsidTr="00994AE3">
        <w:trPr>
          <w:trHeight w:val="325"/>
        </w:trPr>
        <w:tc>
          <w:tcPr>
            <w:tcW w:w="2322" w:type="dxa"/>
            <w:tcBorders>
              <w:top w:val="nil"/>
              <w:left w:val="nil"/>
              <w:bottom w:val="single" w:sz="8" w:space="0" w:color="auto"/>
              <w:right w:val="nil"/>
            </w:tcBorders>
            <w:shd w:val="clear" w:color="auto" w:fill="auto"/>
            <w:noWrap/>
            <w:vAlign w:val="center"/>
            <w:hideMark/>
          </w:tcPr>
          <w:p w14:paraId="23ECC9C6"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HDG</w:t>
            </w:r>
          </w:p>
        </w:tc>
        <w:tc>
          <w:tcPr>
            <w:tcW w:w="1168" w:type="dxa"/>
            <w:gridSpan w:val="2"/>
            <w:tcBorders>
              <w:top w:val="nil"/>
              <w:left w:val="nil"/>
              <w:bottom w:val="single" w:sz="8" w:space="0" w:color="auto"/>
              <w:right w:val="nil"/>
            </w:tcBorders>
            <w:shd w:val="clear" w:color="auto" w:fill="auto"/>
            <w:noWrap/>
            <w:vAlign w:val="center"/>
            <w:hideMark/>
          </w:tcPr>
          <w:p w14:paraId="4E05817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Crops</w:t>
            </w:r>
          </w:p>
        </w:tc>
        <w:tc>
          <w:tcPr>
            <w:tcW w:w="1156" w:type="dxa"/>
            <w:tcBorders>
              <w:top w:val="nil"/>
              <w:left w:val="nil"/>
              <w:bottom w:val="single" w:sz="8" w:space="0" w:color="auto"/>
              <w:right w:val="nil"/>
            </w:tcBorders>
            <w:shd w:val="clear" w:color="auto" w:fill="auto"/>
            <w:noWrap/>
            <w:vAlign w:val="center"/>
            <w:hideMark/>
          </w:tcPr>
          <w:p w14:paraId="4445094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Livestock</w:t>
            </w:r>
          </w:p>
        </w:tc>
        <w:tc>
          <w:tcPr>
            <w:tcW w:w="1275" w:type="dxa"/>
            <w:tcBorders>
              <w:top w:val="nil"/>
              <w:left w:val="nil"/>
              <w:bottom w:val="single" w:sz="8" w:space="0" w:color="auto"/>
              <w:right w:val="nil"/>
            </w:tcBorders>
            <w:shd w:val="clear" w:color="auto" w:fill="auto"/>
            <w:noWrap/>
            <w:vAlign w:val="center"/>
            <w:hideMark/>
          </w:tcPr>
          <w:p w14:paraId="2781A81C"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roofErr w:type="spellStart"/>
            <w:r w:rsidRPr="00C248E8">
              <w:rPr>
                <w:rFonts w:ascii="Times New Roman" w:eastAsia="Malgun Gothic" w:hAnsi="Times New Roman" w:cs="Times New Roman"/>
                <w:iCs/>
                <w:sz w:val="24"/>
                <w:szCs w:val="24"/>
                <w:lang w:eastAsia="ko-KR"/>
              </w:rPr>
              <w:t>Proc_Food</w:t>
            </w:r>
            <w:proofErr w:type="spellEnd"/>
          </w:p>
        </w:tc>
        <w:tc>
          <w:tcPr>
            <w:tcW w:w="222" w:type="dxa"/>
            <w:tcBorders>
              <w:top w:val="nil"/>
              <w:left w:val="nil"/>
              <w:bottom w:val="nil"/>
              <w:right w:val="nil"/>
            </w:tcBorders>
            <w:shd w:val="clear" w:color="auto" w:fill="auto"/>
            <w:noWrap/>
            <w:vAlign w:val="center"/>
            <w:hideMark/>
          </w:tcPr>
          <w:p w14:paraId="341B004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single" w:sz="8" w:space="0" w:color="auto"/>
              <w:right w:val="nil"/>
            </w:tcBorders>
            <w:shd w:val="clear" w:color="auto" w:fill="auto"/>
            <w:noWrap/>
            <w:vAlign w:val="center"/>
            <w:hideMark/>
          </w:tcPr>
          <w:p w14:paraId="0AE78AC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Crops</w:t>
            </w:r>
          </w:p>
        </w:tc>
        <w:tc>
          <w:tcPr>
            <w:tcW w:w="1156" w:type="dxa"/>
            <w:tcBorders>
              <w:top w:val="nil"/>
              <w:left w:val="nil"/>
              <w:bottom w:val="single" w:sz="8" w:space="0" w:color="auto"/>
              <w:right w:val="nil"/>
            </w:tcBorders>
            <w:shd w:val="clear" w:color="auto" w:fill="auto"/>
            <w:noWrap/>
            <w:vAlign w:val="center"/>
            <w:hideMark/>
          </w:tcPr>
          <w:p w14:paraId="6FC3B0F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Livestock</w:t>
            </w:r>
          </w:p>
        </w:tc>
        <w:tc>
          <w:tcPr>
            <w:tcW w:w="1275" w:type="dxa"/>
            <w:tcBorders>
              <w:top w:val="nil"/>
              <w:left w:val="nil"/>
              <w:bottom w:val="single" w:sz="8" w:space="0" w:color="auto"/>
              <w:right w:val="nil"/>
            </w:tcBorders>
            <w:shd w:val="clear" w:color="auto" w:fill="auto"/>
            <w:noWrap/>
            <w:vAlign w:val="center"/>
            <w:hideMark/>
          </w:tcPr>
          <w:p w14:paraId="4169925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roofErr w:type="spellStart"/>
            <w:r w:rsidRPr="00C248E8">
              <w:rPr>
                <w:rFonts w:ascii="Times New Roman" w:eastAsia="Malgun Gothic" w:hAnsi="Times New Roman" w:cs="Times New Roman"/>
                <w:iCs/>
                <w:sz w:val="24"/>
                <w:szCs w:val="24"/>
                <w:lang w:eastAsia="ko-KR"/>
              </w:rPr>
              <w:t>Proc_Food</w:t>
            </w:r>
            <w:proofErr w:type="spellEnd"/>
          </w:p>
        </w:tc>
      </w:tr>
      <w:tr w:rsidR="00C248E8" w:rsidRPr="00C248E8" w14:paraId="5418C07A" w14:textId="77777777" w:rsidTr="00994AE3">
        <w:trPr>
          <w:trHeight w:val="311"/>
        </w:trPr>
        <w:tc>
          <w:tcPr>
            <w:tcW w:w="2322" w:type="dxa"/>
            <w:tcBorders>
              <w:top w:val="nil"/>
              <w:left w:val="nil"/>
              <w:bottom w:val="nil"/>
              <w:right w:val="nil"/>
            </w:tcBorders>
            <w:shd w:val="clear" w:color="auto" w:fill="auto"/>
            <w:noWrap/>
            <w:vAlign w:val="center"/>
            <w:hideMark/>
          </w:tcPr>
          <w:p w14:paraId="791DD341"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East of Europe</w:t>
            </w:r>
          </w:p>
        </w:tc>
        <w:tc>
          <w:tcPr>
            <w:tcW w:w="1081" w:type="dxa"/>
            <w:tcBorders>
              <w:top w:val="nil"/>
              <w:left w:val="nil"/>
              <w:bottom w:val="nil"/>
              <w:right w:val="nil"/>
            </w:tcBorders>
            <w:shd w:val="clear" w:color="auto" w:fill="auto"/>
            <w:noWrap/>
            <w:vAlign w:val="center"/>
            <w:hideMark/>
          </w:tcPr>
          <w:p w14:paraId="083E6DD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53.8</w:t>
            </w:r>
          </w:p>
        </w:tc>
        <w:tc>
          <w:tcPr>
            <w:tcW w:w="1243" w:type="dxa"/>
            <w:gridSpan w:val="2"/>
            <w:tcBorders>
              <w:top w:val="nil"/>
              <w:left w:val="nil"/>
              <w:bottom w:val="nil"/>
              <w:right w:val="nil"/>
            </w:tcBorders>
            <w:shd w:val="clear" w:color="auto" w:fill="auto"/>
            <w:noWrap/>
            <w:vAlign w:val="center"/>
            <w:hideMark/>
          </w:tcPr>
          <w:p w14:paraId="5E07682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-1.6</w:t>
            </w:r>
          </w:p>
        </w:tc>
        <w:tc>
          <w:tcPr>
            <w:tcW w:w="1275" w:type="dxa"/>
            <w:tcBorders>
              <w:top w:val="nil"/>
              <w:left w:val="nil"/>
              <w:bottom w:val="nil"/>
              <w:right w:val="nil"/>
            </w:tcBorders>
            <w:shd w:val="clear" w:color="auto" w:fill="auto"/>
            <w:noWrap/>
            <w:vAlign w:val="center"/>
            <w:hideMark/>
          </w:tcPr>
          <w:p w14:paraId="5D3384B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18.3</w:t>
            </w:r>
          </w:p>
        </w:tc>
        <w:tc>
          <w:tcPr>
            <w:tcW w:w="222" w:type="dxa"/>
            <w:tcBorders>
              <w:top w:val="nil"/>
              <w:left w:val="nil"/>
              <w:bottom w:val="nil"/>
              <w:right w:val="nil"/>
            </w:tcBorders>
            <w:shd w:val="clear" w:color="auto" w:fill="auto"/>
            <w:noWrap/>
            <w:vAlign w:val="center"/>
            <w:hideMark/>
          </w:tcPr>
          <w:p w14:paraId="1C777DE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2F25F8C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7.7</w:t>
            </w:r>
          </w:p>
        </w:tc>
        <w:tc>
          <w:tcPr>
            <w:tcW w:w="1156" w:type="dxa"/>
            <w:tcBorders>
              <w:top w:val="nil"/>
              <w:left w:val="nil"/>
              <w:bottom w:val="nil"/>
              <w:right w:val="nil"/>
            </w:tcBorders>
            <w:shd w:val="clear" w:color="auto" w:fill="auto"/>
            <w:noWrap/>
            <w:vAlign w:val="center"/>
            <w:hideMark/>
          </w:tcPr>
          <w:p w14:paraId="5EC6FAA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-31.1</w:t>
            </w:r>
          </w:p>
        </w:tc>
        <w:tc>
          <w:tcPr>
            <w:tcW w:w="1275" w:type="dxa"/>
            <w:tcBorders>
              <w:top w:val="nil"/>
              <w:left w:val="nil"/>
              <w:bottom w:val="nil"/>
              <w:right w:val="nil"/>
            </w:tcBorders>
            <w:shd w:val="clear" w:color="auto" w:fill="auto"/>
            <w:noWrap/>
            <w:vAlign w:val="center"/>
            <w:hideMark/>
          </w:tcPr>
          <w:p w14:paraId="128A061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-17.2</w:t>
            </w:r>
          </w:p>
        </w:tc>
      </w:tr>
      <w:tr w:rsidR="00C248E8" w:rsidRPr="00C248E8" w14:paraId="31A0E51A" w14:textId="77777777" w:rsidTr="00994AE3">
        <w:trPr>
          <w:trHeight w:val="311"/>
        </w:trPr>
        <w:tc>
          <w:tcPr>
            <w:tcW w:w="2322" w:type="dxa"/>
            <w:tcBorders>
              <w:top w:val="nil"/>
              <w:left w:val="nil"/>
              <w:bottom w:val="nil"/>
              <w:right w:val="nil"/>
            </w:tcBorders>
            <w:shd w:val="clear" w:color="auto" w:fill="auto"/>
            <w:noWrap/>
            <w:vAlign w:val="center"/>
            <w:hideMark/>
          </w:tcPr>
          <w:p w14:paraId="549CE887"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South America</w:t>
            </w:r>
          </w:p>
        </w:tc>
        <w:tc>
          <w:tcPr>
            <w:tcW w:w="1081" w:type="dxa"/>
            <w:tcBorders>
              <w:top w:val="nil"/>
              <w:left w:val="nil"/>
              <w:bottom w:val="nil"/>
              <w:right w:val="nil"/>
            </w:tcBorders>
            <w:shd w:val="clear" w:color="auto" w:fill="auto"/>
            <w:noWrap/>
            <w:vAlign w:val="center"/>
            <w:hideMark/>
          </w:tcPr>
          <w:p w14:paraId="22916593"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102.7</w:t>
            </w:r>
          </w:p>
        </w:tc>
        <w:tc>
          <w:tcPr>
            <w:tcW w:w="1243" w:type="dxa"/>
            <w:gridSpan w:val="2"/>
            <w:tcBorders>
              <w:top w:val="nil"/>
              <w:left w:val="nil"/>
              <w:bottom w:val="nil"/>
              <w:right w:val="nil"/>
            </w:tcBorders>
            <w:shd w:val="clear" w:color="auto" w:fill="auto"/>
            <w:noWrap/>
            <w:vAlign w:val="center"/>
            <w:hideMark/>
          </w:tcPr>
          <w:p w14:paraId="3EF28CC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10.1</w:t>
            </w:r>
          </w:p>
        </w:tc>
        <w:tc>
          <w:tcPr>
            <w:tcW w:w="1275" w:type="dxa"/>
            <w:tcBorders>
              <w:top w:val="nil"/>
              <w:left w:val="nil"/>
              <w:bottom w:val="nil"/>
              <w:right w:val="nil"/>
            </w:tcBorders>
            <w:shd w:val="clear" w:color="auto" w:fill="auto"/>
            <w:noWrap/>
            <w:vAlign w:val="center"/>
            <w:hideMark/>
          </w:tcPr>
          <w:p w14:paraId="7A0F4FA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-28.5</w:t>
            </w:r>
          </w:p>
        </w:tc>
        <w:tc>
          <w:tcPr>
            <w:tcW w:w="222" w:type="dxa"/>
            <w:tcBorders>
              <w:top w:val="nil"/>
              <w:left w:val="nil"/>
              <w:bottom w:val="nil"/>
              <w:right w:val="nil"/>
            </w:tcBorders>
            <w:shd w:val="clear" w:color="auto" w:fill="auto"/>
            <w:noWrap/>
            <w:vAlign w:val="center"/>
            <w:hideMark/>
          </w:tcPr>
          <w:p w14:paraId="386EF389"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1381A803"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41.9</w:t>
            </w:r>
          </w:p>
        </w:tc>
        <w:tc>
          <w:tcPr>
            <w:tcW w:w="1156" w:type="dxa"/>
            <w:tcBorders>
              <w:top w:val="nil"/>
              <w:left w:val="nil"/>
              <w:bottom w:val="nil"/>
              <w:right w:val="nil"/>
            </w:tcBorders>
            <w:shd w:val="clear" w:color="auto" w:fill="auto"/>
            <w:noWrap/>
            <w:vAlign w:val="center"/>
            <w:hideMark/>
          </w:tcPr>
          <w:p w14:paraId="70173B6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-22.9</w:t>
            </w:r>
          </w:p>
        </w:tc>
        <w:tc>
          <w:tcPr>
            <w:tcW w:w="1275" w:type="dxa"/>
            <w:tcBorders>
              <w:top w:val="nil"/>
              <w:left w:val="nil"/>
              <w:bottom w:val="nil"/>
              <w:right w:val="nil"/>
            </w:tcBorders>
            <w:shd w:val="clear" w:color="auto" w:fill="auto"/>
            <w:noWrap/>
            <w:vAlign w:val="center"/>
            <w:hideMark/>
          </w:tcPr>
          <w:p w14:paraId="464DCC3C"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-49.9</w:t>
            </w:r>
          </w:p>
        </w:tc>
      </w:tr>
      <w:tr w:rsidR="00C248E8" w:rsidRPr="00C248E8" w14:paraId="445005B5" w14:textId="77777777" w:rsidTr="00994AE3">
        <w:trPr>
          <w:trHeight w:val="311"/>
        </w:trPr>
        <w:tc>
          <w:tcPr>
            <w:tcW w:w="2322" w:type="dxa"/>
            <w:tcBorders>
              <w:top w:val="nil"/>
              <w:left w:val="nil"/>
              <w:bottom w:val="nil"/>
              <w:right w:val="nil"/>
            </w:tcBorders>
            <w:shd w:val="clear" w:color="auto" w:fill="auto"/>
            <w:noWrap/>
            <w:vAlign w:val="center"/>
            <w:hideMark/>
          </w:tcPr>
          <w:p w14:paraId="0481DEFB"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Aust. &amp; N. Zealand</w:t>
            </w:r>
          </w:p>
        </w:tc>
        <w:tc>
          <w:tcPr>
            <w:tcW w:w="1081" w:type="dxa"/>
            <w:tcBorders>
              <w:top w:val="nil"/>
              <w:left w:val="nil"/>
              <w:bottom w:val="nil"/>
              <w:right w:val="nil"/>
            </w:tcBorders>
            <w:shd w:val="clear" w:color="auto" w:fill="auto"/>
            <w:noWrap/>
            <w:vAlign w:val="center"/>
            <w:hideMark/>
          </w:tcPr>
          <w:p w14:paraId="0553F01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61.3</w:t>
            </w:r>
          </w:p>
        </w:tc>
        <w:tc>
          <w:tcPr>
            <w:tcW w:w="1243" w:type="dxa"/>
            <w:gridSpan w:val="2"/>
            <w:tcBorders>
              <w:top w:val="nil"/>
              <w:left w:val="nil"/>
              <w:bottom w:val="nil"/>
              <w:right w:val="nil"/>
            </w:tcBorders>
            <w:shd w:val="clear" w:color="auto" w:fill="auto"/>
            <w:noWrap/>
            <w:vAlign w:val="center"/>
            <w:hideMark/>
          </w:tcPr>
          <w:p w14:paraId="002D8E7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-30.8</w:t>
            </w:r>
          </w:p>
        </w:tc>
        <w:tc>
          <w:tcPr>
            <w:tcW w:w="1275" w:type="dxa"/>
            <w:tcBorders>
              <w:top w:val="nil"/>
              <w:left w:val="nil"/>
              <w:bottom w:val="nil"/>
              <w:right w:val="nil"/>
            </w:tcBorders>
            <w:shd w:val="clear" w:color="auto" w:fill="auto"/>
            <w:noWrap/>
            <w:vAlign w:val="center"/>
            <w:hideMark/>
          </w:tcPr>
          <w:p w14:paraId="6EBE962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0.2</w:t>
            </w:r>
          </w:p>
        </w:tc>
        <w:tc>
          <w:tcPr>
            <w:tcW w:w="222" w:type="dxa"/>
            <w:tcBorders>
              <w:top w:val="nil"/>
              <w:left w:val="nil"/>
              <w:bottom w:val="nil"/>
              <w:right w:val="nil"/>
            </w:tcBorders>
            <w:shd w:val="clear" w:color="auto" w:fill="auto"/>
            <w:noWrap/>
            <w:vAlign w:val="center"/>
            <w:hideMark/>
          </w:tcPr>
          <w:p w14:paraId="2094831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7C74B39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16.1</w:t>
            </w:r>
          </w:p>
        </w:tc>
        <w:tc>
          <w:tcPr>
            <w:tcW w:w="1156" w:type="dxa"/>
            <w:tcBorders>
              <w:top w:val="nil"/>
              <w:left w:val="nil"/>
              <w:bottom w:val="nil"/>
              <w:right w:val="nil"/>
            </w:tcBorders>
            <w:shd w:val="clear" w:color="auto" w:fill="auto"/>
            <w:noWrap/>
            <w:vAlign w:val="center"/>
            <w:hideMark/>
          </w:tcPr>
          <w:p w14:paraId="241A52D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-50.2</w:t>
            </w:r>
          </w:p>
        </w:tc>
        <w:tc>
          <w:tcPr>
            <w:tcW w:w="1275" w:type="dxa"/>
            <w:tcBorders>
              <w:top w:val="nil"/>
              <w:left w:val="nil"/>
              <w:bottom w:val="nil"/>
              <w:right w:val="nil"/>
            </w:tcBorders>
            <w:shd w:val="clear" w:color="auto" w:fill="auto"/>
            <w:noWrap/>
            <w:vAlign w:val="center"/>
            <w:hideMark/>
          </w:tcPr>
          <w:p w14:paraId="20E9CC5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-27.9</w:t>
            </w:r>
          </w:p>
        </w:tc>
      </w:tr>
      <w:tr w:rsidR="00C248E8" w:rsidRPr="00C248E8" w14:paraId="360F92CC" w14:textId="77777777" w:rsidTr="00994AE3">
        <w:trPr>
          <w:trHeight w:val="311"/>
        </w:trPr>
        <w:tc>
          <w:tcPr>
            <w:tcW w:w="2322" w:type="dxa"/>
            <w:tcBorders>
              <w:top w:val="nil"/>
              <w:left w:val="nil"/>
              <w:bottom w:val="nil"/>
              <w:right w:val="nil"/>
            </w:tcBorders>
            <w:shd w:val="clear" w:color="auto" w:fill="auto"/>
            <w:noWrap/>
            <w:vAlign w:val="center"/>
            <w:hideMark/>
          </w:tcPr>
          <w:p w14:paraId="4CF7D921"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Europe</w:t>
            </w:r>
          </w:p>
        </w:tc>
        <w:tc>
          <w:tcPr>
            <w:tcW w:w="1081" w:type="dxa"/>
            <w:tcBorders>
              <w:top w:val="nil"/>
              <w:left w:val="nil"/>
              <w:bottom w:val="nil"/>
              <w:right w:val="nil"/>
            </w:tcBorders>
            <w:shd w:val="clear" w:color="auto" w:fill="auto"/>
            <w:noWrap/>
            <w:vAlign w:val="center"/>
            <w:hideMark/>
          </w:tcPr>
          <w:p w14:paraId="5B51A1C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46.5</w:t>
            </w:r>
          </w:p>
        </w:tc>
        <w:tc>
          <w:tcPr>
            <w:tcW w:w="1243" w:type="dxa"/>
            <w:gridSpan w:val="2"/>
            <w:tcBorders>
              <w:top w:val="nil"/>
              <w:left w:val="nil"/>
              <w:bottom w:val="nil"/>
              <w:right w:val="nil"/>
            </w:tcBorders>
            <w:shd w:val="clear" w:color="auto" w:fill="auto"/>
            <w:noWrap/>
            <w:vAlign w:val="center"/>
            <w:hideMark/>
          </w:tcPr>
          <w:p w14:paraId="65B9150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-12.2</w:t>
            </w:r>
          </w:p>
        </w:tc>
        <w:tc>
          <w:tcPr>
            <w:tcW w:w="1275" w:type="dxa"/>
            <w:tcBorders>
              <w:top w:val="nil"/>
              <w:left w:val="nil"/>
              <w:bottom w:val="nil"/>
              <w:right w:val="nil"/>
            </w:tcBorders>
            <w:shd w:val="clear" w:color="auto" w:fill="auto"/>
            <w:noWrap/>
            <w:vAlign w:val="center"/>
            <w:hideMark/>
          </w:tcPr>
          <w:p w14:paraId="0867B7E9"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-23.1</w:t>
            </w:r>
          </w:p>
        </w:tc>
        <w:tc>
          <w:tcPr>
            <w:tcW w:w="222" w:type="dxa"/>
            <w:tcBorders>
              <w:top w:val="nil"/>
              <w:left w:val="nil"/>
              <w:bottom w:val="nil"/>
              <w:right w:val="nil"/>
            </w:tcBorders>
            <w:shd w:val="clear" w:color="auto" w:fill="auto"/>
            <w:noWrap/>
            <w:vAlign w:val="center"/>
            <w:hideMark/>
          </w:tcPr>
          <w:p w14:paraId="0E07126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4058D793"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5.5</w:t>
            </w:r>
          </w:p>
        </w:tc>
        <w:tc>
          <w:tcPr>
            <w:tcW w:w="1156" w:type="dxa"/>
            <w:tcBorders>
              <w:top w:val="nil"/>
              <w:left w:val="nil"/>
              <w:bottom w:val="nil"/>
              <w:right w:val="nil"/>
            </w:tcBorders>
            <w:shd w:val="clear" w:color="auto" w:fill="auto"/>
            <w:noWrap/>
            <w:vAlign w:val="center"/>
            <w:hideMark/>
          </w:tcPr>
          <w:p w14:paraId="2B52EF0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-36.8</w:t>
            </w:r>
          </w:p>
        </w:tc>
        <w:tc>
          <w:tcPr>
            <w:tcW w:w="1275" w:type="dxa"/>
            <w:tcBorders>
              <w:top w:val="nil"/>
              <w:left w:val="nil"/>
              <w:bottom w:val="nil"/>
              <w:right w:val="nil"/>
            </w:tcBorders>
            <w:shd w:val="clear" w:color="auto" w:fill="auto"/>
            <w:noWrap/>
            <w:vAlign w:val="center"/>
            <w:hideMark/>
          </w:tcPr>
          <w:p w14:paraId="27A9BEF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-44.6</w:t>
            </w:r>
          </w:p>
        </w:tc>
      </w:tr>
      <w:tr w:rsidR="00C248E8" w:rsidRPr="00C248E8" w14:paraId="687C845C" w14:textId="77777777" w:rsidTr="00994AE3">
        <w:trPr>
          <w:trHeight w:val="311"/>
        </w:trPr>
        <w:tc>
          <w:tcPr>
            <w:tcW w:w="2322" w:type="dxa"/>
            <w:tcBorders>
              <w:top w:val="nil"/>
              <w:left w:val="nil"/>
              <w:bottom w:val="nil"/>
              <w:right w:val="nil"/>
            </w:tcBorders>
            <w:shd w:val="clear" w:color="auto" w:fill="auto"/>
            <w:noWrap/>
            <w:vAlign w:val="center"/>
            <w:hideMark/>
          </w:tcPr>
          <w:p w14:paraId="0E7F7521"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South Africa</w:t>
            </w:r>
          </w:p>
        </w:tc>
        <w:tc>
          <w:tcPr>
            <w:tcW w:w="1081" w:type="dxa"/>
            <w:tcBorders>
              <w:top w:val="nil"/>
              <w:left w:val="nil"/>
              <w:bottom w:val="nil"/>
              <w:right w:val="nil"/>
            </w:tcBorders>
            <w:shd w:val="clear" w:color="auto" w:fill="auto"/>
            <w:noWrap/>
            <w:vAlign w:val="center"/>
            <w:hideMark/>
          </w:tcPr>
          <w:p w14:paraId="4ABD1E5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89.2</w:t>
            </w:r>
          </w:p>
        </w:tc>
        <w:tc>
          <w:tcPr>
            <w:tcW w:w="1243" w:type="dxa"/>
            <w:gridSpan w:val="2"/>
            <w:tcBorders>
              <w:top w:val="nil"/>
              <w:left w:val="nil"/>
              <w:bottom w:val="nil"/>
              <w:right w:val="nil"/>
            </w:tcBorders>
            <w:shd w:val="clear" w:color="auto" w:fill="auto"/>
            <w:noWrap/>
            <w:vAlign w:val="center"/>
            <w:hideMark/>
          </w:tcPr>
          <w:p w14:paraId="544302D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67.3</w:t>
            </w:r>
          </w:p>
        </w:tc>
        <w:tc>
          <w:tcPr>
            <w:tcW w:w="1275" w:type="dxa"/>
            <w:tcBorders>
              <w:top w:val="nil"/>
              <w:left w:val="nil"/>
              <w:bottom w:val="nil"/>
              <w:right w:val="nil"/>
            </w:tcBorders>
            <w:shd w:val="clear" w:color="auto" w:fill="auto"/>
            <w:noWrap/>
            <w:vAlign w:val="center"/>
            <w:hideMark/>
          </w:tcPr>
          <w:p w14:paraId="29D1EF1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-157.8</w:t>
            </w:r>
          </w:p>
        </w:tc>
        <w:tc>
          <w:tcPr>
            <w:tcW w:w="222" w:type="dxa"/>
            <w:tcBorders>
              <w:top w:val="nil"/>
              <w:left w:val="nil"/>
              <w:bottom w:val="nil"/>
              <w:right w:val="nil"/>
            </w:tcBorders>
            <w:shd w:val="clear" w:color="auto" w:fill="auto"/>
            <w:noWrap/>
            <w:vAlign w:val="center"/>
            <w:hideMark/>
          </w:tcPr>
          <w:p w14:paraId="75CF1E0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25BFBB0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43.8</w:t>
            </w:r>
          </w:p>
        </w:tc>
        <w:tc>
          <w:tcPr>
            <w:tcW w:w="1156" w:type="dxa"/>
            <w:tcBorders>
              <w:top w:val="nil"/>
              <w:left w:val="nil"/>
              <w:bottom w:val="nil"/>
              <w:right w:val="nil"/>
            </w:tcBorders>
            <w:shd w:val="clear" w:color="auto" w:fill="auto"/>
            <w:noWrap/>
            <w:vAlign w:val="center"/>
            <w:hideMark/>
          </w:tcPr>
          <w:p w14:paraId="4775BB5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27.2</w:t>
            </w:r>
          </w:p>
        </w:tc>
        <w:tc>
          <w:tcPr>
            <w:tcW w:w="1275" w:type="dxa"/>
            <w:tcBorders>
              <w:top w:val="nil"/>
              <w:left w:val="nil"/>
              <w:bottom w:val="nil"/>
              <w:right w:val="nil"/>
            </w:tcBorders>
            <w:shd w:val="clear" w:color="auto" w:fill="auto"/>
            <w:noWrap/>
            <w:vAlign w:val="center"/>
            <w:hideMark/>
          </w:tcPr>
          <w:p w14:paraId="0AA1490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-144.0</w:t>
            </w:r>
          </w:p>
        </w:tc>
      </w:tr>
      <w:tr w:rsidR="00C248E8" w:rsidRPr="00C248E8" w14:paraId="3894F222" w14:textId="77777777" w:rsidTr="00994AE3">
        <w:trPr>
          <w:trHeight w:val="311"/>
        </w:trPr>
        <w:tc>
          <w:tcPr>
            <w:tcW w:w="2322" w:type="dxa"/>
            <w:tcBorders>
              <w:top w:val="nil"/>
              <w:left w:val="nil"/>
              <w:bottom w:val="nil"/>
              <w:right w:val="nil"/>
            </w:tcBorders>
            <w:shd w:val="clear" w:color="auto" w:fill="auto"/>
            <w:noWrap/>
            <w:vAlign w:val="center"/>
            <w:hideMark/>
          </w:tcPr>
          <w:p w14:paraId="0BEEBB4E"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Canada &amp; US</w:t>
            </w:r>
          </w:p>
        </w:tc>
        <w:tc>
          <w:tcPr>
            <w:tcW w:w="1081" w:type="dxa"/>
            <w:tcBorders>
              <w:top w:val="nil"/>
              <w:left w:val="nil"/>
              <w:bottom w:val="nil"/>
              <w:right w:val="nil"/>
            </w:tcBorders>
            <w:shd w:val="clear" w:color="auto" w:fill="auto"/>
            <w:noWrap/>
            <w:vAlign w:val="center"/>
            <w:hideMark/>
          </w:tcPr>
          <w:p w14:paraId="609458C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62.3</w:t>
            </w:r>
          </w:p>
        </w:tc>
        <w:tc>
          <w:tcPr>
            <w:tcW w:w="1243" w:type="dxa"/>
            <w:gridSpan w:val="2"/>
            <w:tcBorders>
              <w:top w:val="nil"/>
              <w:left w:val="nil"/>
              <w:bottom w:val="nil"/>
              <w:right w:val="nil"/>
            </w:tcBorders>
            <w:shd w:val="clear" w:color="auto" w:fill="auto"/>
            <w:noWrap/>
            <w:vAlign w:val="center"/>
            <w:hideMark/>
          </w:tcPr>
          <w:p w14:paraId="361FBCE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-22.6</w:t>
            </w:r>
          </w:p>
        </w:tc>
        <w:tc>
          <w:tcPr>
            <w:tcW w:w="1275" w:type="dxa"/>
            <w:tcBorders>
              <w:top w:val="nil"/>
              <w:left w:val="nil"/>
              <w:bottom w:val="nil"/>
              <w:right w:val="nil"/>
            </w:tcBorders>
            <w:shd w:val="clear" w:color="auto" w:fill="auto"/>
            <w:noWrap/>
            <w:vAlign w:val="center"/>
            <w:hideMark/>
          </w:tcPr>
          <w:p w14:paraId="7A9E397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-13.8</w:t>
            </w:r>
          </w:p>
        </w:tc>
        <w:tc>
          <w:tcPr>
            <w:tcW w:w="222" w:type="dxa"/>
            <w:tcBorders>
              <w:top w:val="nil"/>
              <w:left w:val="nil"/>
              <w:bottom w:val="nil"/>
              <w:right w:val="nil"/>
            </w:tcBorders>
            <w:shd w:val="clear" w:color="auto" w:fill="auto"/>
            <w:noWrap/>
            <w:vAlign w:val="center"/>
            <w:hideMark/>
          </w:tcPr>
          <w:p w14:paraId="230E69E3"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7B00E80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8.8</w:t>
            </w:r>
          </w:p>
        </w:tc>
        <w:tc>
          <w:tcPr>
            <w:tcW w:w="1156" w:type="dxa"/>
            <w:tcBorders>
              <w:top w:val="nil"/>
              <w:left w:val="nil"/>
              <w:bottom w:val="nil"/>
              <w:right w:val="nil"/>
            </w:tcBorders>
            <w:shd w:val="clear" w:color="auto" w:fill="auto"/>
            <w:noWrap/>
            <w:vAlign w:val="center"/>
            <w:hideMark/>
          </w:tcPr>
          <w:p w14:paraId="6CD2481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-48.2</w:t>
            </w:r>
          </w:p>
        </w:tc>
        <w:tc>
          <w:tcPr>
            <w:tcW w:w="1275" w:type="dxa"/>
            <w:tcBorders>
              <w:top w:val="nil"/>
              <w:left w:val="nil"/>
              <w:bottom w:val="nil"/>
              <w:right w:val="nil"/>
            </w:tcBorders>
            <w:shd w:val="clear" w:color="auto" w:fill="auto"/>
            <w:noWrap/>
            <w:vAlign w:val="center"/>
            <w:hideMark/>
          </w:tcPr>
          <w:p w14:paraId="5A242B1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-42.2</w:t>
            </w:r>
          </w:p>
        </w:tc>
      </w:tr>
      <w:tr w:rsidR="00C248E8" w:rsidRPr="00C248E8" w14:paraId="624BB731" w14:textId="77777777" w:rsidTr="00994AE3">
        <w:trPr>
          <w:trHeight w:val="311"/>
        </w:trPr>
        <w:tc>
          <w:tcPr>
            <w:tcW w:w="2322" w:type="dxa"/>
            <w:tcBorders>
              <w:top w:val="nil"/>
              <w:left w:val="nil"/>
              <w:bottom w:val="nil"/>
              <w:right w:val="nil"/>
            </w:tcBorders>
            <w:shd w:val="clear" w:color="auto" w:fill="auto"/>
            <w:noWrap/>
            <w:vAlign w:val="center"/>
            <w:hideMark/>
          </w:tcPr>
          <w:p w14:paraId="4519DCB7"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China</w:t>
            </w:r>
          </w:p>
        </w:tc>
        <w:tc>
          <w:tcPr>
            <w:tcW w:w="1081" w:type="dxa"/>
            <w:tcBorders>
              <w:top w:val="nil"/>
              <w:left w:val="nil"/>
              <w:bottom w:val="nil"/>
              <w:right w:val="nil"/>
            </w:tcBorders>
            <w:shd w:val="clear" w:color="auto" w:fill="auto"/>
            <w:noWrap/>
            <w:vAlign w:val="center"/>
            <w:hideMark/>
          </w:tcPr>
          <w:p w14:paraId="0C35349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37.0</w:t>
            </w:r>
          </w:p>
        </w:tc>
        <w:tc>
          <w:tcPr>
            <w:tcW w:w="1243" w:type="dxa"/>
            <w:gridSpan w:val="2"/>
            <w:tcBorders>
              <w:top w:val="nil"/>
              <w:left w:val="nil"/>
              <w:bottom w:val="nil"/>
              <w:right w:val="nil"/>
            </w:tcBorders>
            <w:shd w:val="clear" w:color="auto" w:fill="auto"/>
            <w:noWrap/>
            <w:vAlign w:val="center"/>
            <w:hideMark/>
          </w:tcPr>
          <w:p w14:paraId="702E819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110.8</w:t>
            </w:r>
          </w:p>
        </w:tc>
        <w:tc>
          <w:tcPr>
            <w:tcW w:w="1275" w:type="dxa"/>
            <w:tcBorders>
              <w:top w:val="nil"/>
              <w:left w:val="nil"/>
              <w:bottom w:val="nil"/>
              <w:right w:val="nil"/>
            </w:tcBorders>
            <w:shd w:val="clear" w:color="auto" w:fill="auto"/>
            <w:noWrap/>
            <w:vAlign w:val="center"/>
            <w:hideMark/>
          </w:tcPr>
          <w:p w14:paraId="432E01F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29.2</w:t>
            </w:r>
          </w:p>
        </w:tc>
        <w:tc>
          <w:tcPr>
            <w:tcW w:w="222" w:type="dxa"/>
            <w:tcBorders>
              <w:top w:val="nil"/>
              <w:left w:val="nil"/>
              <w:bottom w:val="nil"/>
              <w:right w:val="nil"/>
            </w:tcBorders>
            <w:shd w:val="clear" w:color="auto" w:fill="auto"/>
            <w:noWrap/>
            <w:vAlign w:val="center"/>
            <w:hideMark/>
          </w:tcPr>
          <w:p w14:paraId="570EAD5C"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691D7E9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-4.1</w:t>
            </w:r>
          </w:p>
        </w:tc>
        <w:tc>
          <w:tcPr>
            <w:tcW w:w="1156" w:type="dxa"/>
            <w:tcBorders>
              <w:top w:val="nil"/>
              <w:left w:val="nil"/>
              <w:bottom w:val="nil"/>
              <w:right w:val="nil"/>
            </w:tcBorders>
            <w:shd w:val="clear" w:color="auto" w:fill="auto"/>
            <w:noWrap/>
            <w:vAlign w:val="center"/>
            <w:hideMark/>
          </w:tcPr>
          <w:p w14:paraId="2B8E040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47.5</w:t>
            </w:r>
          </w:p>
        </w:tc>
        <w:tc>
          <w:tcPr>
            <w:tcW w:w="1275" w:type="dxa"/>
            <w:tcBorders>
              <w:top w:val="nil"/>
              <w:left w:val="nil"/>
              <w:bottom w:val="nil"/>
              <w:right w:val="nil"/>
            </w:tcBorders>
            <w:shd w:val="clear" w:color="auto" w:fill="auto"/>
            <w:noWrap/>
            <w:vAlign w:val="center"/>
            <w:hideMark/>
          </w:tcPr>
          <w:p w14:paraId="023C671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-9.6</w:t>
            </w:r>
          </w:p>
        </w:tc>
      </w:tr>
      <w:tr w:rsidR="00C248E8" w:rsidRPr="00C248E8" w14:paraId="0C4ED77C" w14:textId="77777777" w:rsidTr="00994AE3">
        <w:trPr>
          <w:trHeight w:val="311"/>
        </w:trPr>
        <w:tc>
          <w:tcPr>
            <w:tcW w:w="2322" w:type="dxa"/>
            <w:tcBorders>
              <w:top w:val="nil"/>
              <w:left w:val="nil"/>
              <w:bottom w:val="nil"/>
              <w:right w:val="nil"/>
            </w:tcBorders>
            <w:shd w:val="clear" w:color="auto" w:fill="auto"/>
            <w:noWrap/>
            <w:vAlign w:val="center"/>
            <w:hideMark/>
          </w:tcPr>
          <w:p w14:paraId="0DBFCAD7"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Japan and Korea</w:t>
            </w:r>
          </w:p>
        </w:tc>
        <w:tc>
          <w:tcPr>
            <w:tcW w:w="1081" w:type="dxa"/>
            <w:tcBorders>
              <w:top w:val="nil"/>
              <w:left w:val="nil"/>
              <w:bottom w:val="nil"/>
              <w:right w:val="nil"/>
            </w:tcBorders>
            <w:shd w:val="clear" w:color="auto" w:fill="auto"/>
            <w:noWrap/>
            <w:vAlign w:val="center"/>
            <w:hideMark/>
          </w:tcPr>
          <w:p w14:paraId="11D56423"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40.4</w:t>
            </w:r>
          </w:p>
        </w:tc>
        <w:tc>
          <w:tcPr>
            <w:tcW w:w="1243" w:type="dxa"/>
            <w:gridSpan w:val="2"/>
            <w:tcBorders>
              <w:top w:val="nil"/>
              <w:left w:val="nil"/>
              <w:bottom w:val="nil"/>
              <w:right w:val="nil"/>
            </w:tcBorders>
            <w:shd w:val="clear" w:color="auto" w:fill="auto"/>
            <w:noWrap/>
            <w:vAlign w:val="center"/>
            <w:hideMark/>
          </w:tcPr>
          <w:p w14:paraId="426F57E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33.9</w:t>
            </w:r>
          </w:p>
        </w:tc>
        <w:tc>
          <w:tcPr>
            <w:tcW w:w="1275" w:type="dxa"/>
            <w:tcBorders>
              <w:top w:val="nil"/>
              <w:left w:val="nil"/>
              <w:bottom w:val="nil"/>
              <w:right w:val="nil"/>
            </w:tcBorders>
            <w:shd w:val="clear" w:color="auto" w:fill="auto"/>
            <w:noWrap/>
            <w:vAlign w:val="center"/>
            <w:hideMark/>
          </w:tcPr>
          <w:p w14:paraId="448AF8F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-71.7</w:t>
            </w:r>
          </w:p>
        </w:tc>
        <w:tc>
          <w:tcPr>
            <w:tcW w:w="222" w:type="dxa"/>
            <w:tcBorders>
              <w:top w:val="nil"/>
              <w:left w:val="nil"/>
              <w:bottom w:val="nil"/>
              <w:right w:val="nil"/>
            </w:tcBorders>
            <w:shd w:val="clear" w:color="auto" w:fill="auto"/>
            <w:noWrap/>
            <w:vAlign w:val="center"/>
            <w:hideMark/>
          </w:tcPr>
          <w:p w14:paraId="227D748C"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41ECD269"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15.4</w:t>
            </w:r>
          </w:p>
        </w:tc>
        <w:tc>
          <w:tcPr>
            <w:tcW w:w="1156" w:type="dxa"/>
            <w:tcBorders>
              <w:top w:val="nil"/>
              <w:left w:val="nil"/>
              <w:bottom w:val="nil"/>
              <w:right w:val="nil"/>
            </w:tcBorders>
            <w:shd w:val="clear" w:color="auto" w:fill="auto"/>
            <w:noWrap/>
            <w:vAlign w:val="center"/>
            <w:hideMark/>
          </w:tcPr>
          <w:p w14:paraId="3550DEC9"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10.0</w:t>
            </w:r>
          </w:p>
        </w:tc>
        <w:tc>
          <w:tcPr>
            <w:tcW w:w="1275" w:type="dxa"/>
            <w:tcBorders>
              <w:top w:val="nil"/>
              <w:left w:val="nil"/>
              <w:bottom w:val="nil"/>
              <w:right w:val="nil"/>
            </w:tcBorders>
            <w:shd w:val="clear" w:color="auto" w:fill="auto"/>
            <w:noWrap/>
            <w:vAlign w:val="center"/>
            <w:hideMark/>
          </w:tcPr>
          <w:p w14:paraId="7A7F9A49"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-76.8</w:t>
            </w:r>
          </w:p>
        </w:tc>
      </w:tr>
      <w:tr w:rsidR="00C248E8" w:rsidRPr="00C248E8" w14:paraId="1686F77F" w14:textId="77777777" w:rsidTr="00994AE3">
        <w:trPr>
          <w:trHeight w:val="325"/>
        </w:trPr>
        <w:tc>
          <w:tcPr>
            <w:tcW w:w="2322" w:type="dxa"/>
            <w:tcBorders>
              <w:top w:val="nil"/>
              <w:left w:val="nil"/>
              <w:bottom w:val="single" w:sz="8" w:space="0" w:color="auto"/>
              <w:right w:val="nil"/>
            </w:tcBorders>
            <w:shd w:val="clear" w:color="auto" w:fill="auto"/>
            <w:noWrap/>
            <w:vAlign w:val="center"/>
            <w:hideMark/>
          </w:tcPr>
          <w:p w14:paraId="47AD785A"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Central Asia</w:t>
            </w:r>
          </w:p>
        </w:tc>
        <w:tc>
          <w:tcPr>
            <w:tcW w:w="1081" w:type="dxa"/>
            <w:tcBorders>
              <w:top w:val="nil"/>
              <w:left w:val="nil"/>
              <w:bottom w:val="single" w:sz="8" w:space="0" w:color="auto"/>
              <w:right w:val="nil"/>
            </w:tcBorders>
            <w:shd w:val="clear" w:color="auto" w:fill="auto"/>
            <w:noWrap/>
            <w:vAlign w:val="center"/>
            <w:hideMark/>
          </w:tcPr>
          <w:p w14:paraId="64EEF96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62.4</w:t>
            </w:r>
          </w:p>
        </w:tc>
        <w:tc>
          <w:tcPr>
            <w:tcW w:w="1243" w:type="dxa"/>
            <w:gridSpan w:val="2"/>
            <w:tcBorders>
              <w:top w:val="nil"/>
              <w:left w:val="nil"/>
              <w:bottom w:val="single" w:sz="8" w:space="0" w:color="auto"/>
              <w:right w:val="nil"/>
            </w:tcBorders>
            <w:shd w:val="clear" w:color="auto" w:fill="auto"/>
            <w:noWrap/>
            <w:vAlign w:val="center"/>
            <w:hideMark/>
          </w:tcPr>
          <w:p w14:paraId="3EE29CB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21.7</w:t>
            </w:r>
          </w:p>
        </w:tc>
        <w:tc>
          <w:tcPr>
            <w:tcW w:w="1275" w:type="dxa"/>
            <w:tcBorders>
              <w:top w:val="nil"/>
              <w:left w:val="nil"/>
              <w:bottom w:val="single" w:sz="8" w:space="0" w:color="auto"/>
              <w:right w:val="nil"/>
            </w:tcBorders>
            <w:shd w:val="clear" w:color="auto" w:fill="auto"/>
            <w:noWrap/>
            <w:vAlign w:val="center"/>
            <w:hideMark/>
          </w:tcPr>
          <w:p w14:paraId="16A1F59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101.8</w:t>
            </w:r>
          </w:p>
        </w:tc>
        <w:tc>
          <w:tcPr>
            <w:tcW w:w="222" w:type="dxa"/>
            <w:tcBorders>
              <w:top w:val="nil"/>
              <w:left w:val="nil"/>
              <w:bottom w:val="nil"/>
              <w:right w:val="nil"/>
            </w:tcBorders>
            <w:shd w:val="clear" w:color="auto" w:fill="auto"/>
            <w:noWrap/>
            <w:vAlign w:val="center"/>
            <w:hideMark/>
          </w:tcPr>
          <w:p w14:paraId="5E5759A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single" w:sz="8" w:space="0" w:color="auto"/>
              <w:right w:val="nil"/>
            </w:tcBorders>
            <w:shd w:val="clear" w:color="auto" w:fill="auto"/>
            <w:noWrap/>
            <w:vAlign w:val="center"/>
            <w:hideMark/>
          </w:tcPr>
          <w:p w14:paraId="5818280C"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16.2</w:t>
            </w:r>
          </w:p>
        </w:tc>
        <w:tc>
          <w:tcPr>
            <w:tcW w:w="1156" w:type="dxa"/>
            <w:tcBorders>
              <w:top w:val="nil"/>
              <w:left w:val="nil"/>
              <w:bottom w:val="single" w:sz="8" w:space="0" w:color="auto"/>
              <w:right w:val="nil"/>
            </w:tcBorders>
            <w:shd w:val="clear" w:color="auto" w:fill="auto"/>
            <w:noWrap/>
            <w:vAlign w:val="center"/>
            <w:hideMark/>
          </w:tcPr>
          <w:p w14:paraId="31C54B4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-12.9</w:t>
            </w:r>
          </w:p>
        </w:tc>
        <w:tc>
          <w:tcPr>
            <w:tcW w:w="1275" w:type="dxa"/>
            <w:tcBorders>
              <w:top w:val="nil"/>
              <w:left w:val="nil"/>
              <w:bottom w:val="single" w:sz="8" w:space="0" w:color="auto"/>
              <w:right w:val="nil"/>
            </w:tcBorders>
            <w:shd w:val="clear" w:color="auto" w:fill="auto"/>
            <w:noWrap/>
            <w:vAlign w:val="center"/>
            <w:hideMark/>
          </w:tcPr>
          <w:p w14:paraId="78E57A0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44.3</w:t>
            </w:r>
          </w:p>
        </w:tc>
      </w:tr>
      <w:tr w:rsidR="00C248E8" w:rsidRPr="00C248E8" w14:paraId="4D748ED2" w14:textId="77777777" w:rsidTr="00994AE3">
        <w:trPr>
          <w:trHeight w:val="325"/>
        </w:trPr>
        <w:tc>
          <w:tcPr>
            <w:tcW w:w="2322" w:type="dxa"/>
            <w:tcBorders>
              <w:top w:val="nil"/>
              <w:left w:val="nil"/>
              <w:bottom w:val="single" w:sz="8" w:space="0" w:color="auto"/>
              <w:right w:val="nil"/>
            </w:tcBorders>
            <w:shd w:val="clear" w:color="auto" w:fill="auto"/>
            <w:noWrap/>
            <w:vAlign w:val="center"/>
            <w:hideMark/>
          </w:tcPr>
          <w:p w14:paraId="52D18958"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FLX</w:t>
            </w:r>
          </w:p>
        </w:tc>
        <w:tc>
          <w:tcPr>
            <w:tcW w:w="1081" w:type="dxa"/>
            <w:tcBorders>
              <w:top w:val="nil"/>
              <w:left w:val="nil"/>
              <w:bottom w:val="single" w:sz="8" w:space="0" w:color="auto"/>
              <w:right w:val="nil"/>
            </w:tcBorders>
            <w:shd w:val="clear" w:color="auto" w:fill="auto"/>
            <w:noWrap/>
            <w:vAlign w:val="center"/>
            <w:hideMark/>
          </w:tcPr>
          <w:p w14:paraId="4B8ED66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Crops</w:t>
            </w:r>
          </w:p>
        </w:tc>
        <w:tc>
          <w:tcPr>
            <w:tcW w:w="1243" w:type="dxa"/>
            <w:gridSpan w:val="2"/>
            <w:tcBorders>
              <w:top w:val="nil"/>
              <w:left w:val="nil"/>
              <w:bottom w:val="single" w:sz="8" w:space="0" w:color="auto"/>
              <w:right w:val="nil"/>
            </w:tcBorders>
            <w:shd w:val="clear" w:color="auto" w:fill="auto"/>
            <w:noWrap/>
            <w:vAlign w:val="center"/>
            <w:hideMark/>
          </w:tcPr>
          <w:p w14:paraId="41C2FFC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Livestock</w:t>
            </w:r>
          </w:p>
        </w:tc>
        <w:tc>
          <w:tcPr>
            <w:tcW w:w="1275" w:type="dxa"/>
            <w:tcBorders>
              <w:top w:val="nil"/>
              <w:left w:val="nil"/>
              <w:bottom w:val="single" w:sz="8" w:space="0" w:color="auto"/>
              <w:right w:val="nil"/>
            </w:tcBorders>
            <w:shd w:val="clear" w:color="auto" w:fill="auto"/>
            <w:noWrap/>
            <w:vAlign w:val="center"/>
            <w:hideMark/>
          </w:tcPr>
          <w:p w14:paraId="70DC875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roofErr w:type="spellStart"/>
            <w:r w:rsidRPr="00C248E8">
              <w:rPr>
                <w:rFonts w:ascii="Times New Roman" w:eastAsia="Malgun Gothic" w:hAnsi="Times New Roman" w:cs="Times New Roman"/>
                <w:iCs/>
                <w:sz w:val="24"/>
                <w:szCs w:val="24"/>
                <w:lang w:eastAsia="ko-KR"/>
              </w:rPr>
              <w:t>Proc_Food</w:t>
            </w:r>
            <w:proofErr w:type="spellEnd"/>
          </w:p>
        </w:tc>
        <w:tc>
          <w:tcPr>
            <w:tcW w:w="222" w:type="dxa"/>
            <w:tcBorders>
              <w:top w:val="nil"/>
              <w:left w:val="nil"/>
              <w:bottom w:val="nil"/>
              <w:right w:val="nil"/>
            </w:tcBorders>
            <w:shd w:val="clear" w:color="auto" w:fill="auto"/>
            <w:noWrap/>
            <w:vAlign w:val="center"/>
            <w:hideMark/>
          </w:tcPr>
          <w:p w14:paraId="5741A21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single" w:sz="8" w:space="0" w:color="auto"/>
              <w:right w:val="nil"/>
            </w:tcBorders>
            <w:shd w:val="clear" w:color="auto" w:fill="auto"/>
            <w:noWrap/>
            <w:vAlign w:val="center"/>
            <w:hideMark/>
          </w:tcPr>
          <w:p w14:paraId="0BF5670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Crops</w:t>
            </w:r>
          </w:p>
        </w:tc>
        <w:tc>
          <w:tcPr>
            <w:tcW w:w="1156" w:type="dxa"/>
            <w:tcBorders>
              <w:top w:val="nil"/>
              <w:left w:val="nil"/>
              <w:bottom w:val="single" w:sz="8" w:space="0" w:color="auto"/>
              <w:right w:val="nil"/>
            </w:tcBorders>
            <w:shd w:val="clear" w:color="auto" w:fill="auto"/>
            <w:noWrap/>
            <w:vAlign w:val="center"/>
            <w:hideMark/>
          </w:tcPr>
          <w:p w14:paraId="607EB41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Livestock</w:t>
            </w:r>
          </w:p>
        </w:tc>
        <w:tc>
          <w:tcPr>
            <w:tcW w:w="1275" w:type="dxa"/>
            <w:tcBorders>
              <w:top w:val="nil"/>
              <w:left w:val="nil"/>
              <w:bottom w:val="single" w:sz="8" w:space="0" w:color="auto"/>
              <w:right w:val="nil"/>
            </w:tcBorders>
            <w:shd w:val="clear" w:color="auto" w:fill="auto"/>
            <w:noWrap/>
            <w:vAlign w:val="center"/>
            <w:hideMark/>
          </w:tcPr>
          <w:p w14:paraId="77CEA3F3"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roofErr w:type="spellStart"/>
            <w:r w:rsidRPr="00C248E8">
              <w:rPr>
                <w:rFonts w:ascii="Times New Roman" w:eastAsia="Malgun Gothic" w:hAnsi="Times New Roman" w:cs="Times New Roman"/>
                <w:iCs/>
                <w:sz w:val="24"/>
                <w:szCs w:val="24"/>
                <w:lang w:eastAsia="ko-KR"/>
              </w:rPr>
              <w:t>Proc_Food</w:t>
            </w:r>
            <w:proofErr w:type="spellEnd"/>
          </w:p>
        </w:tc>
      </w:tr>
      <w:tr w:rsidR="00C248E8" w:rsidRPr="00C248E8" w14:paraId="7F6B1EF3" w14:textId="77777777" w:rsidTr="00994AE3">
        <w:trPr>
          <w:trHeight w:val="311"/>
        </w:trPr>
        <w:tc>
          <w:tcPr>
            <w:tcW w:w="2322" w:type="dxa"/>
            <w:tcBorders>
              <w:top w:val="nil"/>
              <w:left w:val="nil"/>
              <w:bottom w:val="nil"/>
              <w:right w:val="nil"/>
            </w:tcBorders>
            <w:shd w:val="clear" w:color="auto" w:fill="auto"/>
            <w:noWrap/>
            <w:vAlign w:val="center"/>
            <w:hideMark/>
          </w:tcPr>
          <w:p w14:paraId="0B97FDB6"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East of Europe</w:t>
            </w:r>
          </w:p>
        </w:tc>
        <w:tc>
          <w:tcPr>
            <w:tcW w:w="1081" w:type="dxa"/>
            <w:tcBorders>
              <w:top w:val="nil"/>
              <w:left w:val="nil"/>
              <w:bottom w:val="nil"/>
              <w:right w:val="nil"/>
            </w:tcBorders>
            <w:shd w:val="clear" w:color="auto" w:fill="auto"/>
            <w:noWrap/>
            <w:vAlign w:val="center"/>
            <w:hideMark/>
          </w:tcPr>
          <w:p w14:paraId="60ECE66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57.8</w:t>
            </w:r>
          </w:p>
        </w:tc>
        <w:tc>
          <w:tcPr>
            <w:tcW w:w="1243" w:type="dxa"/>
            <w:gridSpan w:val="2"/>
            <w:tcBorders>
              <w:top w:val="nil"/>
              <w:left w:val="nil"/>
              <w:bottom w:val="nil"/>
              <w:right w:val="nil"/>
            </w:tcBorders>
            <w:shd w:val="clear" w:color="auto" w:fill="auto"/>
            <w:noWrap/>
            <w:vAlign w:val="center"/>
            <w:hideMark/>
          </w:tcPr>
          <w:p w14:paraId="7B504C4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-35.2</w:t>
            </w:r>
          </w:p>
        </w:tc>
        <w:tc>
          <w:tcPr>
            <w:tcW w:w="1275" w:type="dxa"/>
            <w:tcBorders>
              <w:top w:val="nil"/>
              <w:left w:val="nil"/>
              <w:bottom w:val="nil"/>
              <w:right w:val="nil"/>
            </w:tcBorders>
            <w:shd w:val="clear" w:color="auto" w:fill="auto"/>
            <w:noWrap/>
            <w:vAlign w:val="center"/>
            <w:hideMark/>
          </w:tcPr>
          <w:p w14:paraId="528BC6A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44.2</w:t>
            </w:r>
          </w:p>
        </w:tc>
        <w:tc>
          <w:tcPr>
            <w:tcW w:w="222" w:type="dxa"/>
            <w:tcBorders>
              <w:top w:val="nil"/>
              <w:left w:val="nil"/>
              <w:bottom w:val="nil"/>
              <w:right w:val="nil"/>
            </w:tcBorders>
            <w:shd w:val="clear" w:color="auto" w:fill="auto"/>
            <w:noWrap/>
            <w:vAlign w:val="center"/>
            <w:hideMark/>
          </w:tcPr>
          <w:p w14:paraId="575062E9"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41EF5C9C"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10.5</w:t>
            </w:r>
          </w:p>
        </w:tc>
        <w:tc>
          <w:tcPr>
            <w:tcW w:w="1156" w:type="dxa"/>
            <w:tcBorders>
              <w:top w:val="nil"/>
              <w:left w:val="nil"/>
              <w:bottom w:val="nil"/>
              <w:right w:val="nil"/>
            </w:tcBorders>
            <w:shd w:val="clear" w:color="auto" w:fill="auto"/>
            <w:noWrap/>
            <w:vAlign w:val="center"/>
            <w:hideMark/>
          </w:tcPr>
          <w:p w14:paraId="16C0AFF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-54.6</w:t>
            </w:r>
          </w:p>
        </w:tc>
        <w:tc>
          <w:tcPr>
            <w:tcW w:w="1275" w:type="dxa"/>
            <w:tcBorders>
              <w:top w:val="nil"/>
              <w:left w:val="nil"/>
              <w:bottom w:val="nil"/>
              <w:right w:val="nil"/>
            </w:tcBorders>
            <w:shd w:val="clear" w:color="auto" w:fill="auto"/>
            <w:noWrap/>
            <w:vAlign w:val="center"/>
            <w:hideMark/>
          </w:tcPr>
          <w:p w14:paraId="792AF0F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0.9</w:t>
            </w:r>
          </w:p>
        </w:tc>
      </w:tr>
      <w:tr w:rsidR="00C248E8" w:rsidRPr="00C248E8" w14:paraId="1CD685FC" w14:textId="77777777" w:rsidTr="00994AE3">
        <w:trPr>
          <w:trHeight w:val="311"/>
        </w:trPr>
        <w:tc>
          <w:tcPr>
            <w:tcW w:w="2322" w:type="dxa"/>
            <w:tcBorders>
              <w:top w:val="nil"/>
              <w:left w:val="nil"/>
              <w:bottom w:val="nil"/>
              <w:right w:val="nil"/>
            </w:tcBorders>
            <w:shd w:val="clear" w:color="auto" w:fill="auto"/>
            <w:noWrap/>
            <w:vAlign w:val="center"/>
            <w:hideMark/>
          </w:tcPr>
          <w:p w14:paraId="4B8F4DC8"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South America</w:t>
            </w:r>
          </w:p>
        </w:tc>
        <w:tc>
          <w:tcPr>
            <w:tcW w:w="1081" w:type="dxa"/>
            <w:tcBorders>
              <w:top w:val="nil"/>
              <w:left w:val="nil"/>
              <w:bottom w:val="nil"/>
              <w:right w:val="nil"/>
            </w:tcBorders>
            <w:shd w:val="clear" w:color="auto" w:fill="auto"/>
            <w:noWrap/>
            <w:vAlign w:val="center"/>
            <w:hideMark/>
          </w:tcPr>
          <w:p w14:paraId="53A7D51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107.1</w:t>
            </w:r>
          </w:p>
        </w:tc>
        <w:tc>
          <w:tcPr>
            <w:tcW w:w="1243" w:type="dxa"/>
            <w:gridSpan w:val="2"/>
            <w:tcBorders>
              <w:top w:val="nil"/>
              <w:left w:val="nil"/>
              <w:bottom w:val="nil"/>
              <w:right w:val="nil"/>
            </w:tcBorders>
            <w:shd w:val="clear" w:color="auto" w:fill="auto"/>
            <w:noWrap/>
            <w:vAlign w:val="center"/>
            <w:hideMark/>
          </w:tcPr>
          <w:p w14:paraId="68A6884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-27.8</w:t>
            </w:r>
          </w:p>
        </w:tc>
        <w:tc>
          <w:tcPr>
            <w:tcW w:w="1275" w:type="dxa"/>
            <w:tcBorders>
              <w:top w:val="nil"/>
              <w:left w:val="nil"/>
              <w:bottom w:val="nil"/>
              <w:right w:val="nil"/>
            </w:tcBorders>
            <w:shd w:val="clear" w:color="auto" w:fill="auto"/>
            <w:noWrap/>
            <w:vAlign w:val="center"/>
            <w:hideMark/>
          </w:tcPr>
          <w:p w14:paraId="57C6089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-1.3</w:t>
            </w:r>
          </w:p>
        </w:tc>
        <w:tc>
          <w:tcPr>
            <w:tcW w:w="222" w:type="dxa"/>
            <w:tcBorders>
              <w:top w:val="nil"/>
              <w:left w:val="nil"/>
              <w:bottom w:val="nil"/>
              <w:right w:val="nil"/>
            </w:tcBorders>
            <w:shd w:val="clear" w:color="auto" w:fill="auto"/>
            <w:noWrap/>
            <w:vAlign w:val="center"/>
            <w:hideMark/>
          </w:tcPr>
          <w:p w14:paraId="6344870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56FD399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45.0</w:t>
            </w:r>
          </w:p>
        </w:tc>
        <w:tc>
          <w:tcPr>
            <w:tcW w:w="1156" w:type="dxa"/>
            <w:tcBorders>
              <w:top w:val="nil"/>
              <w:left w:val="nil"/>
              <w:bottom w:val="nil"/>
              <w:right w:val="nil"/>
            </w:tcBorders>
            <w:shd w:val="clear" w:color="auto" w:fill="auto"/>
            <w:noWrap/>
            <w:vAlign w:val="center"/>
            <w:hideMark/>
          </w:tcPr>
          <w:p w14:paraId="4B98119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-49.4</w:t>
            </w:r>
          </w:p>
        </w:tc>
        <w:tc>
          <w:tcPr>
            <w:tcW w:w="1275" w:type="dxa"/>
            <w:tcBorders>
              <w:top w:val="nil"/>
              <w:left w:val="nil"/>
              <w:bottom w:val="nil"/>
              <w:right w:val="nil"/>
            </w:tcBorders>
            <w:shd w:val="clear" w:color="auto" w:fill="auto"/>
            <w:noWrap/>
            <w:vAlign w:val="center"/>
            <w:hideMark/>
          </w:tcPr>
          <w:p w14:paraId="23E82B6C"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-30.9</w:t>
            </w:r>
          </w:p>
        </w:tc>
      </w:tr>
      <w:tr w:rsidR="00C248E8" w:rsidRPr="00C248E8" w14:paraId="734BC1F3" w14:textId="77777777" w:rsidTr="00994AE3">
        <w:trPr>
          <w:trHeight w:val="311"/>
        </w:trPr>
        <w:tc>
          <w:tcPr>
            <w:tcW w:w="2322" w:type="dxa"/>
            <w:tcBorders>
              <w:top w:val="nil"/>
              <w:left w:val="nil"/>
              <w:bottom w:val="nil"/>
              <w:right w:val="nil"/>
            </w:tcBorders>
            <w:shd w:val="clear" w:color="auto" w:fill="auto"/>
            <w:noWrap/>
            <w:vAlign w:val="center"/>
            <w:hideMark/>
          </w:tcPr>
          <w:p w14:paraId="6CDECD6A"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Aust &amp; N. Zealand</w:t>
            </w:r>
          </w:p>
        </w:tc>
        <w:tc>
          <w:tcPr>
            <w:tcW w:w="1081" w:type="dxa"/>
            <w:tcBorders>
              <w:top w:val="nil"/>
              <w:left w:val="nil"/>
              <w:bottom w:val="nil"/>
              <w:right w:val="nil"/>
            </w:tcBorders>
            <w:shd w:val="clear" w:color="auto" w:fill="auto"/>
            <w:noWrap/>
            <w:vAlign w:val="center"/>
            <w:hideMark/>
          </w:tcPr>
          <w:p w14:paraId="3A7B568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66.1</w:t>
            </w:r>
          </w:p>
        </w:tc>
        <w:tc>
          <w:tcPr>
            <w:tcW w:w="1243" w:type="dxa"/>
            <w:gridSpan w:val="2"/>
            <w:tcBorders>
              <w:top w:val="nil"/>
              <w:left w:val="nil"/>
              <w:bottom w:val="nil"/>
              <w:right w:val="nil"/>
            </w:tcBorders>
            <w:shd w:val="clear" w:color="auto" w:fill="auto"/>
            <w:noWrap/>
            <w:vAlign w:val="center"/>
            <w:hideMark/>
          </w:tcPr>
          <w:p w14:paraId="28B3CFD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-54.2</w:t>
            </w:r>
          </w:p>
        </w:tc>
        <w:tc>
          <w:tcPr>
            <w:tcW w:w="1275" w:type="dxa"/>
            <w:tcBorders>
              <w:top w:val="nil"/>
              <w:left w:val="nil"/>
              <w:bottom w:val="nil"/>
              <w:right w:val="nil"/>
            </w:tcBorders>
            <w:shd w:val="clear" w:color="auto" w:fill="auto"/>
            <w:noWrap/>
            <w:vAlign w:val="center"/>
            <w:hideMark/>
          </w:tcPr>
          <w:p w14:paraId="153A221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21.0</w:t>
            </w:r>
          </w:p>
        </w:tc>
        <w:tc>
          <w:tcPr>
            <w:tcW w:w="222" w:type="dxa"/>
            <w:tcBorders>
              <w:top w:val="nil"/>
              <w:left w:val="nil"/>
              <w:bottom w:val="nil"/>
              <w:right w:val="nil"/>
            </w:tcBorders>
            <w:shd w:val="clear" w:color="auto" w:fill="auto"/>
            <w:noWrap/>
            <w:vAlign w:val="center"/>
            <w:hideMark/>
          </w:tcPr>
          <w:p w14:paraId="72396BF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1FEEFC3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19.6</w:t>
            </w:r>
          </w:p>
        </w:tc>
        <w:tc>
          <w:tcPr>
            <w:tcW w:w="1156" w:type="dxa"/>
            <w:tcBorders>
              <w:top w:val="nil"/>
              <w:left w:val="nil"/>
              <w:bottom w:val="nil"/>
              <w:right w:val="nil"/>
            </w:tcBorders>
            <w:shd w:val="clear" w:color="auto" w:fill="auto"/>
            <w:noWrap/>
            <w:vAlign w:val="center"/>
            <w:hideMark/>
          </w:tcPr>
          <w:p w14:paraId="2E4F2AB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-67.0</w:t>
            </w:r>
          </w:p>
        </w:tc>
        <w:tc>
          <w:tcPr>
            <w:tcW w:w="1275" w:type="dxa"/>
            <w:tcBorders>
              <w:top w:val="nil"/>
              <w:left w:val="nil"/>
              <w:bottom w:val="nil"/>
              <w:right w:val="nil"/>
            </w:tcBorders>
            <w:shd w:val="clear" w:color="auto" w:fill="auto"/>
            <w:noWrap/>
            <w:vAlign w:val="center"/>
            <w:hideMark/>
          </w:tcPr>
          <w:p w14:paraId="2E25982D"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-12.9</w:t>
            </w:r>
          </w:p>
        </w:tc>
      </w:tr>
      <w:tr w:rsidR="00C248E8" w:rsidRPr="00C248E8" w14:paraId="26ADB9CA" w14:textId="77777777" w:rsidTr="00994AE3">
        <w:trPr>
          <w:trHeight w:val="311"/>
        </w:trPr>
        <w:tc>
          <w:tcPr>
            <w:tcW w:w="2322" w:type="dxa"/>
            <w:tcBorders>
              <w:top w:val="nil"/>
              <w:left w:val="nil"/>
              <w:bottom w:val="nil"/>
              <w:right w:val="nil"/>
            </w:tcBorders>
            <w:shd w:val="clear" w:color="auto" w:fill="auto"/>
            <w:noWrap/>
            <w:vAlign w:val="center"/>
            <w:hideMark/>
          </w:tcPr>
          <w:p w14:paraId="3C5C6BAF"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Europe</w:t>
            </w:r>
          </w:p>
        </w:tc>
        <w:tc>
          <w:tcPr>
            <w:tcW w:w="1081" w:type="dxa"/>
            <w:tcBorders>
              <w:top w:val="nil"/>
              <w:left w:val="nil"/>
              <w:bottom w:val="nil"/>
              <w:right w:val="nil"/>
            </w:tcBorders>
            <w:shd w:val="clear" w:color="auto" w:fill="auto"/>
            <w:noWrap/>
            <w:vAlign w:val="center"/>
            <w:hideMark/>
          </w:tcPr>
          <w:p w14:paraId="409BDB5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50.5</w:t>
            </w:r>
          </w:p>
        </w:tc>
        <w:tc>
          <w:tcPr>
            <w:tcW w:w="1243" w:type="dxa"/>
            <w:gridSpan w:val="2"/>
            <w:tcBorders>
              <w:top w:val="nil"/>
              <w:left w:val="nil"/>
              <w:bottom w:val="nil"/>
              <w:right w:val="nil"/>
            </w:tcBorders>
            <w:shd w:val="clear" w:color="auto" w:fill="auto"/>
            <w:noWrap/>
            <w:vAlign w:val="center"/>
            <w:hideMark/>
          </w:tcPr>
          <w:p w14:paraId="363A4603"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-42.1</w:t>
            </w:r>
          </w:p>
        </w:tc>
        <w:tc>
          <w:tcPr>
            <w:tcW w:w="1275" w:type="dxa"/>
            <w:tcBorders>
              <w:top w:val="nil"/>
              <w:left w:val="nil"/>
              <w:bottom w:val="nil"/>
              <w:right w:val="nil"/>
            </w:tcBorders>
            <w:shd w:val="clear" w:color="auto" w:fill="auto"/>
            <w:noWrap/>
            <w:vAlign w:val="center"/>
            <w:hideMark/>
          </w:tcPr>
          <w:p w14:paraId="749CBDC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3.0</w:t>
            </w:r>
          </w:p>
        </w:tc>
        <w:tc>
          <w:tcPr>
            <w:tcW w:w="222" w:type="dxa"/>
            <w:tcBorders>
              <w:top w:val="nil"/>
              <w:left w:val="nil"/>
              <w:bottom w:val="nil"/>
              <w:right w:val="nil"/>
            </w:tcBorders>
            <w:shd w:val="clear" w:color="auto" w:fill="auto"/>
            <w:noWrap/>
            <w:vAlign w:val="center"/>
            <w:hideMark/>
          </w:tcPr>
          <w:p w14:paraId="3C29493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16EABF9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8.3</w:t>
            </w:r>
          </w:p>
        </w:tc>
        <w:tc>
          <w:tcPr>
            <w:tcW w:w="1156" w:type="dxa"/>
            <w:tcBorders>
              <w:top w:val="nil"/>
              <w:left w:val="nil"/>
              <w:bottom w:val="nil"/>
              <w:right w:val="nil"/>
            </w:tcBorders>
            <w:shd w:val="clear" w:color="auto" w:fill="auto"/>
            <w:noWrap/>
            <w:vAlign w:val="center"/>
            <w:hideMark/>
          </w:tcPr>
          <w:p w14:paraId="46C4B9F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-58.3</w:t>
            </w:r>
          </w:p>
        </w:tc>
        <w:tc>
          <w:tcPr>
            <w:tcW w:w="1275" w:type="dxa"/>
            <w:tcBorders>
              <w:top w:val="nil"/>
              <w:left w:val="nil"/>
              <w:bottom w:val="nil"/>
              <w:right w:val="nil"/>
            </w:tcBorders>
            <w:shd w:val="clear" w:color="auto" w:fill="auto"/>
            <w:noWrap/>
            <w:vAlign w:val="center"/>
            <w:hideMark/>
          </w:tcPr>
          <w:p w14:paraId="041EA50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-25.8</w:t>
            </w:r>
          </w:p>
        </w:tc>
      </w:tr>
      <w:tr w:rsidR="00C248E8" w:rsidRPr="00C248E8" w14:paraId="0120CDDB" w14:textId="77777777" w:rsidTr="00994AE3">
        <w:trPr>
          <w:trHeight w:val="311"/>
        </w:trPr>
        <w:tc>
          <w:tcPr>
            <w:tcW w:w="2322" w:type="dxa"/>
            <w:tcBorders>
              <w:top w:val="nil"/>
              <w:left w:val="nil"/>
              <w:bottom w:val="nil"/>
              <w:right w:val="nil"/>
            </w:tcBorders>
            <w:shd w:val="clear" w:color="auto" w:fill="auto"/>
            <w:noWrap/>
            <w:vAlign w:val="center"/>
            <w:hideMark/>
          </w:tcPr>
          <w:p w14:paraId="71BD2F5B"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South Africa</w:t>
            </w:r>
          </w:p>
        </w:tc>
        <w:tc>
          <w:tcPr>
            <w:tcW w:w="1081" w:type="dxa"/>
            <w:tcBorders>
              <w:top w:val="nil"/>
              <w:left w:val="nil"/>
              <w:bottom w:val="nil"/>
              <w:right w:val="nil"/>
            </w:tcBorders>
            <w:shd w:val="clear" w:color="auto" w:fill="auto"/>
            <w:noWrap/>
            <w:vAlign w:val="center"/>
            <w:hideMark/>
          </w:tcPr>
          <w:p w14:paraId="01CEA003"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93.6</w:t>
            </w:r>
          </w:p>
        </w:tc>
        <w:tc>
          <w:tcPr>
            <w:tcW w:w="1243" w:type="dxa"/>
            <w:gridSpan w:val="2"/>
            <w:tcBorders>
              <w:top w:val="nil"/>
              <w:left w:val="nil"/>
              <w:bottom w:val="nil"/>
              <w:right w:val="nil"/>
            </w:tcBorders>
            <w:shd w:val="clear" w:color="auto" w:fill="auto"/>
            <w:noWrap/>
            <w:vAlign w:val="center"/>
            <w:hideMark/>
          </w:tcPr>
          <w:p w14:paraId="6EDD409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10.0</w:t>
            </w:r>
          </w:p>
        </w:tc>
        <w:tc>
          <w:tcPr>
            <w:tcW w:w="1275" w:type="dxa"/>
            <w:tcBorders>
              <w:top w:val="nil"/>
              <w:left w:val="nil"/>
              <w:bottom w:val="nil"/>
              <w:right w:val="nil"/>
            </w:tcBorders>
            <w:shd w:val="clear" w:color="auto" w:fill="auto"/>
            <w:noWrap/>
            <w:vAlign w:val="center"/>
            <w:hideMark/>
          </w:tcPr>
          <w:p w14:paraId="390304B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-134.6</w:t>
            </w:r>
          </w:p>
        </w:tc>
        <w:tc>
          <w:tcPr>
            <w:tcW w:w="222" w:type="dxa"/>
            <w:tcBorders>
              <w:top w:val="nil"/>
              <w:left w:val="nil"/>
              <w:bottom w:val="nil"/>
              <w:right w:val="nil"/>
            </w:tcBorders>
            <w:shd w:val="clear" w:color="auto" w:fill="auto"/>
            <w:noWrap/>
            <w:vAlign w:val="center"/>
            <w:hideMark/>
          </w:tcPr>
          <w:p w14:paraId="43D8018C"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50C02C6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47.1</w:t>
            </w:r>
          </w:p>
        </w:tc>
        <w:tc>
          <w:tcPr>
            <w:tcW w:w="1156" w:type="dxa"/>
            <w:tcBorders>
              <w:top w:val="nil"/>
              <w:left w:val="nil"/>
              <w:bottom w:val="nil"/>
              <w:right w:val="nil"/>
            </w:tcBorders>
            <w:shd w:val="clear" w:color="auto" w:fill="auto"/>
            <w:noWrap/>
            <w:vAlign w:val="center"/>
            <w:hideMark/>
          </w:tcPr>
          <w:p w14:paraId="77735AE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-16.4</w:t>
            </w:r>
          </w:p>
        </w:tc>
        <w:tc>
          <w:tcPr>
            <w:tcW w:w="1275" w:type="dxa"/>
            <w:tcBorders>
              <w:top w:val="nil"/>
              <w:left w:val="nil"/>
              <w:bottom w:val="nil"/>
              <w:right w:val="nil"/>
            </w:tcBorders>
            <w:shd w:val="clear" w:color="auto" w:fill="auto"/>
            <w:noWrap/>
            <w:vAlign w:val="center"/>
            <w:hideMark/>
          </w:tcPr>
          <w:p w14:paraId="1F725B2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-126.3</w:t>
            </w:r>
          </w:p>
        </w:tc>
      </w:tr>
      <w:tr w:rsidR="00C248E8" w:rsidRPr="00C248E8" w14:paraId="37D653EE" w14:textId="77777777" w:rsidTr="00994AE3">
        <w:trPr>
          <w:trHeight w:val="311"/>
        </w:trPr>
        <w:tc>
          <w:tcPr>
            <w:tcW w:w="2322" w:type="dxa"/>
            <w:tcBorders>
              <w:top w:val="nil"/>
              <w:left w:val="nil"/>
              <w:bottom w:val="nil"/>
              <w:right w:val="nil"/>
            </w:tcBorders>
            <w:shd w:val="clear" w:color="auto" w:fill="auto"/>
            <w:noWrap/>
            <w:vAlign w:val="center"/>
            <w:hideMark/>
          </w:tcPr>
          <w:p w14:paraId="6285EB60"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Canada &amp; US</w:t>
            </w:r>
          </w:p>
        </w:tc>
        <w:tc>
          <w:tcPr>
            <w:tcW w:w="1081" w:type="dxa"/>
            <w:tcBorders>
              <w:top w:val="nil"/>
              <w:left w:val="nil"/>
              <w:bottom w:val="nil"/>
              <w:right w:val="nil"/>
            </w:tcBorders>
            <w:shd w:val="clear" w:color="auto" w:fill="auto"/>
            <w:noWrap/>
            <w:vAlign w:val="center"/>
            <w:hideMark/>
          </w:tcPr>
          <w:p w14:paraId="46A3B12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68.5</w:t>
            </w:r>
          </w:p>
        </w:tc>
        <w:tc>
          <w:tcPr>
            <w:tcW w:w="1243" w:type="dxa"/>
            <w:gridSpan w:val="2"/>
            <w:tcBorders>
              <w:top w:val="nil"/>
              <w:left w:val="nil"/>
              <w:bottom w:val="nil"/>
              <w:right w:val="nil"/>
            </w:tcBorders>
            <w:shd w:val="clear" w:color="auto" w:fill="auto"/>
            <w:noWrap/>
            <w:vAlign w:val="center"/>
            <w:hideMark/>
          </w:tcPr>
          <w:p w14:paraId="10CFB3A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-48.4</w:t>
            </w:r>
          </w:p>
        </w:tc>
        <w:tc>
          <w:tcPr>
            <w:tcW w:w="1275" w:type="dxa"/>
            <w:tcBorders>
              <w:top w:val="nil"/>
              <w:left w:val="nil"/>
              <w:bottom w:val="nil"/>
              <w:right w:val="nil"/>
            </w:tcBorders>
            <w:shd w:val="clear" w:color="auto" w:fill="auto"/>
            <w:noWrap/>
            <w:vAlign w:val="center"/>
            <w:hideMark/>
          </w:tcPr>
          <w:p w14:paraId="0B2B038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0.5</w:t>
            </w:r>
          </w:p>
        </w:tc>
        <w:tc>
          <w:tcPr>
            <w:tcW w:w="222" w:type="dxa"/>
            <w:tcBorders>
              <w:top w:val="nil"/>
              <w:left w:val="nil"/>
              <w:bottom w:val="nil"/>
              <w:right w:val="nil"/>
            </w:tcBorders>
            <w:shd w:val="clear" w:color="auto" w:fill="auto"/>
            <w:noWrap/>
            <w:vAlign w:val="center"/>
            <w:hideMark/>
          </w:tcPr>
          <w:p w14:paraId="0C32217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7A399AA7"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12.9</w:t>
            </w:r>
          </w:p>
        </w:tc>
        <w:tc>
          <w:tcPr>
            <w:tcW w:w="1156" w:type="dxa"/>
            <w:tcBorders>
              <w:top w:val="nil"/>
              <w:left w:val="nil"/>
              <w:bottom w:val="nil"/>
              <w:right w:val="nil"/>
            </w:tcBorders>
            <w:shd w:val="clear" w:color="auto" w:fill="auto"/>
            <w:noWrap/>
            <w:vAlign w:val="center"/>
            <w:hideMark/>
          </w:tcPr>
          <w:p w14:paraId="0EEEF82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-65.4</w:t>
            </w:r>
          </w:p>
        </w:tc>
        <w:tc>
          <w:tcPr>
            <w:tcW w:w="1275" w:type="dxa"/>
            <w:tcBorders>
              <w:top w:val="nil"/>
              <w:left w:val="nil"/>
              <w:bottom w:val="nil"/>
              <w:right w:val="nil"/>
            </w:tcBorders>
            <w:shd w:val="clear" w:color="auto" w:fill="auto"/>
            <w:noWrap/>
            <w:vAlign w:val="center"/>
            <w:hideMark/>
          </w:tcPr>
          <w:p w14:paraId="00B1960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-32.6</w:t>
            </w:r>
          </w:p>
        </w:tc>
      </w:tr>
      <w:tr w:rsidR="00C248E8" w:rsidRPr="00C248E8" w14:paraId="2B2DD78B" w14:textId="77777777" w:rsidTr="00994AE3">
        <w:trPr>
          <w:trHeight w:val="311"/>
        </w:trPr>
        <w:tc>
          <w:tcPr>
            <w:tcW w:w="2322" w:type="dxa"/>
            <w:tcBorders>
              <w:top w:val="nil"/>
              <w:left w:val="nil"/>
              <w:bottom w:val="nil"/>
              <w:right w:val="nil"/>
            </w:tcBorders>
            <w:shd w:val="clear" w:color="auto" w:fill="auto"/>
            <w:noWrap/>
            <w:vAlign w:val="center"/>
            <w:hideMark/>
          </w:tcPr>
          <w:p w14:paraId="345E97D2"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China</w:t>
            </w:r>
          </w:p>
        </w:tc>
        <w:tc>
          <w:tcPr>
            <w:tcW w:w="1081" w:type="dxa"/>
            <w:tcBorders>
              <w:top w:val="nil"/>
              <w:left w:val="nil"/>
              <w:bottom w:val="nil"/>
              <w:right w:val="nil"/>
            </w:tcBorders>
            <w:shd w:val="clear" w:color="auto" w:fill="auto"/>
            <w:noWrap/>
            <w:vAlign w:val="center"/>
            <w:hideMark/>
          </w:tcPr>
          <w:p w14:paraId="2BF327BC"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37.5</w:t>
            </w:r>
          </w:p>
        </w:tc>
        <w:tc>
          <w:tcPr>
            <w:tcW w:w="1243" w:type="dxa"/>
            <w:gridSpan w:val="2"/>
            <w:tcBorders>
              <w:top w:val="nil"/>
              <w:left w:val="nil"/>
              <w:bottom w:val="nil"/>
              <w:right w:val="nil"/>
            </w:tcBorders>
            <w:shd w:val="clear" w:color="auto" w:fill="auto"/>
            <w:noWrap/>
            <w:vAlign w:val="center"/>
            <w:hideMark/>
          </w:tcPr>
          <w:p w14:paraId="2A4825F9"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35.9</w:t>
            </w:r>
          </w:p>
        </w:tc>
        <w:tc>
          <w:tcPr>
            <w:tcW w:w="1275" w:type="dxa"/>
            <w:tcBorders>
              <w:top w:val="nil"/>
              <w:left w:val="nil"/>
              <w:bottom w:val="nil"/>
              <w:right w:val="nil"/>
            </w:tcBorders>
            <w:shd w:val="clear" w:color="auto" w:fill="auto"/>
            <w:noWrap/>
            <w:vAlign w:val="center"/>
            <w:hideMark/>
          </w:tcPr>
          <w:p w14:paraId="2CE590A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281.8</w:t>
            </w:r>
          </w:p>
        </w:tc>
        <w:tc>
          <w:tcPr>
            <w:tcW w:w="222" w:type="dxa"/>
            <w:tcBorders>
              <w:top w:val="nil"/>
              <w:left w:val="nil"/>
              <w:bottom w:val="nil"/>
              <w:right w:val="nil"/>
            </w:tcBorders>
            <w:shd w:val="clear" w:color="auto" w:fill="auto"/>
            <w:noWrap/>
            <w:vAlign w:val="center"/>
            <w:hideMark/>
          </w:tcPr>
          <w:p w14:paraId="7DEB56A4"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4867DB12"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-3.7</w:t>
            </w:r>
          </w:p>
        </w:tc>
        <w:tc>
          <w:tcPr>
            <w:tcW w:w="1156" w:type="dxa"/>
            <w:tcBorders>
              <w:top w:val="nil"/>
              <w:left w:val="nil"/>
              <w:bottom w:val="nil"/>
              <w:right w:val="nil"/>
            </w:tcBorders>
            <w:shd w:val="clear" w:color="auto" w:fill="auto"/>
            <w:noWrap/>
            <w:vAlign w:val="center"/>
            <w:hideMark/>
          </w:tcPr>
          <w:p w14:paraId="534C275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-4.9</w:t>
            </w:r>
          </w:p>
        </w:tc>
        <w:tc>
          <w:tcPr>
            <w:tcW w:w="1275" w:type="dxa"/>
            <w:tcBorders>
              <w:top w:val="nil"/>
              <w:left w:val="nil"/>
              <w:bottom w:val="nil"/>
              <w:right w:val="nil"/>
            </w:tcBorders>
            <w:shd w:val="clear" w:color="auto" w:fill="auto"/>
            <w:noWrap/>
            <w:vAlign w:val="center"/>
            <w:hideMark/>
          </w:tcPr>
          <w:p w14:paraId="2B8F153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167.3</w:t>
            </w:r>
          </w:p>
        </w:tc>
      </w:tr>
      <w:tr w:rsidR="00C248E8" w:rsidRPr="00C248E8" w14:paraId="27B9BE23" w14:textId="77777777" w:rsidTr="00994AE3">
        <w:trPr>
          <w:trHeight w:val="311"/>
        </w:trPr>
        <w:tc>
          <w:tcPr>
            <w:tcW w:w="2322" w:type="dxa"/>
            <w:tcBorders>
              <w:top w:val="nil"/>
              <w:left w:val="nil"/>
              <w:bottom w:val="nil"/>
              <w:right w:val="nil"/>
            </w:tcBorders>
            <w:shd w:val="clear" w:color="auto" w:fill="auto"/>
            <w:noWrap/>
            <w:vAlign w:val="center"/>
            <w:hideMark/>
          </w:tcPr>
          <w:p w14:paraId="18B2ACF1"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Japan and Korea</w:t>
            </w:r>
          </w:p>
        </w:tc>
        <w:tc>
          <w:tcPr>
            <w:tcW w:w="1081" w:type="dxa"/>
            <w:tcBorders>
              <w:top w:val="nil"/>
              <w:left w:val="nil"/>
              <w:bottom w:val="nil"/>
              <w:right w:val="nil"/>
            </w:tcBorders>
            <w:shd w:val="clear" w:color="auto" w:fill="auto"/>
            <w:noWrap/>
            <w:vAlign w:val="center"/>
            <w:hideMark/>
          </w:tcPr>
          <w:p w14:paraId="19A14AEE"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40.9</w:t>
            </w:r>
          </w:p>
        </w:tc>
        <w:tc>
          <w:tcPr>
            <w:tcW w:w="1243" w:type="dxa"/>
            <w:gridSpan w:val="2"/>
            <w:tcBorders>
              <w:top w:val="nil"/>
              <w:left w:val="nil"/>
              <w:bottom w:val="nil"/>
              <w:right w:val="nil"/>
            </w:tcBorders>
            <w:shd w:val="clear" w:color="auto" w:fill="auto"/>
            <w:noWrap/>
            <w:vAlign w:val="center"/>
            <w:hideMark/>
          </w:tcPr>
          <w:p w14:paraId="5BC45AD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-13.7</w:t>
            </w:r>
          </w:p>
        </w:tc>
        <w:tc>
          <w:tcPr>
            <w:tcW w:w="1275" w:type="dxa"/>
            <w:tcBorders>
              <w:top w:val="nil"/>
              <w:left w:val="nil"/>
              <w:bottom w:val="nil"/>
              <w:right w:val="nil"/>
            </w:tcBorders>
            <w:shd w:val="clear" w:color="auto" w:fill="auto"/>
            <w:noWrap/>
            <w:vAlign w:val="center"/>
            <w:hideMark/>
          </w:tcPr>
          <w:p w14:paraId="16DD9D6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-48.1</w:t>
            </w:r>
          </w:p>
        </w:tc>
        <w:tc>
          <w:tcPr>
            <w:tcW w:w="222" w:type="dxa"/>
            <w:tcBorders>
              <w:top w:val="nil"/>
              <w:left w:val="nil"/>
              <w:bottom w:val="nil"/>
              <w:right w:val="nil"/>
            </w:tcBorders>
            <w:shd w:val="clear" w:color="auto" w:fill="auto"/>
            <w:noWrap/>
            <w:vAlign w:val="center"/>
            <w:hideMark/>
          </w:tcPr>
          <w:p w14:paraId="4EED6F0F"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nil"/>
              <w:right w:val="nil"/>
            </w:tcBorders>
            <w:shd w:val="clear" w:color="auto" w:fill="auto"/>
            <w:noWrap/>
            <w:vAlign w:val="center"/>
            <w:hideMark/>
          </w:tcPr>
          <w:p w14:paraId="05CA7416"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15.7</w:t>
            </w:r>
          </w:p>
        </w:tc>
        <w:tc>
          <w:tcPr>
            <w:tcW w:w="1156" w:type="dxa"/>
            <w:tcBorders>
              <w:top w:val="nil"/>
              <w:left w:val="nil"/>
              <w:bottom w:val="nil"/>
              <w:right w:val="nil"/>
            </w:tcBorders>
            <w:shd w:val="clear" w:color="auto" w:fill="auto"/>
            <w:noWrap/>
            <w:vAlign w:val="center"/>
            <w:hideMark/>
          </w:tcPr>
          <w:p w14:paraId="42D4171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-29.1</w:t>
            </w:r>
          </w:p>
        </w:tc>
        <w:tc>
          <w:tcPr>
            <w:tcW w:w="1275" w:type="dxa"/>
            <w:tcBorders>
              <w:top w:val="nil"/>
              <w:left w:val="nil"/>
              <w:bottom w:val="nil"/>
              <w:right w:val="nil"/>
            </w:tcBorders>
            <w:shd w:val="clear" w:color="auto" w:fill="auto"/>
            <w:noWrap/>
            <w:vAlign w:val="center"/>
            <w:hideMark/>
          </w:tcPr>
          <w:p w14:paraId="5D87399A"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-57.4</w:t>
            </w:r>
          </w:p>
        </w:tc>
      </w:tr>
      <w:tr w:rsidR="00C248E8" w:rsidRPr="00C248E8" w14:paraId="432FB259" w14:textId="77777777" w:rsidTr="00994AE3">
        <w:trPr>
          <w:trHeight w:val="325"/>
        </w:trPr>
        <w:tc>
          <w:tcPr>
            <w:tcW w:w="2322" w:type="dxa"/>
            <w:tcBorders>
              <w:top w:val="nil"/>
              <w:left w:val="nil"/>
              <w:bottom w:val="single" w:sz="8" w:space="0" w:color="auto"/>
              <w:right w:val="nil"/>
            </w:tcBorders>
            <w:shd w:val="clear" w:color="auto" w:fill="auto"/>
            <w:noWrap/>
            <w:vAlign w:val="center"/>
            <w:hideMark/>
          </w:tcPr>
          <w:p w14:paraId="1BBFFB7D" w14:textId="77777777" w:rsidR="00C248E8" w:rsidRPr="00C248E8" w:rsidRDefault="00C248E8" w:rsidP="00C248E8">
            <w:pPr>
              <w:spacing w:after="0" w:line="360" w:lineRule="auto"/>
              <w:jc w:val="both"/>
              <w:rPr>
                <w:rFonts w:ascii="Times New Roman" w:eastAsia="Malgun Gothic" w:hAnsi="Times New Roman" w:cs="Times New Roman"/>
                <w:b/>
                <w:bCs/>
                <w:iCs/>
                <w:sz w:val="24"/>
                <w:szCs w:val="24"/>
                <w:lang w:eastAsia="ko-KR"/>
              </w:rPr>
            </w:pPr>
            <w:r w:rsidRPr="00C248E8">
              <w:rPr>
                <w:rFonts w:ascii="Times New Roman" w:eastAsia="Malgun Gothic" w:hAnsi="Times New Roman" w:cs="Times New Roman"/>
                <w:b/>
                <w:bCs/>
                <w:iCs/>
                <w:sz w:val="24"/>
                <w:szCs w:val="24"/>
                <w:lang w:eastAsia="ko-KR"/>
              </w:rPr>
              <w:t>Central Asia</w:t>
            </w:r>
          </w:p>
        </w:tc>
        <w:tc>
          <w:tcPr>
            <w:tcW w:w="1081" w:type="dxa"/>
            <w:tcBorders>
              <w:top w:val="nil"/>
              <w:left w:val="nil"/>
              <w:bottom w:val="single" w:sz="8" w:space="0" w:color="auto"/>
              <w:right w:val="nil"/>
            </w:tcBorders>
            <w:shd w:val="clear" w:color="auto" w:fill="auto"/>
            <w:noWrap/>
            <w:vAlign w:val="center"/>
            <w:hideMark/>
          </w:tcPr>
          <w:p w14:paraId="2F1FBBC9"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64.0</w:t>
            </w:r>
          </w:p>
        </w:tc>
        <w:tc>
          <w:tcPr>
            <w:tcW w:w="1243" w:type="dxa"/>
            <w:gridSpan w:val="2"/>
            <w:tcBorders>
              <w:top w:val="nil"/>
              <w:left w:val="nil"/>
              <w:bottom w:val="single" w:sz="8" w:space="0" w:color="auto"/>
              <w:right w:val="nil"/>
            </w:tcBorders>
            <w:shd w:val="clear" w:color="auto" w:fill="auto"/>
            <w:noWrap/>
            <w:vAlign w:val="center"/>
            <w:hideMark/>
          </w:tcPr>
          <w:p w14:paraId="6F73CB88"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-21.1</w:t>
            </w:r>
          </w:p>
        </w:tc>
        <w:tc>
          <w:tcPr>
            <w:tcW w:w="1275" w:type="dxa"/>
            <w:tcBorders>
              <w:top w:val="nil"/>
              <w:left w:val="nil"/>
              <w:bottom w:val="single" w:sz="8" w:space="0" w:color="auto"/>
              <w:right w:val="nil"/>
            </w:tcBorders>
            <w:shd w:val="clear" w:color="auto" w:fill="auto"/>
            <w:noWrap/>
            <w:vAlign w:val="center"/>
            <w:hideMark/>
          </w:tcPr>
          <w:p w14:paraId="4854257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151.8</w:t>
            </w:r>
          </w:p>
        </w:tc>
        <w:tc>
          <w:tcPr>
            <w:tcW w:w="222" w:type="dxa"/>
            <w:tcBorders>
              <w:top w:val="nil"/>
              <w:left w:val="nil"/>
              <w:bottom w:val="nil"/>
              <w:right w:val="nil"/>
            </w:tcBorders>
            <w:shd w:val="clear" w:color="auto" w:fill="auto"/>
            <w:noWrap/>
            <w:vAlign w:val="center"/>
            <w:hideMark/>
          </w:tcPr>
          <w:p w14:paraId="5F2EA9F0"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p>
        </w:tc>
        <w:tc>
          <w:tcPr>
            <w:tcW w:w="786" w:type="dxa"/>
            <w:tcBorders>
              <w:top w:val="nil"/>
              <w:left w:val="nil"/>
              <w:bottom w:val="single" w:sz="8" w:space="0" w:color="auto"/>
              <w:right w:val="nil"/>
            </w:tcBorders>
            <w:shd w:val="clear" w:color="auto" w:fill="auto"/>
            <w:noWrap/>
            <w:vAlign w:val="center"/>
            <w:hideMark/>
          </w:tcPr>
          <w:p w14:paraId="1C3A3641"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17.3</w:t>
            </w:r>
          </w:p>
        </w:tc>
        <w:tc>
          <w:tcPr>
            <w:tcW w:w="1156" w:type="dxa"/>
            <w:tcBorders>
              <w:top w:val="nil"/>
              <w:left w:val="nil"/>
              <w:bottom w:val="single" w:sz="8" w:space="0" w:color="auto"/>
              <w:right w:val="nil"/>
            </w:tcBorders>
            <w:shd w:val="clear" w:color="auto" w:fill="auto"/>
            <w:noWrap/>
            <w:vAlign w:val="center"/>
            <w:hideMark/>
          </w:tcPr>
          <w:p w14:paraId="00401BD5"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-43.5</w:t>
            </w:r>
          </w:p>
        </w:tc>
        <w:tc>
          <w:tcPr>
            <w:tcW w:w="1275" w:type="dxa"/>
            <w:tcBorders>
              <w:top w:val="nil"/>
              <w:left w:val="nil"/>
              <w:bottom w:val="single" w:sz="8" w:space="0" w:color="auto"/>
              <w:right w:val="nil"/>
            </w:tcBorders>
            <w:shd w:val="clear" w:color="auto" w:fill="auto"/>
            <w:noWrap/>
            <w:vAlign w:val="center"/>
            <w:hideMark/>
          </w:tcPr>
          <w:p w14:paraId="3678610B" w14:textId="77777777" w:rsidR="00C248E8" w:rsidRPr="00C248E8" w:rsidRDefault="00C248E8" w:rsidP="00C248E8">
            <w:pPr>
              <w:spacing w:after="0" w:line="360" w:lineRule="auto"/>
              <w:jc w:val="both"/>
              <w:rPr>
                <w:rFonts w:ascii="Times New Roman" w:eastAsia="Malgun Gothic" w:hAnsi="Times New Roman" w:cs="Times New Roman"/>
                <w:iCs/>
                <w:sz w:val="24"/>
                <w:szCs w:val="24"/>
                <w:lang w:eastAsia="ko-KR"/>
              </w:rPr>
            </w:pPr>
            <w:r w:rsidRPr="00C248E8">
              <w:rPr>
                <w:rFonts w:ascii="Times New Roman" w:eastAsia="Malgun Gothic" w:hAnsi="Times New Roman" w:cs="Times New Roman"/>
                <w:iCs/>
                <w:sz w:val="24"/>
                <w:szCs w:val="24"/>
                <w:lang w:eastAsia="ko-KR"/>
              </w:rPr>
              <w:t>80.1</w:t>
            </w:r>
          </w:p>
        </w:tc>
      </w:tr>
    </w:tbl>
    <w:p w14:paraId="73CFECF8" w14:textId="6AEB548E" w:rsidR="00C248E8" w:rsidRPr="00F83C97" w:rsidRDefault="00C248E8" w:rsidP="002974AC">
      <w:pPr>
        <w:spacing w:after="480" w:line="240" w:lineRule="auto"/>
        <w:jc w:val="both"/>
        <w:rPr>
          <w:rFonts w:ascii="Times New Roman" w:eastAsia="Malgun Gothic" w:hAnsi="Times New Roman" w:cs="Times New Roman"/>
          <w:iCs/>
          <w:sz w:val="20"/>
          <w:szCs w:val="20"/>
          <w:lang w:eastAsia="ko-KR"/>
        </w:rPr>
      </w:pPr>
      <w:r w:rsidRPr="00F83C97">
        <w:rPr>
          <w:rFonts w:ascii="Times New Roman" w:eastAsia="Malgun Gothic" w:hAnsi="Times New Roman" w:cs="Times New Roman"/>
          <w:iCs/>
          <w:sz w:val="20"/>
          <w:szCs w:val="20"/>
          <w:lang w:eastAsia="ko-KR"/>
        </w:rPr>
        <w:t xml:space="preserve">Note: These shocks imply exogenous shifts for the average consumer, to move from the projected baseline diets towards healthier diets. Columns corresponding to Step 1 present shocks in per capita consumption that implies shifts in dietary composition that follows healthier diets (i.e., HDG and FLX) but respect the overall calorie consumption levels from BAU scenario. Columns corresponding to Step 2 to shocks that imply reductions on consumers food waste </w:t>
      </w:r>
      <w:r w:rsidRPr="00F83C97">
        <w:rPr>
          <w:rFonts w:ascii="Times New Roman" w:eastAsia="Malgun Gothic" w:hAnsi="Times New Roman" w:cs="Times New Roman"/>
          <w:iCs/>
          <w:sz w:val="20"/>
          <w:szCs w:val="20"/>
          <w:lang w:eastAsia="ko-KR"/>
        </w:rPr>
        <w:fldChar w:fldCharType="begin"/>
      </w:r>
      <w:r w:rsidR="0023119E">
        <w:rPr>
          <w:rFonts w:ascii="Times New Roman" w:eastAsia="Malgun Gothic" w:hAnsi="Times New Roman" w:cs="Times New Roman"/>
          <w:iCs/>
          <w:sz w:val="20"/>
          <w:szCs w:val="20"/>
          <w:lang w:eastAsia="ko-KR"/>
        </w:rPr>
        <w:instrText xml:space="preserve"> ADDIN ZOTERO_ITEM CSL_CITATION {"citationID":"rKcoXxHD","properties":{"formattedCitation":"\\super 3\\nosupersub{}","plainCitation":"3","noteIndex":0},"citationItems":[{"id":223,"uris":["http://zotero.org/users/5867530/items/MULUTKCA"],"uri":["http://zotero.org/users/5867530/items/MULUTKCA"],"itemData":{"id":223,"type":"article-journal","container-title":"Food Policy","page":"101874","title":"Global food waste across the income spectrum: Implications for food prices, production and resource use","author":[{"family":"Barrera","given":"Emiliano Lopez"},{"family":"Hertel","given":"Thomas"}],"issued":{"date-parts":[["2020"]]}}}],"schema":"https://github.com/citation-style-language/schema/raw/master/csl-citation.json"} </w:instrText>
      </w:r>
      <w:r w:rsidRPr="00F83C97">
        <w:rPr>
          <w:rFonts w:ascii="Times New Roman" w:eastAsia="Malgun Gothic" w:hAnsi="Times New Roman" w:cs="Times New Roman"/>
          <w:iCs/>
          <w:sz w:val="20"/>
          <w:szCs w:val="20"/>
          <w:lang w:eastAsia="ko-KR"/>
        </w:rPr>
        <w:fldChar w:fldCharType="separate"/>
      </w:r>
      <w:r w:rsidR="0023119E" w:rsidRPr="0023119E">
        <w:rPr>
          <w:rFonts w:ascii="Times New Roman" w:hAnsi="Times New Roman" w:cs="Times New Roman"/>
          <w:sz w:val="20"/>
          <w:szCs w:val="24"/>
          <w:vertAlign w:val="superscript"/>
        </w:rPr>
        <w:t>3</w:t>
      </w:r>
      <w:r w:rsidRPr="00F83C97">
        <w:rPr>
          <w:rFonts w:ascii="Times New Roman" w:eastAsia="Malgun Gothic" w:hAnsi="Times New Roman" w:cs="Times New Roman"/>
          <w:iCs/>
          <w:sz w:val="20"/>
          <w:szCs w:val="20"/>
          <w:lang w:eastAsia="ko-KR"/>
        </w:rPr>
        <w:fldChar w:fldCharType="end"/>
      </w:r>
      <w:r w:rsidRPr="00F83C97">
        <w:rPr>
          <w:rFonts w:ascii="Times New Roman" w:eastAsia="Malgun Gothic" w:hAnsi="Times New Roman" w:cs="Times New Roman"/>
          <w:iCs/>
          <w:sz w:val="20"/>
          <w:szCs w:val="20"/>
          <w:lang w:eastAsia="ko-KR"/>
        </w:rPr>
        <w:t xml:space="preserve"> accompanying the changes in dietary composition necessary to achieve healthier diets (i.e., HDG and FLX).</w:t>
      </w:r>
      <w:r w:rsidRPr="00F83C97">
        <w:rPr>
          <w:rFonts w:ascii="Times New Roman" w:eastAsia="Malgun Gothic" w:hAnsi="Times New Roman" w:cs="Times New Roman"/>
          <w:iCs/>
          <w:color w:val="000000"/>
          <w:sz w:val="20"/>
          <w:szCs w:val="20"/>
          <w:lang w:eastAsia="ko-KR"/>
        </w:rPr>
        <w:br w:type="page"/>
      </w:r>
    </w:p>
    <w:p w14:paraId="1BFB15BF" w14:textId="4F409953" w:rsidR="00D3605A" w:rsidRPr="00AB056F" w:rsidRDefault="00D3605A" w:rsidP="00AB056F">
      <w:pPr>
        <w:keepNext/>
        <w:spacing w:before="240" w:after="60" w:line="240" w:lineRule="auto"/>
        <w:outlineLvl w:val="0"/>
        <w:rPr>
          <w:rFonts w:ascii="Times New Roman" w:eastAsia="Times New Roman" w:hAnsi="Times New Roman" w:cs="Times New Roman"/>
          <w:b/>
          <w:bCs/>
          <w:kern w:val="32"/>
          <w:sz w:val="24"/>
          <w:szCs w:val="24"/>
        </w:rPr>
      </w:pPr>
      <w:r w:rsidRPr="00AB056F">
        <w:rPr>
          <w:rFonts w:ascii="Times New Roman" w:eastAsia="Times New Roman" w:hAnsi="Times New Roman" w:cs="Times New Roman"/>
          <w:b/>
          <w:bCs/>
          <w:kern w:val="32"/>
          <w:sz w:val="24"/>
          <w:szCs w:val="24"/>
        </w:rPr>
        <w:t>Supplementary</w:t>
      </w:r>
      <w:r w:rsidR="002763A1" w:rsidRPr="00AB056F">
        <w:rPr>
          <w:rFonts w:ascii="Times New Roman" w:eastAsia="Times New Roman" w:hAnsi="Times New Roman" w:cs="Times New Roman"/>
          <w:b/>
          <w:bCs/>
          <w:kern w:val="32"/>
          <w:sz w:val="24"/>
          <w:szCs w:val="24"/>
        </w:rPr>
        <w:t xml:space="preserve"> Information</w:t>
      </w:r>
      <w:r w:rsidRPr="00AB056F">
        <w:rPr>
          <w:rFonts w:ascii="Times New Roman" w:eastAsia="Times New Roman" w:hAnsi="Times New Roman" w:cs="Times New Roman"/>
          <w:b/>
          <w:bCs/>
          <w:kern w:val="32"/>
          <w:sz w:val="24"/>
          <w:szCs w:val="24"/>
        </w:rPr>
        <w:t xml:space="preserve"> References </w:t>
      </w:r>
    </w:p>
    <w:p w14:paraId="45ADFA47" w14:textId="77777777" w:rsidR="00CF49D0" w:rsidRPr="00CF49D0" w:rsidRDefault="001645F6" w:rsidP="00396AB6">
      <w:pPr>
        <w:pStyle w:val="Bibliografa"/>
        <w:spacing w:after="120" w:line="240" w:lineRule="auto"/>
        <w:ind w:firstLine="0"/>
        <w:rPr>
          <w:rFonts w:ascii="Times New Roman" w:hAnsi="Times New Roman" w:cs="Times New Roman"/>
          <w:sz w:val="24"/>
        </w:rPr>
      </w:pPr>
      <w:r w:rsidRPr="001645F6">
        <w:rPr>
          <w:rFonts w:eastAsia="Malgun Gothic"/>
          <w:b/>
          <w:bCs/>
          <w:color w:val="000000"/>
          <w:lang w:eastAsia="ko-KR"/>
        </w:rPr>
        <w:fldChar w:fldCharType="begin"/>
      </w:r>
      <w:r w:rsidR="00E53D82">
        <w:rPr>
          <w:rFonts w:eastAsia="Malgun Gothic"/>
          <w:b/>
          <w:bCs/>
          <w:color w:val="000000"/>
          <w:lang w:eastAsia="ko-KR"/>
        </w:rPr>
        <w:instrText xml:space="preserve"> ADDIN ZOTERO_BIBL {"uncited":[],"omitted":[],"custom":[]} CSL_BIBLIOGRAPHY </w:instrText>
      </w:r>
      <w:r w:rsidRPr="001645F6">
        <w:rPr>
          <w:rFonts w:eastAsia="Malgun Gothic"/>
          <w:b/>
          <w:bCs/>
          <w:color w:val="000000"/>
          <w:lang w:eastAsia="ko-KR"/>
        </w:rPr>
        <w:fldChar w:fldCharType="separate"/>
      </w:r>
      <w:r w:rsidR="00CF49D0" w:rsidRPr="00CF49D0">
        <w:rPr>
          <w:rFonts w:ascii="Times New Roman" w:hAnsi="Times New Roman" w:cs="Times New Roman"/>
          <w:sz w:val="24"/>
        </w:rPr>
        <w:t>1.</w:t>
      </w:r>
      <w:r w:rsidR="00CF49D0" w:rsidRPr="00CF49D0">
        <w:rPr>
          <w:rFonts w:ascii="Times New Roman" w:hAnsi="Times New Roman" w:cs="Times New Roman"/>
          <w:sz w:val="24"/>
        </w:rPr>
        <w:tab/>
      </w:r>
      <w:proofErr w:type="spellStart"/>
      <w:r w:rsidR="00CF49D0" w:rsidRPr="00CF49D0">
        <w:rPr>
          <w:rFonts w:ascii="Times New Roman" w:hAnsi="Times New Roman" w:cs="Times New Roman"/>
          <w:sz w:val="24"/>
        </w:rPr>
        <w:t>Wanner</w:t>
      </w:r>
      <w:proofErr w:type="spellEnd"/>
      <w:r w:rsidR="00CF49D0" w:rsidRPr="00CF49D0">
        <w:rPr>
          <w:rFonts w:ascii="Times New Roman" w:hAnsi="Times New Roman" w:cs="Times New Roman"/>
          <w:sz w:val="24"/>
        </w:rPr>
        <w:t xml:space="preserve">, N., Cafiero, C., </w:t>
      </w:r>
      <w:proofErr w:type="spellStart"/>
      <w:r w:rsidR="00CF49D0" w:rsidRPr="00CF49D0">
        <w:rPr>
          <w:rFonts w:ascii="Times New Roman" w:hAnsi="Times New Roman" w:cs="Times New Roman"/>
          <w:sz w:val="24"/>
        </w:rPr>
        <w:t>Troubat</w:t>
      </w:r>
      <w:proofErr w:type="spellEnd"/>
      <w:r w:rsidR="00CF49D0" w:rsidRPr="00CF49D0">
        <w:rPr>
          <w:rFonts w:ascii="Times New Roman" w:hAnsi="Times New Roman" w:cs="Times New Roman"/>
          <w:sz w:val="24"/>
        </w:rPr>
        <w:t xml:space="preserve">, N. &amp; Conforti, P. Refinements to the FAO methodology for estimating the prevalence of undernourishment indicator. </w:t>
      </w:r>
      <w:proofErr w:type="spellStart"/>
      <w:r w:rsidR="00CF49D0" w:rsidRPr="00CF49D0">
        <w:rPr>
          <w:rFonts w:ascii="Times New Roman" w:hAnsi="Times New Roman" w:cs="Times New Roman"/>
          <w:i/>
          <w:iCs/>
          <w:sz w:val="24"/>
        </w:rPr>
        <w:t>Documento</w:t>
      </w:r>
      <w:proofErr w:type="spellEnd"/>
      <w:r w:rsidR="00CF49D0" w:rsidRPr="00CF49D0">
        <w:rPr>
          <w:rFonts w:ascii="Times New Roman" w:hAnsi="Times New Roman" w:cs="Times New Roman"/>
          <w:i/>
          <w:iCs/>
          <w:sz w:val="24"/>
        </w:rPr>
        <w:t xml:space="preserve"> de </w:t>
      </w:r>
      <w:proofErr w:type="spellStart"/>
      <w:r w:rsidR="00CF49D0" w:rsidRPr="00CF49D0">
        <w:rPr>
          <w:rFonts w:ascii="Times New Roman" w:hAnsi="Times New Roman" w:cs="Times New Roman"/>
          <w:i/>
          <w:iCs/>
          <w:sz w:val="24"/>
        </w:rPr>
        <w:t>trabajo</w:t>
      </w:r>
      <w:proofErr w:type="spellEnd"/>
      <w:r w:rsidR="00CF49D0" w:rsidRPr="00CF49D0">
        <w:rPr>
          <w:rFonts w:ascii="Times New Roman" w:hAnsi="Times New Roman" w:cs="Times New Roman"/>
          <w:sz w:val="24"/>
        </w:rPr>
        <w:t xml:space="preserve"> 14–05 (2014).</w:t>
      </w:r>
    </w:p>
    <w:p w14:paraId="3E673E66"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w:t>
      </w:r>
      <w:r w:rsidRPr="00CF49D0">
        <w:rPr>
          <w:rFonts w:ascii="Times New Roman" w:hAnsi="Times New Roman" w:cs="Times New Roman"/>
          <w:sz w:val="24"/>
        </w:rPr>
        <w:tab/>
        <w:t>Barrera, E. L. Hunger and Obesity: the “double burden” of malnutrition in a SIMPLE framework. (2018).</w:t>
      </w:r>
    </w:p>
    <w:p w14:paraId="19D1A945"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w:t>
      </w:r>
      <w:r w:rsidRPr="00CF49D0">
        <w:rPr>
          <w:rFonts w:ascii="Times New Roman" w:hAnsi="Times New Roman" w:cs="Times New Roman"/>
          <w:sz w:val="24"/>
        </w:rPr>
        <w:tab/>
        <w:t xml:space="preserve">Barrera, E. L. &amp; Hertel, T. Global food waste across the income spectrum: Implications for food prices, production and resource use. </w:t>
      </w:r>
      <w:r w:rsidRPr="00CF49D0">
        <w:rPr>
          <w:rFonts w:ascii="Times New Roman" w:hAnsi="Times New Roman" w:cs="Times New Roman"/>
          <w:i/>
          <w:iCs/>
          <w:sz w:val="24"/>
        </w:rPr>
        <w:t>Food Policy</w:t>
      </w:r>
      <w:r w:rsidRPr="00CF49D0">
        <w:rPr>
          <w:rFonts w:ascii="Times New Roman" w:hAnsi="Times New Roman" w:cs="Times New Roman"/>
          <w:sz w:val="24"/>
        </w:rPr>
        <w:t xml:space="preserve"> 101874 (2020).</w:t>
      </w:r>
    </w:p>
    <w:p w14:paraId="1B578A38"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4.</w:t>
      </w:r>
      <w:r w:rsidRPr="00CF49D0">
        <w:rPr>
          <w:rFonts w:ascii="Times New Roman" w:hAnsi="Times New Roman" w:cs="Times New Roman"/>
          <w:sz w:val="24"/>
        </w:rPr>
        <w:tab/>
        <w:t xml:space="preserve">Deaton, A. Panel data from time series of cross-sections. </w:t>
      </w:r>
      <w:r w:rsidRPr="00CF49D0">
        <w:rPr>
          <w:rFonts w:ascii="Times New Roman" w:hAnsi="Times New Roman" w:cs="Times New Roman"/>
          <w:i/>
          <w:iCs/>
          <w:sz w:val="24"/>
        </w:rPr>
        <w:t>Journal of Econometrics</w:t>
      </w:r>
      <w:r w:rsidRPr="00CF49D0">
        <w:rPr>
          <w:rFonts w:ascii="Times New Roman" w:hAnsi="Times New Roman" w:cs="Times New Roman"/>
          <w:sz w:val="24"/>
        </w:rPr>
        <w:t xml:space="preserve"> </w:t>
      </w:r>
      <w:r w:rsidRPr="00CF49D0">
        <w:rPr>
          <w:rFonts w:ascii="Times New Roman" w:hAnsi="Times New Roman" w:cs="Times New Roman"/>
          <w:b/>
          <w:bCs/>
          <w:sz w:val="24"/>
        </w:rPr>
        <w:t>30</w:t>
      </w:r>
      <w:r w:rsidRPr="00CF49D0">
        <w:rPr>
          <w:rFonts w:ascii="Times New Roman" w:hAnsi="Times New Roman" w:cs="Times New Roman"/>
          <w:sz w:val="24"/>
        </w:rPr>
        <w:t>, 109–126 (1985).</w:t>
      </w:r>
    </w:p>
    <w:p w14:paraId="085E4B22"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5.</w:t>
      </w:r>
      <w:r w:rsidRPr="00CF49D0">
        <w:rPr>
          <w:rFonts w:ascii="Times New Roman" w:hAnsi="Times New Roman" w:cs="Times New Roman"/>
          <w:sz w:val="24"/>
        </w:rPr>
        <w:tab/>
        <w:t xml:space="preserve">Baldos, U. L. C. &amp; Hertel, T. W. Looking back to move forward on model validation: insights from a global model of agricultural land use. </w:t>
      </w:r>
      <w:r w:rsidRPr="00CF49D0">
        <w:rPr>
          <w:rFonts w:ascii="Times New Roman" w:hAnsi="Times New Roman" w:cs="Times New Roman"/>
          <w:i/>
          <w:iCs/>
          <w:sz w:val="24"/>
        </w:rPr>
        <w:t>Environ. Res. Lett.</w:t>
      </w:r>
      <w:r w:rsidRPr="00CF49D0">
        <w:rPr>
          <w:rFonts w:ascii="Times New Roman" w:hAnsi="Times New Roman" w:cs="Times New Roman"/>
          <w:sz w:val="24"/>
        </w:rPr>
        <w:t xml:space="preserve"> </w:t>
      </w:r>
      <w:r w:rsidRPr="00CF49D0">
        <w:rPr>
          <w:rFonts w:ascii="Times New Roman" w:hAnsi="Times New Roman" w:cs="Times New Roman"/>
          <w:b/>
          <w:bCs/>
          <w:sz w:val="24"/>
        </w:rPr>
        <w:t>8</w:t>
      </w:r>
      <w:r w:rsidRPr="00CF49D0">
        <w:rPr>
          <w:rFonts w:ascii="Times New Roman" w:hAnsi="Times New Roman" w:cs="Times New Roman"/>
          <w:sz w:val="24"/>
        </w:rPr>
        <w:t>, 034024 (2013).</w:t>
      </w:r>
    </w:p>
    <w:p w14:paraId="24750117"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6.</w:t>
      </w:r>
      <w:r w:rsidRPr="00CF49D0">
        <w:rPr>
          <w:rFonts w:ascii="Times New Roman" w:hAnsi="Times New Roman" w:cs="Times New Roman"/>
          <w:sz w:val="24"/>
        </w:rPr>
        <w:tab/>
        <w:t xml:space="preserve">Hall, K. D. </w:t>
      </w:r>
      <w:r w:rsidRPr="00CF49D0">
        <w:rPr>
          <w:rFonts w:ascii="Times New Roman" w:hAnsi="Times New Roman" w:cs="Times New Roman"/>
          <w:i/>
          <w:iCs/>
          <w:sz w:val="24"/>
        </w:rPr>
        <w:t>et al.</w:t>
      </w:r>
      <w:r w:rsidRPr="00CF49D0">
        <w:rPr>
          <w:rFonts w:ascii="Times New Roman" w:hAnsi="Times New Roman" w:cs="Times New Roman"/>
          <w:sz w:val="24"/>
        </w:rPr>
        <w:t xml:space="preserve"> Energy balance and its components: implications for body weight regulation. </w:t>
      </w:r>
      <w:r w:rsidRPr="00CF49D0">
        <w:rPr>
          <w:rFonts w:ascii="Times New Roman" w:hAnsi="Times New Roman" w:cs="Times New Roman"/>
          <w:i/>
          <w:iCs/>
          <w:sz w:val="24"/>
        </w:rPr>
        <w:t>The American Journal of Clinical Nutrition</w:t>
      </w:r>
      <w:r w:rsidRPr="00CF49D0">
        <w:rPr>
          <w:rFonts w:ascii="Times New Roman" w:hAnsi="Times New Roman" w:cs="Times New Roman"/>
          <w:sz w:val="24"/>
        </w:rPr>
        <w:t xml:space="preserve"> </w:t>
      </w:r>
      <w:r w:rsidRPr="00CF49D0">
        <w:rPr>
          <w:rFonts w:ascii="Times New Roman" w:hAnsi="Times New Roman" w:cs="Times New Roman"/>
          <w:b/>
          <w:bCs/>
          <w:sz w:val="24"/>
        </w:rPr>
        <w:t>95</w:t>
      </w:r>
      <w:r w:rsidRPr="00CF49D0">
        <w:rPr>
          <w:rFonts w:ascii="Times New Roman" w:hAnsi="Times New Roman" w:cs="Times New Roman"/>
          <w:sz w:val="24"/>
        </w:rPr>
        <w:t>, 989–994 (2012).</w:t>
      </w:r>
    </w:p>
    <w:p w14:paraId="37B78980"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7.</w:t>
      </w:r>
      <w:r w:rsidRPr="00CF49D0">
        <w:rPr>
          <w:rFonts w:ascii="Times New Roman" w:hAnsi="Times New Roman" w:cs="Times New Roman"/>
          <w:sz w:val="24"/>
        </w:rPr>
        <w:tab/>
        <w:t xml:space="preserve">Hall, K. D., Guo, J., Dore, M. &amp; Chow, C. C. The progressive increase of food waste in America and its environmental impact. </w:t>
      </w:r>
      <w:proofErr w:type="spellStart"/>
      <w:r w:rsidRPr="00CF49D0">
        <w:rPr>
          <w:rFonts w:ascii="Times New Roman" w:hAnsi="Times New Roman" w:cs="Times New Roman"/>
          <w:i/>
          <w:iCs/>
          <w:sz w:val="24"/>
        </w:rPr>
        <w:t>PLoS</w:t>
      </w:r>
      <w:proofErr w:type="spellEnd"/>
      <w:r w:rsidRPr="00CF49D0">
        <w:rPr>
          <w:rFonts w:ascii="Times New Roman" w:hAnsi="Times New Roman" w:cs="Times New Roman"/>
          <w:i/>
          <w:iCs/>
          <w:sz w:val="24"/>
        </w:rPr>
        <w:t xml:space="preserve"> One</w:t>
      </w:r>
      <w:r w:rsidRPr="00CF49D0">
        <w:rPr>
          <w:rFonts w:ascii="Times New Roman" w:hAnsi="Times New Roman" w:cs="Times New Roman"/>
          <w:sz w:val="24"/>
        </w:rPr>
        <w:t xml:space="preserve"> </w:t>
      </w:r>
      <w:r w:rsidRPr="00CF49D0">
        <w:rPr>
          <w:rFonts w:ascii="Times New Roman" w:hAnsi="Times New Roman" w:cs="Times New Roman"/>
          <w:b/>
          <w:bCs/>
          <w:sz w:val="24"/>
        </w:rPr>
        <w:t>4</w:t>
      </w:r>
      <w:r w:rsidRPr="00CF49D0">
        <w:rPr>
          <w:rFonts w:ascii="Times New Roman" w:hAnsi="Times New Roman" w:cs="Times New Roman"/>
          <w:sz w:val="24"/>
        </w:rPr>
        <w:t>, e7940 (2009).</w:t>
      </w:r>
    </w:p>
    <w:p w14:paraId="1722CB8B"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8.</w:t>
      </w:r>
      <w:r w:rsidRPr="00CF49D0">
        <w:rPr>
          <w:rFonts w:ascii="Times New Roman" w:hAnsi="Times New Roman" w:cs="Times New Roman"/>
          <w:sz w:val="24"/>
        </w:rPr>
        <w:tab/>
        <w:t xml:space="preserve">Svedberg, P. Undernutrition Overestimated. </w:t>
      </w:r>
      <w:r w:rsidRPr="00CF49D0">
        <w:rPr>
          <w:rFonts w:ascii="Times New Roman" w:hAnsi="Times New Roman" w:cs="Times New Roman"/>
          <w:i/>
          <w:iCs/>
          <w:sz w:val="24"/>
        </w:rPr>
        <w:t>Economic Development and Cultural Change</w:t>
      </w:r>
      <w:r w:rsidRPr="00CF49D0">
        <w:rPr>
          <w:rFonts w:ascii="Times New Roman" w:hAnsi="Times New Roman" w:cs="Times New Roman"/>
          <w:sz w:val="24"/>
        </w:rPr>
        <w:t xml:space="preserve"> </w:t>
      </w:r>
      <w:r w:rsidRPr="00CF49D0">
        <w:rPr>
          <w:rFonts w:ascii="Times New Roman" w:hAnsi="Times New Roman" w:cs="Times New Roman"/>
          <w:b/>
          <w:bCs/>
          <w:sz w:val="24"/>
        </w:rPr>
        <w:t>51</w:t>
      </w:r>
      <w:r w:rsidRPr="00CF49D0">
        <w:rPr>
          <w:rFonts w:ascii="Times New Roman" w:hAnsi="Times New Roman" w:cs="Times New Roman"/>
          <w:sz w:val="24"/>
        </w:rPr>
        <w:t>, 5–36 (2002).</w:t>
      </w:r>
    </w:p>
    <w:p w14:paraId="2CE75762"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9.</w:t>
      </w:r>
      <w:r w:rsidRPr="00CF49D0">
        <w:rPr>
          <w:rFonts w:ascii="Times New Roman" w:hAnsi="Times New Roman" w:cs="Times New Roman"/>
          <w:sz w:val="24"/>
        </w:rPr>
        <w:tab/>
        <w:t xml:space="preserve">Hawkesworth, S. </w:t>
      </w:r>
      <w:r w:rsidRPr="00CF49D0">
        <w:rPr>
          <w:rFonts w:ascii="Times New Roman" w:hAnsi="Times New Roman" w:cs="Times New Roman"/>
          <w:i/>
          <w:iCs/>
          <w:sz w:val="24"/>
        </w:rPr>
        <w:t>et al.</w:t>
      </w:r>
      <w:r w:rsidRPr="00CF49D0">
        <w:rPr>
          <w:rFonts w:ascii="Times New Roman" w:hAnsi="Times New Roman" w:cs="Times New Roman"/>
          <w:sz w:val="24"/>
        </w:rPr>
        <w:t xml:space="preserve"> Feeding the world healthily: the challenge of measuring the effects of agriculture on health. </w:t>
      </w:r>
      <w:r w:rsidRPr="00CF49D0">
        <w:rPr>
          <w:rFonts w:ascii="Times New Roman" w:hAnsi="Times New Roman" w:cs="Times New Roman"/>
          <w:i/>
          <w:iCs/>
          <w:sz w:val="24"/>
        </w:rPr>
        <w:t>Philosophical Transactions of the Royal Society B: Biological Sciences</w:t>
      </w:r>
      <w:r w:rsidRPr="00CF49D0">
        <w:rPr>
          <w:rFonts w:ascii="Times New Roman" w:hAnsi="Times New Roman" w:cs="Times New Roman"/>
          <w:sz w:val="24"/>
        </w:rPr>
        <w:t xml:space="preserve"> </w:t>
      </w:r>
      <w:r w:rsidRPr="00CF49D0">
        <w:rPr>
          <w:rFonts w:ascii="Times New Roman" w:hAnsi="Times New Roman" w:cs="Times New Roman"/>
          <w:b/>
          <w:bCs/>
          <w:sz w:val="24"/>
        </w:rPr>
        <w:t>365</w:t>
      </w:r>
      <w:r w:rsidRPr="00CF49D0">
        <w:rPr>
          <w:rFonts w:ascii="Times New Roman" w:hAnsi="Times New Roman" w:cs="Times New Roman"/>
          <w:sz w:val="24"/>
        </w:rPr>
        <w:t>, 3083–3097 (2010).</w:t>
      </w:r>
    </w:p>
    <w:p w14:paraId="421013CF"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10.</w:t>
      </w:r>
      <w:r w:rsidRPr="00CF49D0">
        <w:rPr>
          <w:rFonts w:ascii="Times New Roman" w:hAnsi="Times New Roman" w:cs="Times New Roman"/>
          <w:sz w:val="24"/>
        </w:rPr>
        <w:tab/>
        <w:t>FAO. Key differences between new and old Food Balance Sheet (FBS) methodology. (2019).</w:t>
      </w:r>
    </w:p>
    <w:p w14:paraId="7DD4B16E"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11.</w:t>
      </w:r>
      <w:r w:rsidRPr="00CF49D0">
        <w:rPr>
          <w:rFonts w:ascii="Times New Roman" w:hAnsi="Times New Roman" w:cs="Times New Roman"/>
          <w:sz w:val="24"/>
        </w:rPr>
        <w:tab/>
        <w:t xml:space="preserve">Wooldridge, J. M. </w:t>
      </w:r>
      <w:r w:rsidRPr="00CF49D0">
        <w:rPr>
          <w:rFonts w:ascii="Times New Roman" w:hAnsi="Times New Roman" w:cs="Times New Roman"/>
          <w:i/>
          <w:iCs/>
          <w:sz w:val="24"/>
        </w:rPr>
        <w:t>Econometric analysis of cross section and panel data</w:t>
      </w:r>
      <w:r w:rsidRPr="00CF49D0">
        <w:rPr>
          <w:rFonts w:ascii="Times New Roman" w:hAnsi="Times New Roman" w:cs="Times New Roman"/>
          <w:sz w:val="24"/>
        </w:rPr>
        <w:t>. (MIT Press, 2010).</w:t>
      </w:r>
    </w:p>
    <w:p w14:paraId="63A7C2DE"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12.</w:t>
      </w:r>
      <w:r w:rsidRPr="00CF49D0">
        <w:rPr>
          <w:rFonts w:ascii="Times New Roman" w:hAnsi="Times New Roman" w:cs="Times New Roman"/>
          <w:sz w:val="24"/>
        </w:rPr>
        <w:tab/>
        <w:t xml:space="preserve">Baldos, U. L. C. &amp; Hertel, T. W. Global food security in 2050: the role of agricultural productivity and climate change. </w:t>
      </w:r>
      <w:r w:rsidRPr="00CF49D0">
        <w:rPr>
          <w:rFonts w:ascii="Times New Roman" w:hAnsi="Times New Roman" w:cs="Times New Roman"/>
          <w:i/>
          <w:iCs/>
          <w:sz w:val="24"/>
        </w:rPr>
        <w:t xml:space="preserve">Aust J Agric </w:t>
      </w:r>
      <w:proofErr w:type="spellStart"/>
      <w:r w:rsidRPr="00CF49D0">
        <w:rPr>
          <w:rFonts w:ascii="Times New Roman" w:hAnsi="Times New Roman" w:cs="Times New Roman"/>
          <w:i/>
          <w:iCs/>
          <w:sz w:val="24"/>
        </w:rPr>
        <w:t>Resour</w:t>
      </w:r>
      <w:proofErr w:type="spellEnd"/>
      <w:r w:rsidRPr="00CF49D0">
        <w:rPr>
          <w:rFonts w:ascii="Times New Roman" w:hAnsi="Times New Roman" w:cs="Times New Roman"/>
          <w:i/>
          <w:iCs/>
          <w:sz w:val="24"/>
        </w:rPr>
        <w:t xml:space="preserve"> Econ</w:t>
      </w:r>
      <w:r w:rsidRPr="00CF49D0">
        <w:rPr>
          <w:rFonts w:ascii="Times New Roman" w:hAnsi="Times New Roman" w:cs="Times New Roman"/>
          <w:sz w:val="24"/>
        </w:rPr>
        <w:t xml:space="preserve"> </w:t>
      </w:r>
      <w:r w:rsidRPr="00CF49D0">
        <w:rPr>
          <w:rFonts w:ascii="Times New Roman" w:hAnsi="Times New Roman" w:cs="Times New Roman"/>
          <w:b/>
          <w:bCs/>
          <w:sz w:val="24"/>
        </w:rPr>
        <w:t>58</w:t>
      </w:r>
      <w:r w:rsidRPr="00CF49D0">
        <w:rPr>
          <w:rFonts w:ascii="Times New Roman" w:hAnsi="Times New Roman" w:cs="Times New Roman"/>
          <w:sz w:val="24"/>
        </w:rPr>
        <w:t>, 554–570 (2014).</w:t>
      </w:r>
    </w:p>
    <w:p w14:paraId="35EBACDE"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13.</w:t>
      </w:r>
      <w:r w:rsidRPr="00CF49D0">
        <w:rPr>
          <w:rFonts w:ascii="Times New Roman" w:hAnsi="Times New Roman" w:cs="Times New Roman"/>
          <w:sz w:val="24"/>
        </w:rPr>
        <w:tab/>
        <w:t xml:space="preserve">McCalla, A. F. &amp; Revoredo, C. L. </w:t>
      </w:r>
      <w:r w:rsidRPr="00CF49D0">
        <w:rPr>
          <w:rFonts w:ascii="Times New Roman" w:hAnsi="Times New Roman" w:cs="Times New Roman"/>
          <w:i/>
          <w:iCs/>
          <w:sz w:val="24"/>
        </w:rPr>
        <w:t>Prospects for global food security: a critical appraisal of past projections and predictions</w:t>
      </w:r>
      <w:r w:rsidRPr="00CF49D0">
        <w:rPr>
          <w:rFonts w:ascii="Times New Roman" w:hAnsi="Times New Roman" w:cs="Times New Roman"/>
          <w:sz w:val="24"/>
        </w:rPr>
        <w:t>. vol. 35 (Intl Food Policy Res Inst, 2001).</w:t>
      </w:r>
    </w:p>
    <w:p w14:paraId="2D53A1E8"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14.</w:t>
      </w:r>
      <w:r w:rsidRPr="00CF49D0">
        <w:rPr>
          <w:rFonts w:ascii="Times New Roman" w:hAnsi="Times New Roman" w:cs="Times New Roman"/>
          <w:sz w:val="24"/>
        </w:rPr>
        <w:tab/>
        <w:t xml:space="preserve">Baldos, U. L. C. &amp; Hertel, T. W. Global food security in 2050: the role of agricultural productivity and climate change. </w:t>
      </w:r>
      <w:r w:rsidRPr="00CF49D0">
        <w:rPr>
          <w:rFonts w:ascii="Times New Roman" w:hAnsi="Times New Roman" w:cs="Times New Roman"/>
          <w:i/>
          <w:iCs/>
          <w:sz w:val="24"/>
        </w:rPr>
        <w:t>Australian Journal of Agricultural and Resource Economics</w:t>
      </w:r>
      <w:r w:rsidRPr="00CF49D0">
        <w:rPr>
          <w:rFonts w:ascii="Times New Roman" w:hAnsi="Times New Roman" w:cs="Times New Roman"/>
          <w:sz w:val="24"/>
        </w:rPr>
        <w:t xml:space="preserve"> </w:t>
      </w:r>
      <w:r w:rsidRPr="00CF49D0">
        <w:rPr>
          <w:rFonts w:ascii="Times New Roman" w:hAnsi="Times New Roman" w:cs="Times New Roman"/>
          <w:b/>
          <w:bCs/>
          <w:sz w:val="24"/>
        </w:rPr>
        <w:t>58</w:t>
      </w:r>
      <w:r w:rsidRPr="00CF49D0">
        <w:rPr>
          <w:rFonts w:ascii="Times New Roman" w:hAnsi="Times New Roman" w:cs="Times New Roman"/>
          <w:sz w:val="24"/>
        </w:rPr>
        <w:t>, 554–570 (2014).</w:t>
      </w:r>
    </w:p>
    <w:p w14:paraId="7C771246"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15.</w:t>
      </w:r>
      <w:r w:rsidRPr="00CF49D0">
        <w:rPr>
          <w:rFonts w:ascii="Times New Roman" w:hAnsi="Times New Roman" w:cs="Times New Roman"/>
          <w:sz w:val="24"/>
        </w:rPr>
        <w:tab/>
        <w:t xml:space="preserve">McCalla, A. F. &amp; Revoredo, C. L. </w:t>
      </w:r>
      <w:r w:rsidRPr="00CF49D0">
        <w:rPr>
          <w:rFonts w:ascii="Times New Roman" w:hAnsi="Times New Roman" w:cs="Times New Roman"/>
          <w:i/>
          <w:iCs/>
          <w:sz w:val="24"/>
        </w:rPr>
        <w:t>Prospects for global food security: a critical appraisal of past projections and predictions</w:t>
      </w:r>
      <w:r w:rsidRPr="00CF49D0">
        <w:rPr>
          <w:rFonts w:ascii="Times New Roman" w:hAnsi="Times New Roman" w:cs="Times New Roman"/>
          <w:sz w:val="24"/>
        </w:rPr>
        <w:t>. vol. 35 (Intl Food Policy Res Inst, 2001).</w:t>
      </w:r>
    </w:p>
    <w:p w14:paraId="7F051531"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16.</w:t>
      </w:r>
      <w:r w:rsidRPr="00CF49D0">
        <w:rPr>
          <w:rFonts w:ascii="Times New Roman" w:hAnsi="Times New Roman" w:cs="Times New Roman"/>
          <w:sz w:val="24"/>
        </w:rPr>
        <w:tab/>
      </w:r>
      <w:proofErr w:type="spellStart"/>
      <w:r w:rsidRPr="00CF49D0">
        <w:rPr>
          <w:rFonts w:ascii="Times New Roman" w:hAnsi="Times New Roman" w:cs="Times New Roman"/>
          <w:sz w:val="24"/>
        </w:rPr>
        <w:t>Fricko</w:t>
      </w:r>
      <w:proofErr w:type="spellEnd"/>
      <w:r w:rsidRPr="00CF49D0">
        <w:rPr>
          <w:rFonts w:ascii="Times New Roman" w:hAnsi="Times New Roman" w:cs="Times New Roman"/>
          <w:sz w:val="24"/>
        </w:rPr>
        <w:t xml:space="preserve">, O. </w:t>
      </w:r>
      <w:r w:rsidRPr="00CF49D0">
        <w:rPr>
          <w:rFonts w:ascii="Times New Roman" w:hAnsi="Times New Roman" w:cs="Times New Roman"/>
          <w:i/>
          <w:iCs/>
          <w:sz w:val="24"/>
        </w:rPr>
        <w:t>et al.</w:t>
      </w:r>
      <w:r w:rsidRPr="00CF49D0">
        <w:rPr>
          <w:rFonts w:ascii="Times New Roman" w:hAnsi="Times New Roman" w:cs="Times New Roman"/>
          <w:sz w:val="24"/>
        </w:rPr>
        <w:t xml:space="preserve"> The marker quantification of the Shared Socioeconomic Pathway 2: A middle-of-the-road scenario for the 21st century. </w:t>
      </w:r>
      <w:r w:rsidRPr="00CF49D0">
        <w:rPr>
          <w:rFonts w:ascii="Times New Roman" w:hAnsi="Times New Roman" w:cs="Times New Roman"/>
          <w:i/>
          <w:iCs/>
          <w:sz w:val="24"/>
        </w:rPr>
        <w:t>Global Environmental Change</w:t>
      </w:r>
      <w:r w:rsidRPr="00CF49D0">
        <w:rPr>
          <w:rFonts w:ascii="Times New Roman" w:hAnsi="Times New Roman" w:cs="Times New Roman"/>
          <w:sz w:val="24"/>
        </w:rPr>
        <w:t xml:space="preserve"> </w:t>
      </w:r>
      <w:r w:rsidRPr="00CF49D0">
        <w:rPr>
          <w:rFonts w:ascii="Times New Roman" w:hAnsi="Times New Roman" w:cs="Times New Roman"/>
          <w:b/>
          <w:bCs/>
          <w:sz w:val="24"/>
        </w:rPr>
        <w:t>42</w:t>
      </w:r>
      <w:r w:rsidRPr="00CF49D0">
        <w:rPr>
          <w:rFonts w:ascii="Times New Roman" w:hAnsi="Times New Roman" w:cs="Times New Roman"/>
          <w:sz w:val="24"/>
        </w:rPr>
        <w:t>, 251–267 (2017).</w:t>
      </w:r>
    </w:p>
    <w:p w14:paraId="010AEC1F"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17.</w:t>
      </w:r>
      <w:r w:rsidRPr="00CF49D0">
        <w:rPr>
          <w:rFonts w:ascii="Times New Roman" w:hAnsi="Times New Roman" w:cs="Times New Roman"/>
          <w:sz w:val="24"/>
        </w:rPr>
        <w:tab/>
      </w:r>
      <w:proofErr w:type="spellStart"/>
      <w:r w:rsidRPr="00CF49D0">
        <w:rPr>
          <w:rFonts w:ascii="Times New Roman" w:hAnsi="Times New Roman" w:cs="Times New Roman"/>
          <w:sz w:val="24"/>
        </w:rPr>
        <w:t>Fuglie</w:t>
      </w:r>
      <w:proofErr w:type="spellEnd"/>
      <w:r w:rsidRPr="00CF49D0">
        <w:rPr>
          <w:rFonts w:ascii="Times New Roman" w:hAnsi="Times New Roman" w:cs="Times New Roman"/>
          <w:sz w:val="24"/>
        </w:rPr>
        <w:t xml:space="preserve">, K. O. 16 Productivity Growth and Technology Capital in the Global Agricultural Economy. </w:t>
      </w:r>
      <w:r w:rsidRPr="00CF49D0">
        <w:rPr>
          <w:rFonts w:ascii="Times New Roman" w:hAnsi="Times New Roman" w:cs="Times New Roman"/>
          <w:i/>
          <w:iCs/>
          <w:sz w:val="24"/>
        </w:rPr>
        <w:t>Productivity growth in agriculture: An international perspective</w:t>
      </w:r>
      <w:r w:rsidRPr="00CF49D0">
        <w:rPr>
          <w:rFonts w:ascii="Times New Roman" w:hAnsi="Times New Roman" w:cs="Times New Roman"/>
          <w:sz w:val="24"/>
        </w:rPr>
        <w:t xml:space="preserve"> 335 (2012).</w:t>
      </w:r>
    </w:p>
    <w:p w14:paraId="1B11035B"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18.</w:t>
      </w:r>
      <w:r w:rsidRPr="00CF49D0">
        <w:rPr>
          <w:rFonts w:ascii="Times New Roman" w:hAnsi="Times New Roman" w:cs="Times New Roman"/>
          <w:sz w:val="24"/>
        </w:rPr>
        <w:tab/>
        <w:t xml:space="preserve">Ludena, C. E., Hertel, T. W., Preckel, P. V., Foster, K. &amp; Nin, A. Productivity growth and convergence in crop, ruminant, and nonruminant production: measurement and forecasts. </w:t>
      </w:r>
      <w:r w:rsidRPr="00CF49D0">
        <w:rPr>
          <w:rFonts w:ascii="Times New Roman" w:hAnsi="Times New Roman" w:cs="Times New Roman"/>
          <w:i/>
          <w:iCs/>
          <w:sz w:val="24"/>
        </w:rPr>
        <w:t>Agricultural Economics</w:t>
      </w:r>
      <w:r w:rsidRPr="00CF49D0">
        <w:rPr>
          <w:rFonts w:ascii="Times New Roman" w:hAnsi="Times New Roman" w:cs="Times New Roman"/>
          <w:sz w:val="24"/>
        </w:rPr>
        <w:t xml:space="preserve"> </w:t>
      </w:r>
      <w:r w:rsidRPr="00CF49D0">
        <w:rPr>
          <w:rFonts w:ascii="Times New Roman" w:hAnsi="Times New Roman" w:cs="Times New Roman"/>
          <w:b/>
          <w:bCs/>
          <w:sz w:val="24"/>
        </w:rPr>
        <w:t>37</w:t>
      </w:r>
      <w:r w:rsidRPr="00CF49D0">
        <w:rPr>
          <w:rFonts w:ascii="Times New Roman" w:hAnsi="Times New Roman" w:cs="Times New Roman"/>
          <w:sz w:val="24"/>
        </w:rPr>
        <w:t>, 1–17 (2007).</w:t>
      </w:r>
    </w:p>
    <w:p w14:paraId="76BA8655"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19.</w:t>
      </w:r>
      <w:r w:rsidRPr="00CF49D0">
        <w:rPr>
          <w:rFonts w:ascii="Times New Roman" w:hAnsi="Times New Roman" w:cs="Times New Roman"/>
          <w:sz w:val="24"/>
        </w:rPr>
        <w:tab/>
        <w:t xml:space="preserve">International Energy Agency. </w:t>
      </w:r>
      <w:r w:rsidRPr="00CF49D0">
        <w:rPr>
          <w:rFonts w:ascii="Times New Roman" w:hAnsi="Times New Roman" w:cs="Times New Roman"/>
          <w:i/>
          <w:iCs/>
          <w:sz w:val="24"/>
        </w:rPr>
        <w:t>World Energy Outlook 2019</w:t>
      </w:r>
      <w:r w:rsidRPr="00CF49D0">
        <w:rPr>
          <w:rFonts w:ascii="Times New Roman" w:hAnsi="Times New Roman" w:cs="Times New Roman"/>
          <w:sz w:val="24"/>
        </w:rPr>
        <w:t>. (OECD, 2019). doi:10.1787/caf32f3b-en.</w:t>
      </w:r>
    </w:p>
    <w:p w14:paraId="6CC07322"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20.</w:t>
      </w:r>
      <w:r w:rsidRPr="00CF49D0">
        <w:rPr>
          <w:rFonts w:ascii="Times New Roman" w:hAnsi="Times New Roman" w:cs="Times New Roman"/>
          <w:sz w:val="24"/>
        </w:rPr>
        <w:tab/>
        <w:t xml:space="preserve">Lim, S. S. </w:t>
      </w:r>
      <w:r w:rsidRPr="00CF49D0">
        <w:rPr>
          <w:rFonts w:ascii="Times New Roman" w:hAnsi="Times New Roman" w:cs="Times New Roman"/>
          <w:i/>
          <w:iCs/>
          <w:sz w:val="24"/>
        </w:rPr>
        <w:t>et al.</w:t>
      </w:r>
      <w:r w:rsidRPr="00CF49D0">
        <w:rPr>
          <w:rFonts w:ascii="Times New Roman" w:hAnsi="Times New Roman" w:cs="Times New Roman"/>
          <w:sz w:val="24"/>
        </w:rPr>
        <w:t xml:space="preserve"> A comparative risk assessment of burden of disease and injury attributable to 67 risk factors and risk factor clusters in 21 regions, 1990–2010: a systematic analysis for the Global Burden of Disease Study 2010. </w:t>
      </w:r>
      <w:r w:rsidRPr="00CF49D0">
        <w:rPr>
          <w:rFonts w:ascii="Times New Roman" w:hAnsi="Times New Roman" w:cs="Times New Roman"/>
          <w:i/>
          <w:iCs/>
          <w:sz w:val="24"/>
        </w:rPr>
        <w:t>The Lancet</w:t>
      </w:r>
      <w:r w:rsidRPr="00CF49D0">
        <w:rPr>
          <w:rFonts w:ascii="Times New Roman" w:hAnsi="Times New Roman" w:cs="Times New Roman"/>
          <w:sz w:val="24"/>
        </w:rPr>
        <w:t xml:space="preserve"> </w:t>
      </w:r>
      <w:r w:rsidRPr="00CF49D0">
        <w:rPr>
          <w:rFonts w:ascii="Times New Roman" w:hAnsi="Times New Roman" w:cs="Times New Roman"/>
          <w:b/>
          <w:bCs/>
          <w:sz w:val="24"/>
        </w:rPr>
        <w:t>380</w:t>
      </w:r>
      <w:r w:rsidRPr="00CF49D0">
        <w:rPr>
          <w:rFonts w:ascii="Times New Roman" w:hAnsi="Times New Roman" w:cs="Times New Roman"/>
          <w:sz w:val="24"/>
        </w:rPr>
        <w:t>, 2224–2260 (2012).</w:t>
      </w:r>
    </w:p>
    <w:p w14:paraId="2E0DD883"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21.</w:t>
      </w:r>
      <w:r w:rsidRPr="00CF49D0">
        <w:rPr>
          <w:rFonts w:ascii="Times New Roman" w:hAnsi="Times New Roman" w:cs="Times New Roman"/>
          <w:sz w:val="24"/>
        </w:rPr>
        <w:tab/>
        <w:t xml:space="preserve">Murray, C. J. </w:t>
      </w:r>
      <w:r w:rsidRPr="00CF49D0">
        <w:rPr>
          <w:rFonts w:ascii="Times New Roman" w:hAnsi="Times New Roman" w:cs="Times New Roman"/>
          <w:i/>
          <w:iCs/>
          <w:sz w:val="24"/>
        </w:rPr>
        <w:t>et al.</w:t>
      </w:r>
      <w:r w:rsidRPr="00CF49D0">
        <w:rPr>
          <w:rFonts w:ascii="Times New Roman" w:hAnsi="Times New Roman" w:cs="Times New Roman"/>
          <w:sz w:val="24"/>
        </w:rPr>
        <w:t xml:space="preserve"> GBD 2010: design, definitions, and metrics. </w:t>
      </w:r>
      <w:r w:rsidRPr="00CF49D0">
        <w:rPr>
          <w:rFonts w:ascii="Times New Roman" w:hAnsi="Times New Roman" w:cs="Times New Roman"/>
          <w:i/>
          <w:iCs/>
          <w:sz w:val="24"/>
        </w:rPr>
        <w:t>The Lancet</w:t>
      </w:r>
      <w:r w:rsidRPr="00CF49D0">
        <w:rPr>
          <w:rFonts w:ascii="Times New Roman" w:hAnsi="Times New Roman" w:cs="Times New Roman"/>
          <w:sz w:val="24"/>
        </w:rPr>
        <w:t xml:space="preserve"> </w:t>
      </w:r>
      <w:r w:rsidRPr="00CF49D0">
        <w:rPr>
          <w:rFonts w:ascii="Times New Roman" w:hAnsi="Times New Roman" w:cs="Times New Roman"/>
          <w:b/>
          <w:bCs/>
          <w:sz w:val="24"/>
        </w:rPr>
        <w:t>380</w:t>
      </w:r>
      <w:r w:rsidRPr="00CF49D0">
        <w:rPr>
          <w:rFonts w:ascii="Times New Roman" w:hAnsi="Times New Roman" w:cs="Times New Roman"/>
          <w:sz w:val="24"/>
        </w:rPr>
        <w:t>, 2063–2066 (2012).</w:t>
      </w:r>
    </w:p>
    <w:p w14:paraId="6437E87D"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22.</w:t>
      </w:r>
      <w:r w:rsidRPr="00CF49D0">
        <w:rPr>
          <w:rFonts w:ascii="Times New Roman" w:hAnsi="Times New Roman" w:cs="Times New Roman"/>
          <w:sz w:val="24"/>
        </w:rPr>
        <w:tab/>
        <w:t xml:space="preserve">Berrington de Gonzalez, A. </w:t>
      </w:r>
      <w:r w:rsidRPr="00CF49D0">
        <w:rPr>
          <w:rFonts w:ascii="Times New Roman" w:hAnsi="Times New Roman" w:cs="Times New Roman"/>
          <w:i/>
          <w:iCs/>
          <w:sz w:val="24"/>
        </w:rPr>
        <w:t>et al.</w:t>
      </w:r>
      <w:r w:rsidRPr="00CF49D0">
        <w:rPr>
          <w:rFonts w:ascii="Times New Roman" w:hAnsi="Times New Roman" w:cs="Times New Roman"/>
          <w:sz w:val="24"/>
        </w:rPr>
        <w:t xml:space="preserve"> Body-Mass Index and Mortality among 1.46 </w:t>
      </w:r>
      <w:proofErr w:type="gramStart"/>
      <w:r w:rsidRPr="00CF49D0">
        <w:rPr>
          <w:rFonts w:ascii="Times New Roman" w:hAnsi="Times New Roman" w:cs="Times New Roman"/>
          <w:sz w:val="24"/>
        </w:rPr>
        <w:t>Million</w:t>
      </w:r>
      <w:proofErr w:type="gramEnd"/>
      <w:r w:rsidRPr="00CF49D0">
        <w:rPr>
          <w:rFonts w:ascii="Times New Roman" w:hAnsi="Times New Roman" w:cs="Times New Roman"/>
          <w:sz w:val="24"/>
        </w:rPr>
        <w:t xml:space="preserve"> White Adults. </w:t>
      </w:r>
      <w:r w:rsidRPr="00CF49D0">
        <w:rPr>
          <w:rFonts w:ascii="Times New Roman" w:hAnsi="Times New Roman" w:cs="Times New Roman"/>
          <w:i/>
          <w:iCs/>
          <w:sz w:val="24"/>
        </w:rPr>
        <w:t>N Engl J Med</w:t>
      </w:r>
      <w:r w:rsidRPr="00CF49D0">
        <w:rPr>
          <w:rFonts w:ascii="Times New Roman" w:hAnsi="Times New Roman" w:cs="Times New Roman"/>
          <w:sz w:val="24"/>
        </w:rPr>
        <w:t xml:space="preserve"> </w:t>
      </w:r>
      <w:r w:rsidRPr="00CF49D0">
        <w:rPr>
          <w:rFonts w:ascii="Times New Roman" w:hAnsi="Times New Roman" w:cs="Times New Roman"/>
          <w:b/>
          <w:bCs/>
          <w:sz w:val="24"/>
        </w:rPr>
        <w:t>363</w:t>
      </w:r>
      <w:r w:rsidRPr="00CF49D0">
        <w:rPr>
          <w:rFonts w:ascii="Times New Roman" w:hAnsi="Times New Roman" w:cs="Times New Roman"/>
          <w:sz w:val="24"/>
        </w:rPr>
        <w:t>, 2211–2219 (2010).</w:t>
      </w:r>
    </w:p>
    <w:p w14:paraId="4FDEE784"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23.</w:t>
      </w:r>
      <w:r w:rsidRPr="00CF49D0">
        <w:rPr>
          <w:rFonts w:ascii="Times New Roman" w:hAnsi="Times New Roman" w:cs="Times New Roman"/>
          <w:sz w:val="24"/>
        </w:rPr>
        <w:tab/>
        <w:t xml:space="preserve">Prospective Studies Collaboration. Body-mass index and cause-specific mortality in 900 000 adults: collaborative analyses of 57 prospective studies. </w:t>
      </w:r>
      <w:r w:rsidRPr="00CF49D0">
        <w:rPr>
          <w:rFonts w:ascii="Times New Roman" w:hAnsi="Times New Roman" w:cs="Times New Roman"/>
          <w:i/>
          <w:iCs/>
          <w:sz w:val="24"/>
        </w:rPr>
        <w:t>The Lancet</w:t>
      </w:r>
      <w:r w:rsidRPr="00CF49D0">
        <w:rPr>
          <w:rFonts w:ascii="Times New Roman" w:hAnsi="Times New Roman" w:cs="Times New Roman"/>
          <w:sz w:val="24"/>
        </w:rPr>
        <w:t xml:space="preserve"> </w:t>
      </w:r>
      <w:r w:rsidRPr="00CF49D0">
        <w:rPr>
          <w:rFonts w:ascii="Times New Roman" w:hAnsi="Times New Roman" w:cs="Times New Roman"/>
          <w:b/>
          <w:bCs/>
          <w:sz w:val="24"/>
        </w:rPr>
        <w:t>373</w:t>
      </w:r>
      <w:r w:rsidRPr="00CF49D0">
        <w:rPr>
          <w:rFonts w:ascii="Times New Roman" w:hAnsi="Times New Roman" w:cs="Times New Roman"/>
          <w:sz w:val="24"/>
        </w:rPr>
        <w:t>, 1083–1096 (2009).</w:t>
      </w:r>
    </w:p>
    <w:p w14:paraId="35648035"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24.</w:t>
      </w:r>
      <w:r w:rsidRPr="00CF49D0">
        <w:rPr>
          <w:rFonts w:ascii="Times New Roman" w:hAnsi="Times New Roman" w:cs="Times New Roman"/>
          <w:sz w:val="24"/>
        </w:rPr>
        <w:tab/>
        <w:t xml:space="preserve">Springmann, M. </w:t>
      </w:r>
      <w:r w:rsidRPr="00CF49D0">
        <w:rPr>
          <w:rFonts w:ascii="Times New Roman" w:hAnsi="Times New Roman" w:cs="Times New Roman"/>
          <w:i/>
          <w:iCs/>
          <w:sz w:val="24"/>
        </w:rPr>
        <w:t>et al.</w:t>
      </w:r>
      <w:r w:rsidRPr="00CF49D0">
        <w:rPr>
          <w:rFonts w:ascii="Times New Roman" w:hAnsi="Times New Roman" w:cs="Times New Roman"/>
          <w:sz w:val="24"/>
        </w:rPr>
        <w:t xml:space="preserve"> Options for keeping the food system within environmental limits. </w:t>
      </w:r>
      <w:r w:rsidRPr="00CF49D0">
        <w:rPr>
          <w:rFonts w:ascii="Times New Roman" w:hAnsi="Times New Roman" w:cs="Times New Roman"/>
          <w:i/>
          <w:iCs/>
          <w:sz w:val="24"/>
        </w:rPr>
        <w:t>Nature</w:t>
      </w:r>
      <w:r w:rsidRPr="00CF49D0">
        <w:rPr>
          <w:rFonts w:ascii="Times New Roman" w:hAnsi="Times New Roman" w:cs="Times New Roman"/>
          <w:sz w:val="24"/>
        </w:rPr>
        <w:t xml:space="preserve"> </w:t>
      </w:r>
      <w:r w:rsidRPr="00CF49D0">
        <w:rPr>
          <w:rFonts w:ascii="Times New Roman" w:hAnsi="Times New Roman" w:cs="Times New Roman"/>
          <w:b/>
          <w:bCs/>
          <w:sz w:val="24"/>
        </w:rPr>
        <w:t>562</w:t>
      </w:r>
      <w:r w:rsidRPr="00CF49D0">
        <w:rPr>
          <w:rFonts w:ascii="Times New Roman" w:hAnsi="Times New Roman" w:cs="Times New Roman"/>
          <w:sz w:val="24"/>
        </w:rPr>
        <w:t>, 519–525 (2018).</w:t>
      </w:r>
    </w:p>
    <w:p w14:paraId="6B972F24"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25.</w:t>
      </w:r>
      <w:r w:rsidRPr="00CF49D0">
        <w:rPr>
          <w:rFonts w:ascii="Times New Roman" w:hAnsi="Times New Roman" w:cs="Times New Roman"/>
          <w:sz w:val="24"/>
        </w:rPr>
        <w:tab/>
        <w:t xml:space="preserve">Preston, S. H., </w:t>
      </w:r>
      <w:proofErr w:type="spellStart"/>
      <w:r w:rsidRPr="00CF49D0">
        <w:rPr>
          <w:rFonts w:ascii="Times New Roman" w:hAnsi="Times New Roman" w:cs="Times New Roman"/>
          <w:sz w:val="24"/>
        </w:rPr>
        <w:t>Vierboom</w:t>
      </w:r>
      <w:proofErr w:type="spellEnd"/>
      <w:r w:rsidRPr="00CF49D0">
        <w:rPr>
          <w:rFonts w:ascii="Times New Roman" w:hAnsi="Times New Roman" w:cs="Times New Roman"/>
          <w:sz w:val="24"/>
        </w:rPr>
        <w:t xml:space="preserve">, Y. C. &amp; Stokes, A. The role of obesity in exceptionally slow US mortality improvement. </w:t>
      </w:r>
      <w:r w:rsidRPr="00CF49D0">
        <w:rPr>
          <w:rFonts w:ascii="Times New Roman" w:hAnsi="Times New Roman" w:cs="Times New Roman"/>
          <w:i/>
          <w:iCs/>
          <w:sz w:val="24"/>
        </w:rPr>
        <w:t>Proceedings of the National Academy of Sciences</w:t>
      </w:r>
      <w:r w:rsidRPr="00CF49D0">
        <w:rPr>
          <w:rFonts w:ascii="Times New Roman" w:hAnsi="Times New Roman" w:cs="Times New Roman"/>
          <w:sz w:val="24"/>
        </w:rPr>
        <w:t xml:space="preserve"> </w:t>
      </w:r>
      <w:r w:rsidRPr="00CF49D0">
        <w:rPr>
          <w:rFonts w:ascii="Times New Roman" w:hAnsi="Times New Roman" w:cs="Times New Roman"/>
          <w:b/>
          <w:bCs/>
          <w:sz w:val="24"/>
        </w:rPr>
        <w:t>115</w:t>
      </w:r>
      <w:r w:rsidRPr="00CF49D0">
        <w:rPr>
          <w:rFonts w:ascii="Times New Roman" w:hAnsi="Times New Roman" w:cs="Times New Roman"/>
          <w:sz w:val="24"/>
        </w:rPr>
        <w:t>, 957–961 (2018).</w:t>
      </w:r>
    </w:p>
    <w:p w14:paraId="21F879A2"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26.</w:t>
      </w:r>
      <w:r w:rsidRPr="00CF49D0">
        <w:rPr>
          <w:rFonts w:ascii="Times New Roman" w:hAnsi="Times New Roman" w:cs="Times New Roman"/>
          <w:sz w:val="24"/>
        </w:rPr>
        <w:tab/>
        <w:t xml:space="preserve">Springmann, M., Godfray, H. C. J., Rayner, M. &amp; Scarborough, P. Analysis and valuation of the health and climate change </w:t>
      </w:r>
      <w:proofErr w:type="spellStart"/>
      <w:r w:rsidRPr="00CF49D0">
        <w:rPr>
          <w:rFonts w:ascii="Times New Roman" w:hAnsi="Times New Roman" w:cs="Times New Roman"/>
          <w:sz w:val="24"/>
        </w:rPr>
        <w:t>cobenefits</w:t>
      </w:r>
      <w:proofErr w:type="spellEnd"/>
      <w:r w:rsidRPr="00CF49D0">
        <w:rPr>
          <w:rFonts w:ascii="Times New Roman" w:hAnsi="Times New Roman" w:cs="Times New Roman"/>
          <w:sz w:val="24"/>
        </w:rPr>
        <w:t xml:space="preserve"> of dietary change. </w:t>
      </w:r>
      <w:r w:rsidRPr="00CF49D0">
        <w:rPr>
          <w:rFonts w:ascii="Times New Roman" w:hAnsi="Times New Roman" w:cs="Times New Roman"/>
          <w:i/>
          <w:iCs/>
          <w:sz w:val="24"/>
        </w:rPr>
        <w:t xml:space="preserve">Proc Natl </w:t>
      </w:r>
      <w:proofErr w:type="spellStart"/>
      <w:r w:rsidRPr="00CF49D0">
        <w:rPr>
          <w:rFonts w:ascii="Times New Roman" w:hAnsi="Times New Roman" w:cs="Times New Roman"/>
          <w:i/>
          <w:iCs/>
          <w:sz w:val="24"/>
        </w:rPr>
        <w:t>Acad</w:t>
      </w:r>
      <w:proofErr w:type="spellEnd"/>
      <w:r w:rsidRPr="00CF49D0">
        <w:rPr>
          <w:rFonts w:ascii="Times New Roman" w:hAnsi="Times New Roman" w:cs="Times New Roman"/>
          <w:i/>
          <w:iCs/>
          <w:sz w:val="24"/>
        </w:rPr>
        <w:t xml:space="preserve"> Sci USA</w:t>
      </w:r>
      <w:r w:rsidRPr="00CF49D0">
        <w:rPr>
          <w:rFonts w:ascii="Times New Roman" w:hAnsi="Times New Roman" w:cs="Times New Roman"/>
          <w:sz w:val="24"/>
        </w:rPr>
        <w:t xml:space="preserve"> </w:t>
      </w:r>
      <w:r w:rsidRPr="00CF49D0">
        <w:rPr>
          <w:rFonts w:ascii="Times New Roman" w:hAnsi="Times New Roman" w:cs="Times New Roman"/>
          <w:b/>
          <w:bCs/>
          <w:sz w:val="24"/>
        </w:rPr>
        <w:t>113</w:t>
      </w:r>
      <w:r w:rsidRPr="00CF49D0">
        <w:rPr>
          <w:rFonts w:ascii="Times New Roman" w:hAnsi="Times New Roman" w:cs="Times New Roman"/>
          <w:sz w:val="24"/>
        </w:rPr>
        <w:t>, 4146–4151 (2016).</w:t>
      </w:r>
    </w:p>
    <w:p w14:paraId="545EF193"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27.</w:t>
      </w:r>
      <w:r w:rsidRPr="00CF49D0">
        <w:rPr>
          <w:rFonts w:ascii="Times New Roman" w:hAnsi="Times New Roman" w:cs="Times New Roman"/>
          <w:sz w:val="24"/>
        </w:rPr>
        <w:tab/>
        <w:t xml:space="preserve">Leatherman, S., Ferris, T. G., Berwick, D., </w:t>
      </w:r>
      <w:proofErr w:type="spellStart"/>
      <w:r w:rsidRPr="00CF49D0">
        <w:rPr>
          <w:rFonts w:ascii="Times New Roman" w:hAnsi="Times New Roman" w:cs="Times New Roman"/>
          <w:sz w:val="24"/>
        </w:rPr>
        <w:t>Omaswa</w:t>
      </w:r>
      <w:proofErr w:type="spellEnd"/>
      <w:r w:rsidRPr="00CF49D0">
        <w:rPr>
          <w:rFonts w:ascii="Times New Roman" w:hAnsi="Times New Roman" w:cs="Times New Roman"/>
          <w:sz w:val="24"/>
        </w:rPr>
        <w:t xml:space="preserve">, F. &amp; Crisp, N. The role of quality improvement in strengthening health systems in developing countries. </w:t>
      </w:r>
      <w:r w:rsidRPr="00CF49D0">
        <w:rPr>
          <w:rFonts w:ascii="Times New Roman" w:hAnsi="Times New Roman" w:cs="Times New Roman"/>
          <w:i/>
          <w:iCs/>
          <w:sz w:val="24"/>
        </w:rPr>
        <w:t>International Journal for Quality in Health Care</w:t>
      </w:r>
      <w:r w:rsidRPr="00CF49D0">
        <w:rPr>
          <w:rFonts w:ascii="Times New Roman" w:hAnsi="Times New Roman" w:cs="Times New Roman"/>
          <w:sz w:val="24"/>
        </w:rPr>
        <w:t xml:space="preserve"> </w:t>
      </w:r>
      <w:r w:rsidRPr="00CF49D0">
        <w:rPr>
          <w:rFonts w:ascii="Times New Roman" w:hAnsi="Times New Roman" w:cs="Times New Roman"/>
          <w:b/>
          <w:bCs/>
          <w:sz w:val="24"/>
        </w:rPr>
        <w:t>22</w:t>
      </w:r>
      <w:r w:rsidRPr="00CF49D0">
        <w:rPr>
          <w:rFonts w:ascii="Times New Roman" w:hAnsi="Times New Roman" w:cs="Times New Roman"/>
          <w:sz w:val="24"/>
        </w:rPr>
        <w:t>, 237–243 (2010).</w:t>
      </w:r>
    </w:p>
    <w:p w14:paraId="5966774E"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28.</w:t>
      </w:r>
      <w:r w:rsidRPr="00CF49D0">
        <w:rPr>
          <w:rFonts w:ascii="Times New Roman" w:hAnsi="Times New Roman" w:cs="Times New Roman"/>
          <w:sz w:val="24"/>
        </w:rPr>
        <w:tab/>
        <w:t xml:space="preserve">Cafiero, C., Melgar-Quinonez, H. R., Ballard, T. J. &amp; Kepple, A. W. Validity and reliability of food security measures. </w:t>
      </w:r>
      <w:r w:rsidRPr="00CF49D0">
        <w:rPr>
          <w:rFonts w:ascii="Times New Roman" w:hAnsi="Times New Roman" w:cs="Times New Roman"/>
          <w:i/>
          <w:iCs/>
          <w:sz w:val="24"/>
        </w:rPr>
        <w:t>Annals of the New York Academy of Sciences</w:t>
      </w:r>
      <w:r w:rsidRPr="00CF49D0">
        <w:rPr>
          <w:rFonts w:ascii="Times New Roman" w:hAnsi="Times New Roman" w:cs="Times New Roman"/>
          <w:sz w:val="24"/>
        </w:rPr>
        <w:t xml:space="preserve"> </w:t>
      </w:r>
      <w:r w:rsidRPr="00CF49D0">
        <w:rPr>
          <w:rFonts w:ascii="Times New Roman" w:hAnsi="Times New Roman" w:cs="Times New Roman"/>
          <w:b/>
          <w:bCs/>
          <w:sz w:val="24"/>
        </w:rPr>
        <w:t>1331</w:t>
      </w:r>
      <w:r w:rsidRPr="00CF49D0">
        <w:rPr>
          <w:rFonts w:ascii="Times New Roman" w:hAnsi="Times New Roman" w:cs="Times New Roman"/>
          <w:sz w:val="24"/>
        </w:rPr>
        <w:t>, 230–248 (2014).</w:t>
      </w:r>
    </w:p>
    <w:p w14:paraId="4AFBE28C"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29.</w:t>
      </w:r>
      <w:r w:rsidRPr="00CF49D0">
        <w:rPr>
          <w:rFonts w:ascii="Times New Roman" w:hAnsi="Times New Roman" w:cs="Times New Roman"/>
          <w:sz w:val="24"/>
        </w:rPr>
        <w:tab/>
        <w:t xml:space="preserve">Headey, D. </w:t>
      </w:r>
      <w:r w:rsidRPr="00CF49D0">
        <w:rPr>
          <w:rFonts w:ascii="Times New Roman" w:hAnsi="Times New Roman" w:cs="Times New Roman"/>
          <w:i/>
          <w:iCs/>
          <w:sz w:val="24"/>
        </w:rPr>
        <w:t>et al.</w:t>
      </w:r>
      <w:r w:rsidRPr="00CF49D0">
        <w:rPr>
          <w:rFonts w:ascii="Times New Roman" w:hAnsi="Times New Roman" w:cs="Times New Roman"/>
          <w:sz w:val="24"/>
        </w:rPr>
        <w:t xml:space="preserve"> Impacts of COVID-19 on childhood malnutrition and nutrition-related mortality. </w:t>
      </w:r>
      <w:r w:rsidRPr="00CF49D0">
        <w:rPr>
          <w:rFonts w:ascii="Times New Roman" w:hAnsi="Times New Roman" w:cs="Times New Roman"/>
          <w:i/>
          <w:iCs/>
          <w:sz w:val="24"/>
        </w:rPr>
        <w:t>The Lancet</w:t>
      </w:r>
      <w:r w:rsidRPr="00CF49D0">
        <w:rPr>
          <w:rFonts w:ascii="Times New Roman" w:hAnsi="Times New Roman" w:cs="Times New Roman"/>
          <w:sz w:val="24"/>
        </w:rPr>
        <w:t xml:space="preserve"> </w:t>
      </w:r>
      <w:r w:rsidRPr="00CF49D0">
        <w:rPr>
          <w:rFonts w:ascii="Times New Roman" w:hAnsi="Times New Roman" w:cs="Times New Roman"/>
          <w:b/>
          <w:bCs/>
          <w:sz w:val="24"/>
        </w:rPr>
        <w:t>396</w:t>
      </w:r>
      <w:r w:rsidRPr="00CF49D0">
        <w:rPr>
          <w:rFonts w:ascii="Times New Roman" w:hAnsi="Times New Roman" w:cs="Times New Roman"/>
          <w:sz w:val="24"/>
        </w:rPr>
        <w:t>, 519–521 (2020).</w:t>
      </w:r>
    </w:p>
    <w:p w14:paraId="3C2EEE53"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30.</w:t>
      </w:r>
      <w:r w:rsidRPr="00CF49D0">
        <w:rPr>
          <w:rFonts w:ascii="Times New Roman" w:hAnsi="Times New Roman" w:cs="Times New Roman"/>
          <w:sz w:val="24"/>
        </w:rPr>
        <w:tab/>
        <w:t xml:space="preserve">Roberton, T. </w:t>
      </w:r>
      <w:r w:rsidRPr="00CF49D0">
        <w:rPr>
          <w:rFonts w:ascii="Times New Roman" w:hAnsi="Times New Roman" w:cs="Times New Roman"/>
          <w:i/>
          <w:iCs/>
          <w:sz w:val="24"/>
        </w:rPr>
        <w:t>et al.</w:t>
      </w:r>
      <w:r w:rsidRPr="00CF49D0">
        <w:rPr>
          <w:rFonts w:ascii="Times New Roman" w:hAnsi="Times New Roman" w:cs="Times New Roman"/>
          <w:sz w:val="24"/>
        </w:rPr>
        <w:t xml:space="preserve"> Early estimates of the indirect effects of the COVID-19 pandemic on maternal and child mortality in low-income and middle-income countries: a modelling study. </w:t>
      </w:r>
      <w:r w:rsidRPr="00CF49D0">
        <w:rPr>
          <w:rFonts w:ascii="Times New Roman" w:hAnsi="Times New Roman" w:cs="Times New Roman"/>
          <w:i/>
          <w:iCs/>
          <w:sz w:val="24"/>
        </w:rPr>
        <w:t>The Lancet Global Health</w:t>
      </w:r>
      <w:r w:rsidRPr="00CF49D0">
        <w:rPr>
          <w:rFonts w:ascii="Times New Roman" w:hAnsi="Times New Roman" w:cs="Times New Roman"/>
          <w:sz w:val="24"/>
        </w:rPr>
        <w:t xml:space="preserve"> </w:t>
      </w:r>
      <w:r w:rsidRPr="00CF49D0">
        <w:rPr>
          <w:rFonts w:ascii="Times New Roman" w:hAnsi="Times New Roman" w:cs="Times New Roman"/>
          <w:b/>
          <w:bCs/>
          <w:sz w:val="24"/>
        </w:rPr>
        <w:t>8</w:t>
      </w:r>
      <w:r w:rsidRPr="00CF49D0">
        <w:rPr>
          <w:rFonts w:ascii="Times New Roman" w:hAnsi="Times New Roman" w:cs="Times New Roman"/>
          <w:sz w:val="24"/>
        </w:rPr>
        <w:t>, e901–e908 (2020).</w:t>
      </w:r>
    </w:p>
    <w:p w14:paraId="6F79BB58"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31.</w:t>
      </w:r>
      <w:r w:rsidRPr="00CF49D0">
        <w:rPr>
          <w:rFonts w:ascii="Times New Roman" w:hAnsi="Times New Roman" w:cs="Times New Roman"/>
          <w:sz w:val="24"/>
        </w:rPr>
        <w:tab/>
        <w:t xml:space="preserve">Naiken, L. The </w:t>
      </w:r>
      <w:proofErr w:type="spellStart"/>
      <w:r w:rsidRPr="00CF49D0">
        <w:rPr>
          <w:rFonts w:ascii="Times New Roman" w:hAnsi="Times New Roman" w:cs="Times New Roman"/>
          <w:sz w:val="24"/>
        </w:rPr>
        <w:t>Probaility</w:t>
      </w:r>
      <w:proofErr w:type="spellEnd"/>
      <w:r w:rsidRPr="00CF49D0">
        <w:rPr>
          <w:rFonts w:ascii="Times New Roman" w:hAnsi="Times New Roman" w:cs="Times New Roman"/>
          <w:sz w:val="24"/>
        </w:rPr>
        <w:t xml:space="preserve"> Distribution Framework </w:t>
      </w:r>
      <w:proofErr w:type="gramStart"/>
      <w:r w:rsidRPr="00CF49D0">
        <w:rPr>
          <w:rFonts w:ascii="Times New Roman" w:hAnsi="Times New Roman" w:cs="Times New Roman"/>
          <w:sz w:val="24"/>
        </w:rPr>
        <w:t>For</w:t>
      </w:r>
      <w:proofErr w:type="gramEnd"/>
      <w:r w:rsidRPr="00CF49D0">
        <w:rPr>
          <w:rFonts w:ascii="Times New Roman" w:hAnsi="Times New Roman" w:cs="Times New Roman"/>
          <w:sz w:val="24"/>
        </w:rPr>
        <w:t xml:space="preserve"> Estimating The Prevalence of Undernourishment: Exploding the Myth of the Bivariate Distribution. </w:t>
      </w:r>
      <w:r w:rsidRPr="00CF49D0">
        <w:rPr>
          <w:rFonts w:ascii="Times New Roman" w:hAnsi="Times New Roman" w:cs="Times New Roman"/>
          <w:i/>
          <w:iCs/>
          <w:sz w:val="24"/>
        </w:rPr>
        <w:t>Working Paper Series, FAO, Statistical Division</w:t>
      </w:r>
      <w:r w:rsidRPr="00CF49D0">
        <w:rPr>
          <w:rFonts w:ascii="Times New Roman" w:hAnsi="Times New Roman" w:cs="Times New Roman"/>
          <w:sz w:val="24"/>
        </w:rPr>
        <w:t xml:space="preserve"> 53 (2021).</w:t>
      </w:r>
    </w:p>
    <w:p w14:paraId="2C150CF7"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32.</w:t>
      </w:r>
      <w:r w:rsidRPr="00CF49D0">
        <w:rPr>
          <w:rFonts w:ascii="Times New Roman" w:hAnsi="Times New Roman" w:cs="Times New Roman"/>
          <w:sz w:val="24"/>
        </w:rPr>
        <w:tab/>
        <w:t xml:space="preserve">Cafiero, C. Advances in hunger measurement: traditional FAO methods and recent innovations. </w:t>
      </w:r>
      <w:r w:rsidRPr="00CF49D0">
        <w:rPr>
          <w:rFonts w:ascii="Times New Roman" w:hAnsi="Times New Roman" w:cs="Times New Roman"/>
          <w:i/>
          <w:iCs/>
          <w:sz w:val="24"/>
        </w:rPr>
        <w:t>Food and Agriculture Organization of the United Nation, Rome</w:t>
      </w:r>
      <w:r w:rsidRPr="00CF49D0">
        <w:rPr>
          <w:rFonts w:ascii="Times New Roman" w:hAnsi="Times New Roman" w:cs="Times New Roman"/>
          <w:sz w:val="24"/>
        </w:rPr>
        <w:t xml:space="preserve"> (2014).</w:t>
      </w:r>
    </w:p>
    <w:p w14:paraId="3E9F2C15"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33.</w:t>
      </w:r>
      <w:r w:rsidRPr="00CF49D0">
        <w:rPr>
          <w:rFonts w:ascii="Times New Roman" w:hAnsi="Times New Roman" w:cs="Times New Roman"/>
          <w:sz w:val="24"/>
        </w:rPr>
        <w:tab/>
        <w:t>FAO/WHO. Human energy requirements. Report of a Joint FAO/WHO/UNU Expert Consultation, Rome, 17-24 October. (2001).</w:t>
      </w:r>
    </w:p>
    <w:p w14:paraId="7B6AFEFC"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34.</w:t>
      </w:r>
      <w:r w:rsidRPr="00CF49D0">
        <w:rPr>
          <w:rFonts w:ascii="Times New Roman" w:hAnsi="Times New Roman" w:cs="Times New Roman"/>
          <w:sz w:val="24"/>
        </w:rPr>
        <w:tab/>
        <w:t xml:space="preserve">Hertel, T. W. &amp; Baldos, U. L. C. </w:t>
      </w:r>
      <w:r w:rsidRPr="00CF49D0">
        <w:rPr>
          <w:rFonts w:ascii="Times New Roman" w:hAnsi="Times New Roman" w:cs="Times New Roman"/>
          <w:i/>
          <w:iCs/>
          <w:sz w:val="24"/>
        </w:rPr>
        <w:t>Global Change and the Challenges of Sustainably Feeding a Growing Planet</w:t>
      </w:r>
      <w:r w:rsidRPr="00CF49D0">
        <w:rPr>
          <w:rFonts w:ascii="Times New Roman" w:hAnsi="Times New Roman" w:cs="Times New Roman"/>
          <w:sz w:val="24"/>
        </w:rPr>
        <w:t>. (Springer International Publishing, 2016). doi:10.1007/978-3-319-22662-0.</w:t>
      </w:r>
    </w:p>
    <w:p w14:paraId="52C51630"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35.</w:t>
      </w:r>
      <w:r w:rsidRPr="00CF49D0">
        <w:rPr>
          <w:rFonts w:ascii="Times New Roman" w:hAnsi="Times New Roman" w:cs="Times New Roman"/>
          <w:sz w:val="24"/>
        </w:rPr>
        <w:tab/>
        <w:t xml:space="preserve">Muhammad, A., Seale, J. L., Meade, B. &amp; Regmi, A. International evidence on food consumption patterns: an update using 2005 international comparison program data. </w:t>
      </w:r>
      <w:r w:rsidRPr="00CF49D0">
        <w:rPr>
          <w:rFonts w:ascii="Times New Roman" w:hAnsi="Times New Roman" w:cs="Times New Roman"/>
          <w:i/>
          <w:iCs/>
          <w:sz w:val="24"/>
        </w:rPr>
        <w:t>USDA-ERS technical bulletin</w:t>
      </w:r>
      <w:r w:rsidRPr="00CF49D0">
        <w:rPr>
          <w:rFonts w:ascii="Times New Roman" w:hAnsi="Times New Roman" w:cs="Times New Roman"/>
          <w:sz w:val="24"/>
        </w:rPr>
        <w:t xml:space="preserve"> (2011).</w:t>
      </w:r>
    </w:p>
    <w:p w14:paraId="6DF10707"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36.</w:t>
      </w:r>
      <w:r w:rsidRPr="00CF49D0">
        <w:rPr>
          <w:rFonts w:ascii="Times New Roman" w:hAnsi="Times New Roman" w:cs="Times New Roman"/>
          <w:sz w:val="24"/>
        </w:rPr>
        <w:tab/>
        <w:t xml:space="preserve">Gurgel, A., Reilly, J. M. &amp; </w:t>
      </w:r>
      <w:proofErr w:type="spellStart"/>
      <w:r w:rsidRPr="00CF49D0">
        <w:rPr>
          <w:rFonts w:ascii="Times New Roman" w:hAnsi="Times New Roman" w:cs="Times New Roman"/>
          <w:sz w:val="24"/>
        </w:rPr>
        <w:t>Paltsev</w:t>
      </w:r>
      <w:proofErr w:type="spellEnd"/>
      <w:r w:rsidRPr="00CF49D0">
        <w:rPr>
          <w:rFonts w:ascii="Times New Roman" w:hAnsi="Times New Roman" w:cs="Times New Roman"/>
          <w:sz w:val="24"/>
        </w:rPr>
        <w:t xml:space="preserve">, S. Potential land use implications of a global biofuels industry. </w:t>
      </w:r>
      <w:r w:rsidRPr="00CF49D0">
        <w:rPr>
          <w:rFonts w:ascii="Times New Roman" w:hAnsi="Times New Roman" w:cs="Times New Roman"/>
          <w:i/>
          <w:iCs/>
          <w:sz w:val="24"/>
        </w:rPr>
        <w:t>Journal of Agricultural &amp; Food Industrial Organization</w:t>
      </w:r>
      <w:r w:rsidRPr="00CF49D0">
        <w:rPr>
          <w:rFonts w:ascii="Times New Roman" w:hAnsi="Times New Roman" w:cs="Times New Roman"/>
          <w:sz w:val="24"/>
        </w:rPr>
        <w:t xml:space="preserve"> </w:t>
      </w:r>
      <w:r w:rsidRPr="00CF49D0">
        <w:rPr>
          <w:rFonts w:ascii="Times New Roman" w:hAnsi="Times New Roman" w:cs="Times New Roman"/>
          <w:b/>
          <w:bCs/>
          <w:sz w:val="24"/>
        </w:rPr>
        <w:t>5</w:t>
      </w:r>
      <w:r w:rsidRPr="00CF49D0">
        <w:rPr>
          <w:rFonts w:ascii="Times New Roman" w:hAnsi="Times New Roman" w:cs="Times New Roman"/>
          <w:sz w:val="24"/>
        </w:rPr>
        <w:t>, (2007).</w:t>
      </w:r>
    </w:p>
    <w:p w14:paraId="52A77E58"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37.</w:t>
      </w:r>
      <w:r w:rsidRPr="00CF49D0">
        <w:rPr>
          <w:rFonts w:ascii="Times New Roman" w:hAnsi="Times New Roman" w:cs="Times New Roman"/>
          <w:sz w:val="24"/>
        </w:rPr>
        <w:tab/>
        <w:t xml:space="preserve">Ahmed, S. A., Hertel, T. &amp; </w:t>
      </w:r>
      <w:proofErr w:type="spellStart"/>
      <w:r w:rsidRPr="00CF49D0">
        <w:rPr>
          <w:rFonts w:ascii="Times New Roman" w:hAnsi="Times New Roman" w:cs="Times New Roman"/>
          <w:sz w:val="24"/>
        </w:rPr>
        <w:t>Lubowski</w:t>
      </w:r>
      <w:proofErr w:type="spellEnd"/>
      <w:r w:rsidRPr="00CF49D0">
        <w:rPr>
          <w:rFonts w:ascii="Times New Roman" w:hAnsi="Times New Roman" w:cs="Times New Roman"/>
          <w:sz w:val="24"/>
        </w:rPr>
        <w:t>, R. Calibration of a land cover supply function using transition probabilities. (2009).</w:t>
      </w:r>
    </w:p>
    <w:p w14:paraId="7EA6D7E6"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38.</w:t>
      </w:r>
      <w:r w:rsidRPr="00CF49D0">
        <w:rPr>
          <w:rFonts w:ascii="Times New Roman" w:hAnsi="Times New Roman" w:cs="Times New Roman"/>
          <w:sz w:val="24"/>
        </w:rPr>
        <w:tab/>
      </w:r>
      <w:proofErr w:type="spellStart"/>
      <w:r w:rsidRPr="00CF49D0">
        <w:rPr>
          <w:rFonts w:ascii="Times New Roman" w:hAnsi="Times New Roman" w:cs="Times New Roman"/>
          <w:sz w:val="24"/>
        </w:rPr>
        <w:t>Taheripour</w:t>
      </w:r>
      <w:proofErr w:type="spellEnd"/>
      <w:r w:rsidRPr="00CF49D0">
        <w:rPr>
          <w:rFonts w:ascii="Times New Roman" w:hAnsi="Times New Roman" w:cs="Times New Roman"/>
          <w:sz w:val="24"/>
        </w:rPr>
        <w:t xml:space="preserve">, F., </w:t>
      </w:r>
      <w:proofErr w:type="spellStart"/>
      <w:r w:rsidRPr="00CF49D0">
        <w:rPr>
          <w:rFonts w:ascii="Times New Roman" w:hAnsi="Times New Roman" w:cs="Times New Roman"/>
          <w:sz w:val="24"/>
        </w:rPr>
        <w:t>Birur</w:t>
      </w:r>
      <w:proofErr w:type="spellEnd"/>
      <w:r w:rsidRPr="00CF49D0">
        <w:rPr>
          <w:rFonts w:ascii="Times New Roman" w:hAnsi="Times New Roman" w:cs="Times New Roman"/>
          <w:sz w:val="24"/>
        </w:rPr>
        <w:t>, D., Hertel, T. &amp; Tyner, W. Introducing liquid biofuels into the GTAP data base. (2007).</w:t>
      </w:r>
    </w:p>
    <w:p w14:paraId="61B57BE7"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39.</w:t>
      </w:r>
      <w:r w:rsidRPr="00CF49D0">
        <w:rPr>
          <w:rFonts w:ascii="Times New Roman" w:hAnsi="Times New Roman" w:cs="Times New Roman"/>
          <w:sz w:val="24"/>
        </w:rPr>
        <w:tab/>
        <w:t xml:space="preserve">Ludena, C. E., Hertel, T. W., Preckel, P. V., Foster, K. &amp; Nin, A. Productivity growth and convergence in crop, ruminant, and nonruminant production: measurement and forecasts. </w:t>
      </w:r>
      <w:r w:rsidRPr="00CF49D0">
        <w:rPr>
          <w:rFonts w:ascii="Times New Roman" w:hAnsi="Times New Roman" w:cs="Times New Roman"/>
          <w:i/>
          <w:iCs/>
          <w:sz w:val="24"/>
        </w:rPr>
        <w:t>Agricultural Economics</w:t>
      </w:r>
      <w:r w:rsidRPr="00CF49D0">
        <w:rPr>
          <w:rFonts w:ascii="Times New Roman" w:hAnsi="Times New Roman" w:cs="Times New Roman"/>
          <w:sz w:val="24"/>
        </w:rPr>
        <w:t xml:space="preserve"> </w:t>
      </w:r>
      <w:r w:rsidRPr="00CF49D0">
        <w:rPr>
          <w:rFonts w:ascii="Times New Roman" w:hAnsi="Times New Roman" w:cs="Times New Roman"/>
          <w:b/>
          <w:bCs/>
          <w:sz w:val="24"/>
        </w:rPr>
        <w:t>37</w:t>
      </w:r>
      <w:r w:rsidRPr="00CF49D0">
        <w:rPr>
          <w:rFonts w:ascii="Times New Roman" w:hAnsi="Times New Roman" w:cs="Times New Roman"/>
          <w:sz w:val="24"/>
        </w:rPr>
        <w:t>, 1–17 (2007).</w:t>
      </w:r>
    </w:p>
    <w:p w14:paraId="0A5F35BF"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40.</w:t>
      </w:r>
      <w:r w:rsidRPr="00CF49D0">
        <w:rPr>
          <w:rFonts w:ascii="Times New Roman" w:hAnsi="Times New Roman" w:cs="Times New Roman"/>
          <w:sz w:val="24"/>
        </w:rPr>
        <w:tab/>
        <w:t xml:space="preserve">Harrison, W. J. &amp; Pearson, K. R. Computing solutions for large general equilibrium models using GEMPACK. </w:t>
      </w:r>
      <w:r w:rsidRPr="00CF49D0">
        <w:rPr>
          <w:rFonts w:ascii="Times New Roman" w:hAnsi="Times New Roman" w:cs="Times New Roman"/>
          <w:i/>
          <w:iCs/>
          <w:sz w:val="24"/>
        </w:rPr>
        <w:t>Computational Economics</w:t>
      </w:r>
      <w:r w:rsidRPr="00CF49D0">
        <w:rPr>
          <w:rFonts w:ascii="Times New Roman" w:hAnsi="Times New Roman" w:cs="Times New Roman"/>
          <w:sz w:val="24"/>
        </w:rPr>
        <w:t xml:space="preserve"> </w:t>
      </w:r>
      <w:r w:rsidRPr="00CF49D0">
        <w:rPr>
          <w:rFonts w:ascii="Times New Roman" w:hAnsi="Times New Roman" w:cs="Times New Roman"/>
          <w:b/>
          <w:bCs/>
          <w:sz w:val="24"/>
        </w:rPr>
        <w:t>9</w:t>
      </w:r>
      <w:r w:rsidRPr="00CF49D0">
        <w:rPr>
          <w:rFonts w:ascii="Times New Roman" w:hAnsi="Times New Roman" w:cs="Times New Roman"/>
          <w:sz w:val="24"/>
        </w:rPr>
        <w:t>, 83–127 (1996).</w:t>
      </w:r>
    </w:p>
    <w:p w14:paraId="019D984A"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41.</w:t>
      </w:r>
      <w:r w:rsidRPr="00CF49D0">
        <w:rPr>
          <w:rFonts w:ascii="Times New Roman" w:hAnsi="Times New Roman" w:cs="Times New Roman"/>
          <w:sz w:val="24"/>
        </w:rPr>
        <w:tab/>
        <w:t xml:space="preserve">Harrison, W. J., Horridge, J. M. &amp; Pearson, K. R. Decomposing simulation results with respect to exogenous shocks. </w:t>
      </w:r>
      <w:r w:rsidRPr="00CF49D0">
        <w:rPr>
          <w:rFonts w:ascii="Times New Roman" w:hAnsi="Times New Roman" w:cs="Times New Roman"/>
          <w:i/>
          <w:iCs/>
          <w:sz w:val="24"/>
        </w:rPr>
        <w:t>Computational Economics</w:t>
      </w:r>
      <w:r w:rsidRPr="00CF49D0">
        <w:rPr>
          <w:rFonts w:ascii="Times New Roman" w:hAnsi="Times New Roman" w:cs="Times New Roman"/>
          <w:sz w:val="24"/>
        </w:rPr>
        <w:t xml:space="preserve"> </w:t>
      </w:r>
      <w:r w:rsidRPr="00CF49D0">
        <w:rPr>
          <w:rFonts w:ascii="Times New Roman" w:hAnsi="Times New Roman" w:cs="Times New Roman"/>
          <w:b/>
          <w:bCs/>
          <w:sz w:val="24"/>
        </w:rPr>
        <w:t>15</w:t>
      </w:r>
      <w:r w:rsidRPr="00CF49D0">
        <w:rPr>
          <w:rFonts w:ascii="Times New Roman" w:hAnsi="Times New Roman" w:cs="Times New Roman"/>
          <w:sz w:val="24"/>
        </w:rPr>
        <w:t>, 227–249 (2000).</w:t>
      </w:r>
    </w:p>
    <w:p w14:paraId="15E7EF54"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42.</w:t>
      </w:r>
      <w:r w:rsidRPr="00CF49D0">
        <w:rPr>
          <w:rFonts w:ascii="Times New Roman" w:hAnsi="Times New Roman" w:cs="Times New Roman"/>
          <w:sz w:val="24"/>
        </w:rPr>
        <w:tab/>
        <w:t xml:space="preserve">DeVuyst, E. A. &amp; Preckel, P. V. Sensitivity analysis revisited: A quadrature-based approach. </w:t>
      </w:r>
      <w:r w:rsidRPr="00CF49D0">
        <w:rPr>
          <w:rFonts w:ascii="Times New Roman" w:hAnsi="Times New Roman" w:cs="Times New Roman"/>
          <w:i/>
          <w:iCs/>
          <w:sz w:val="24"/>
        </w:rPr>
        <w:t>Journal of policy modeling</w:t>
      </w:r>
      <w:r w:rsidRPr="00CF49D0">
        <w:rPr>
          <w:rFonts w:ascii="Times New Roman" w:hAnsi="Times New Roman" w:cs="Times New Roman"/>
          <w:sz w:val="24"/>
        </w:rPr>
        <w:t xml:space="preserve"> </w:t>
      </w:r>
      <w:r w:rsidRPr="00CF49D0">
        <w:rPr>
          <w:rFonts w:ascii="Times New Roman" w:hAnsi="Times New Roman" w:cs="Times New Roman"/>
          <w:b/>
          <w:bCs/>
          <w:sz w:val="24"/>
        </w:rPr>
        <w:t>19</w:t>
      </w:r>
      <w:r w:rsidRPr="00CF49D0">
        <w:rPr>
          <w:rFonts w:ascii="Times New Roman" w:hAnsi="Times New Roman" w:cs="Times New Roman"/>
          <w:sz w:val="24"/>
        </w:rPr>
        <w:t>, 175–185 (1997).</w:t>
      </w:r>
    </w:p>
    <w:p w14:paraId="7DD535F1"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43.</w:t>
      </w:r>
      <w:r w:rsidRPr="00CF49D0">
        <w:rPr>
          <w:rFonts w:ascii="Times New Roman" w:hAnsi="Times New Roman" w:cs="Times New Roman"/>
          <w:sz w:val="24"/>
        </w:rPr>
        <w:tab/>
        <w:t>Pearson, K. &amp; Arndt, C. Implementing systematic sensitivity analysis using GEMPACK. (2000).</w:t>
      </w:r>
    </w:p>
    <w:p w14:paraId="77834E61"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44.</w:t>
      </w:r>
      <w:r w:rsidRPr="00CF49D0">
        <w:rPr>
          <w:rFonts w:ascii="Times New Roman" w:hAnsi="Times New Roman" w:cs="Times New Roman"/>
          <w:sz w:val="24"/>
        </w:rPr>
        <w:tab/>
        <w:t xml:space="preserve">Springmann, M. </w:t>
      </w:r>
      <w:r w:rsidRPr="00CF49D0">
        <w:rPr>
          <w:rFonts w:ascii="Times New Roman" w:hAnsi="Times New Roman" w:cs="Times New Roman"/>
          <w:i/>
          <w:iCs/>
          <w:sz w:val="24"/>
        </w:rPr>
        <w:t>et al.</w:t>
      </w:r>
      <w:r w:rsidRPr="00CF49D0">
        <w:rPr>
          <w:rFonts w:ascii="Times New Roman" w:hAnsi="Times New Roman" w:cs="Times New Roman"/>
          <w:sz w:val="24"/>
        </w:rPr>
        <w:t xml:space="preserve"> Options for keeping the food system within environmental limits. </w:t>
      </w:r>
      <w:r w:rsidRPr="00CF49D0">
        <w:rPr>
          <w:rFonts w:ascii="Times New Roman" w:hAnsi="Times New Roman" w:cs="Times New Roman"/>
          <w:i/>
          <w:iCs/>
          <w:sz w:val="24"/>
        </w:rPr>
        <w:t>Nature</w:t>
      </w:r>
      <w:r w:rsidRPr="00CF49D0">
        <w:rPr>
          <w:rFonts w:ascii="Times New Roman" w:hAnsi="Times New Roman" w:cs="Times New Roman"/>
          <w:sz w:val="24"/>
        </w:rPr>
        <w:t xml:space="preserve"> </w:t>
      </w:r>
      <w:r w:rsidRPr="00CF49D0">
        <w:rPr>
          <w:rFonts w:ascii="Times New Roman" w:hAnsi="Times New Roman" w:cs="Times New Roman"/>
          <w:b/>
          <w:bCs/>
          <w:sz w:val="24"/>
        </w:rPr>
        <w:t>562</w:t>
      </w:r>
      <w:r w:rsidRPr="00CF49D0">
        <w:rPr>
          <w:rFonts w:ascii="Times New Roman" w:hAnsi="Times New Roman" w:cs="Times New Roman"/>
          <w:sz w:val="24"/>
        </w:rPr>
        <w:t>, 519 (2018).</w:t>
      </w:r>
    </w:p>
    <w:p w14:paraId="0362D029"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45.</w:t>
      </w:r>
      <w:r w:rsidRPr="00CF49D0">
        <w:rPr>
          <w:rFonts w:ascii="Times New Roman" w:hAnsi="Times New Roman" w:cs="Times New Roman"/>
          <w:sz w:val="24"/>
        </w:rPr>
        <w:tab/>
        <w:t xml:space="preserve">WHO. </w:t>
      </w:r>
      <w:r w:rsidRPr="00CF49D0">
        <w:rPr>
          <w:rFonts w:ascii="Times New Roman" w:hAnsi="Times New Roman" w:cs="Times New Roman"/>
          <w:i/>
          <w:iCs/>
          <w:sz w:val="24"/>
        </w:rPr>
        <w:t>Diet, nutrition, and the prevention of chronic diseases: report of a joint WHO/FAO expert consultation</w:t>
      </w:r>
      <w:r w:rsidRPr="00CF49D0">
        <w:rPr>
          <w:rFonts w:ascii="Times New Roman" w:hAnsi="Times New Roman" w:cs="Times New Roman"/>
          <w:sz w:val="24"/>
        </w:rPr>
        <w:t>. vol. 916 (World Health Organization, 2003).</w:t>
      </w:r>
    </w:p>
    <w:p w14:paraId="00D85E2F" w14:textId="77777777" w:rsidR="00CF49D0" w:rsidRPr="00CF49D0" w:rsidRDefault="00CF49D0" w:rsidP="00396AB6">
      <w:pPr>
        <w:pStyle w:val="Bibliografa"/>
        <w:spacing w:after="120" w:line="240" w:lineRule="auto"/>
        <w:ind w:firstLine="0"/>
        <w:rPr>
          <w:rFonts w:ascii="Times New Roman" w:hAnsi="Times New Roman" w:cs="Times New Roman"/>
          <w:sz w:val="24"/>
        </w:rPr>
      </w:pPr>
      <w:r w:rsidRPr="00CF49D0">
        <w:rPr>
          <w:rFonts w:ascii="Times New Roman" w:hAnsi="Times New Roman" w:cs="Times New Roman"/>
          <w:sz w:val="24"/>
        </w:rPr>
        <w:t>46.</w:t>
      </w:r>
      <w:r w:rsidRPr="00CF49D0">
        <w:rPr>
          <w:rFonts w:ascii="Times New Roman" w:hAnsi="Times New Roman" w:cs="Times New Roman"/>
          <w:sz w:val="24"/>
        </w:rPr>
        <w:tab/>
      </w:r>
      <w:proofErr w:type="spellStart"/>
      <w:r w:rsidRPr="00CF49D0">
        <w:rPr>
          <w:rFonts w:ascii="Times New Roman" w:hAnsi="Times New Roman" w:cs="Times New Roman"/>
          <w:sz w:val="24"/>
        </w:rPr>
        <w:t>Bodirsky</w:t>
      </w:r>
      <w:proofErr w:type="spellEnd"/>
      <w:r w:rsidRPr="00CF49D0">
        <w:rPr>
          <w:rFonts w:ascii="Times New Roman" w:hAnsi="Times New Roman" w:cs="Times New Roman"/>
          <w:sz w:val="24"/>
        </w:rPr>
        <w:t xml:space="preserve">, B. L. </w:t>
      </w:r>
      <w:r w:rsidRPr="00CF49D0">
        <w:rPr>
          <w:rFonts w:ascii="Times New Roman" w:hAnsi="Times New Roman" w:cs="Times New Roman"/>
          <w:i/>
          <w:iCs/>
          <w:sz w:val="24"/>
        </w:rPr>
        <w:t>et al.</w:t>
      </w:r>
      <w:r w:rsidRPr="00CF49D0">
        <w:rPr>
          <w:rFonts w:ascii="Times New Roman" w:hAnsi="Times New Roman" w:cs="Times New Roman"/>
          <w:sz w:val="24"/>
        </w:rPr>
        <w:t xml:space="preserve"> The ongoing nutrition transition thwarts long-term targets for food security, public health and environmental protection. </w:t>
      </w:r>
      <w:r w:rsidRPr="00CF49D0">
        <w:rPr>
          <w:rFonts w:ascii="Times New Roman" w:hAnsi="Times New Roman" w:cs="Times New Roman"/>
          <w:i/>
          <w:iCs/>
          <w:sz w:val="24"/>
        </w:rPr>
        <w:t>Sci Rep</w:t>
      </w:r>
      <w:r w:rsidRPr="00CF49D0">
        <w:rPr>
          <w:rFonts w:ascii="Times New Roman" w:hAnsi="Times New Roman" w:cs="Times New Roman"/>
          <w:sz w:val="24"/>
        </w:rPr>
        <w:t xml:space="preserve"> </w:t>
      </w:r>
      <w:r w:rsidRPr="00CF49D0">
        <w:rPr>
          <w:rFonts w:ascii="Times New Roman" w:hAnsi="Times New Roman" w:cs="Times New Roman"/>
          <w:b/>
          <w:bCs/>
          <w:sz w:val="24"/>
        </w:rPr>
        <w:t>10</w:t>
      </w:r>
      <w:r w:rsidRPr="00CF49D0">
        <w:rPr>
          <w:rFonts w:ascii="Times New Roman" w:hAnsi="Times New Roman" w:cs="Times New Roman"/>
          <w:sz w:val="24"/>
        </w:rPr>
        <w:t>, 19778 (2020).</w:t>
      </w:r>
    </w:p>
    <w:p w14:paraId="1C2036DD" w14:textId="69456155" w:rsidR="00D3605A" w:rsidRPr="00D3605A" w:rsidRDefault="001645F6" w:rsidP="00396AB6">
      <w:pPr>
        <w:spacing w:after="120" w:line="240" w:lineRule="auto"/>
        <w:jc w:val="both"/>
        <w:rPr>
          <w:rFonts w:ascii="Times New Roman" w:eastAsia="Malgun Gothic" w:hAnsi="Times New Roman" w:cs="Times New Roman"/>
          <w:b/>
          <w:bCs/>
          <w:color w:val="000000"/>
          <w:sz w:val="24"/>
          <w:szCs w:val="24"/>
          <w:lang w:eastAsia="ko-KR"/>
        </w:rPr>
      </w:pPr>
      <w:r w:rsidRPr="001645F6">
        <w:rPr>
          <w:rFonts w:ascii="Times New Roman" w:eastAsia="Malgun Gothic" w:hAnsi="Times New Roman" w:cs="Times New Roman"/>
          <w:b/>
          <w:bCs/>
          <w:color w:val="000000"/>
          <w:sz w:val="24"/>
          <w:szCs w:val="24"/>
          <w:lang w:eastAsia="ko-KR"/>
        </w:rPr>
        <w:fldChar w:fldCharType="end"/>
      </w:r>
      <w:bookmarkEnd w:id="51"/>
    </w:p>
    <w:sectPr w:rsidR="00D3605A" w:rsidRPr="00D3605A" w:rsidSect="004B3CCD">
      <w:footerReference w:type="default" r:id="rId24"/>
      <w:pgSz w:w="12240" w:h="15840" w:code="1"/>
      <w:pgMar w:top="1296" w:right="1008" w:bottom="576" w:left="1008" w:header="0" w:footer="432"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257B1" w14:textId="77777777" w:rsidR="004D6BED" w:rsidRDefault="004D6BED" w:rsidP="004B3CCD">
      <w:pPr>
        <w:spacing w:after="0" w:line="240" w:lineRule="auto"/>
      </w:pPr>
      <w:r>
        <w:separator/>
      </w:r>
    </w:p>
  </w:endnote>
  <w:endnote w:type="continuationSeparator" w:id="0">
    <w:p w14:paraId="6863997A" w14:textId="77777777" w:rsidR="004D6BED" w:rsidRDefault="004D6BED" w:rsidP="004B3C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4493750"/>
      <w:docPartObj>
        <w:docPartGallery w:val="Page Numbers (Bottom of Page)"/>
        <w:docPartUnique/>
      </w:docPartObj>
    </w:sdtPr>
    <w:sdtEndPr/>
    <w:sdtContent>
      <w:p w14:paraId="1CF857B2" w14:textId="5186BDDC" w:rsidR="004B3CCD" w:rsidRDefault="004B3CCD">
        <w:pPr>
          <w:pStyle w:val="Piedepgina"/>
          <w:jc w:val="right"/>
        </w:pPr>
        <w:r>
          <w:fldChar w:fldCharType="begin"/>
        </w:r>
        <w:r>
          <w:instrText>PAGE   \* MERGEFORMAT</w:instrText>
        </w:r>
        <w:r>
          <w:fldChar w:fldCharType="separate"/>
        </w:r>
        <w:r>
          <w:rPr>
            <w:lang w:val="es-ES"/>
          </w:rPr>
          <w:t>2</w:t>
        </w:r>
        <w:r>
          <w:fldChar w:fldCharType="end"/>
        </w:r>
      </w:p>
    </w:sdtContent>
  </w:sdt>
  <w:p w14:paraId="02222818" w14:textId="77777777" w:rsidR="004B3CCD" w:rsidRDefault="004B3CC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53206" w14:textId="77777777" w:rsidR="004D6BED" w:rsidRDefault="004D6BED" w:rsidP="004B3CCD">
      <w:pPr>
        <w:spacing w:after="0" w:line="240" w:lineRule="auto"/>
      </w:pPr>
      <w:r>
        <w:separator/>
      </w:r>
    </w:p>
  </w:footnote>
  <w:footnote w:type="continuationSeparator" w:id="0">
    <w:p w14:paraId="5FC126A0" w14:textId="77777777" w:rsidR="004D6BED" w:rsidRDefault="004D6BED" w:rsidP="004B3C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6B1DC7"/>
    <w:multiLevelType w:val="hybridMultilevel"/>
    <w:tmpl w:val="289C768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05A"/>
    <w:rsid w:val="000106A8"/>
    <w:rsid w:val="0002477B"/>
    <w:rsid w:val="00032202"/>
    <w:rsid w:val="00032E02"/>
    <w:rsid w:val="00043873"/>
    <w:rsid w:val="00075C60"/>
    <w:rsid w:val="000A4650"/>
    <w:rsid w:val="000E0DE6"/>
    <w:rsid w:val="00132D0F"/>
    <w:rsid w:val="001645F6"/>
    <w:rsid w:val="001A4061"/>
    <w:rsid w:val="001A6BC7"/>
    <w:rsid w:val="001B6F51"/>
    <w:rsid w:val="00201D79"/>
    <w:rsid w:val="00221E29"/>
    <w:rsid w:val="0023119E"/>
    <w:rsid w:val="00250BDD"/>
    <w:rsid w:val="002763A1"/>
    <w:rsid w:val="00291C14"/>
    <w:rsid w:val="002974AC"/>
    <w:rsid w:val="002C3CB2"/>
    <w:rsid w:val="002E4527"/>
    <w:rsid w:val="002E5BCB"/>
    <w:rsid w:val="00332FE2"/>
    <w:rsid w:val="00345E83"/>
    <w:rsid w:val="00346CB5"/>
    <w:rsid w:val="00356745"/>
    <w:rsid w:val="00362345"/>
    <w:rsid w:val="00382175"/>
    <w:rsid w:val="00393806"/>
    <w:rsid w:val="00396AB6"/>
    <w:rsid w:val="003A0682"/>
    <w:rsid w:val="003B378A"/>
    <w:rsid w:val="003E3DDB"/>
    <w:rsid w:val="00416238"/>
    <w:rsid w:val="00422944"/>
    <w:rsid w:val="00454EA0"/>
    <w:rsid w:val="00473FA6"/>
    <w:rsid w:val="0047520C"/>
    <w:rsid w:val="0048192F"/>
    <w:rsid w:val="00496F8F"/>
    <w:rsid w:val="004A504A"/>
    <w:rsid w:val="004B3CCD"/>
    <w:rsid w:val="004D6BED"/>
    <w:rsid w:val="00500DD6"/>
    <w:rsid w:val="005126A0"/>
    <w:rsid w:val="0053304B"/>
    <w:rsid w:val="00540558"/>
    <w:rsid w:val="00581D7F"/>
    <w:rsid w:val="005859C8"/>
    <w:rsid w:val="005A3D62"/>
    <w:rsid w:val="005C291F"/>
    <w:rsid w:val="005F143C"/>
    <w:rsid w:val="00614698"/>
    <w:rsid w:val="00627680"/>
    <w:rsid w:val="00670F02"/>
    <w:rsid w:val="006745F4"/>
    <w:rsid w:val="00676BC2"/>
    <w:rsid w:val="0068545D"/>
    <w:rsid w:val="006B0CD0"/>
    <w:rsid w:val="006D5A82"/>
    <w:rsid w:val="00713CB6"/>
    <w:rsid w:val="00715A8F"/>
    <w:rsid w:val="007204AD"/>
    <w:rsid w:val="00725AA8"/>
    <w:rsid w:val="00730BDC"/>
    <w:rsid w:val="00730CA0"/>
    <w:rsid w:val="00737CCB"/>
    <w:rsid w:val="00757A2C"/>
    <w:rsid w:val="0076784B"/>
    <w:rsid w:val="007711F4"/>
    <w:rsid w:val="00774DF9"/>
    <w:rsid w:val="00782497"/>
    <w:rsid w:val="007A35F7"/>
    <w:rsid w:val="00823104"/>
    <w:rsid w:val="00895B8F"/>
    <w:rsid w:val="008B28B3"/>
    <w:rsid w:val="008C13F9"/>
    <w:rsid w:val="008D03F2"/>
    <w:rsid w:val="008D3AD6"/>
    <w:rsid w:val="0091071B"/>
    <w:rsid w:val="00912634"/>
    <w:rsid w:val="009265DE"/>
    <w:rsid w:val="0096794F"/>
    <w:rsid w:val="009722F8"/>
    <w:rsid w:val="00994AE3"/>
    <w:rsid w:val="009C4D2C"/>
    <w:rsid w:val="009F4BCB"/>
    <w:rsid w:val="00A06740"/>
    <w:rsid w:val="00A33B4B"/>
    <w:rsid w:val="00A3723B"/>
    <w:rsid w:val="00AB056F"/>
    <w:rsid w:val="00AB6179"/>
    <w:rsid w:val="00AF432E"/>
    <w:rsid w:val="00B073CC"/>
    <w:rsid w:val="00B239A5"/>
    <w:rsid w:val="00B4494B"/>
    <w:rsid w:val="00B56B43"/>
    <w:rsid w:val="00B64840"/>
    <w:rsid w:val="00BB18AC"/>
    <w:rsid w:val="00BC59CE"/>
    <w:rsid w:val="00BD201D"/>
    <w:rsid w:val="00BD4BA5"/>
    <w:rsid w:val="00C21C6A"/>
    <w:rsid w:val="00C248E8"/>
    <w:rsid w:val="00C34E77"/>
    <w:rsid w:val="00C50DD5"/>
    <w:rsid w:val="00C57AD7"/>
    <w:rsid w:val="00C73552"/>
    <w:rsid w:val="00C848C8"/>
    <w:rsid w:val="00C91FE4"/>
    <w:rsid w:val="00CA47AD"/>
    <w:rsid w:val="00CA655C"/>
    <w:rsid w:val="00CB14C5"/>
    <w:rsid w:val="00CC556B"/>
    <w:rsid w:val="00CF49D0"/>
    <w:rsid w:val="00D30F54"/>
    <w:rsid w:val="00D33577"/>
    <w:rsid w:val="00D3605A"/>
    <w:rsid w:val="00D568A1"/>
    <w:rsid w:val="00D61E59"/>
    <w:rsid w:val="00D72383"/>
    <w:rsid w:val="00DA0EBB"/>
    <w:rsid w:val="00E05A85"/>
    <w:rsid w:val="00E33182"/>
    <w:rsid w:val="00E53D82"/>
    <w:rsid w:val="00E648DE"/>
    <w:rsid w:val="00E65B17"/>
    <w:rsid w:val="00E93D71"/>
    <w:rsid w:val="00EB163E"/>
    <w:rsid w:val="00EC5713"/>
    <w:rsid w:val="00EC678A"/>
    <w:rsid w:val="00ED7E6E"/>
    <w:rsid w:val="00F07A0C"/>
    <w:rsid w:val="00F1464A"/>
    <w:rsid w:val="00F33042"/>
    <w:rsid w:val="00F83C97"/>
    <w:rsid w:val="00F9111E"/>
    <w:rsid w:val="00FB3805"/>
    <w:rsid w:val="00FC7F1C"/>
    <w:rsid w:val="00FF233F"/>
    <w:rsid w:val="00FF7D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ADF0F"/>
  <w15:docId w15:val="{DF9D8B59-D54F-46E3-B011-CB57106D0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3605A"/>
    <w:pPr>
      <w:spacing w:after="0" w:line="240" w:lineRule="auto"/>
    </w:pPr>
    <w:rPr>
      <w:rFonts w:ascii="Times New Roman" w:eastAsia="Malgun Gothic" w:hAnsi="Times New Roman"/>
      <w:color w:val="000000"/>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fa">
    <w:name w:val="Bibliography"/>
    <w:basedOn w:val="Normal"/>
    <w:next w:val="Normal"/>
    <w:uiPriority w:val="37"/>
    <w:unhideWhenUsed/>
    <w:rsid w:val="004B3CCD"/>
    <w:pPr>
      <w:tabs>
        <w:tab w:val="left" w:pos="384"/>
      </w:tabs>
      <w:spacing w:after="0" w:line="480" w:lineRule="auto"/>
      <w:ind w:left="384" w:hanging="384"/>
    </w:pPr>
  </w:style>
  <w:style w:type="character" w:styleId="Nmerodelnea">
    <w:name w:val="line number"/>
    <w:basedOn w:val="Fuentedeprrafopredeter"/>
    <w:uiPriority w:val="99"/>
    <w:semiHidden/>
    <w:unhideWhenUsed/>
    <w:rsid w:val="004B3CCD"/>
  </w:style>
  <w:style w:type="paragraph" w:styleId="Encabezado">
    <w:name w:val="header"/>
    <w:basedOn w:val="Normal"/>
    <w:link w:val="EncabezadoCar"/>
    <w:uiPriority w:val="99"/>
    <w:unhideWhenUsed/>
    <w:rsid w:val="004B3CCD"/>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4B3CCD"/>
  </w:style>
  <w:style w:type="paragraph" w:styleId="Piedepgina">
    <w:name w:val="footer"/>
    <w:basedOn w:val="Normal"/>
    <w:link w:val="PiedepginaCar"/>
    <w:uiPriority w:val="99"/>
    <w:unhideWhenUsed/>
    <w:rsid w:val="004B3CC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4B3CCD"/>
  </w:style>
  <w:style w:type="character" w:styleId="Textodelmarcadordeposicin">
    <w:name w:val="Placeholder Text"/>
    <w:basedOn w:val="Fuentedeprrafopredeter"/>
    <w:uiPriority w:val="99"/>
    <w:semiHidden/>
    <w:rsid w:val="00670F02"/>
    <w:rPr>
      <w:color w:val="808080"/>
    </w:rPr>
  </w:style>
  <w:style w:type="character" w:styleId="Referenciaintensa">
    <w:name w:val="Intense Reference"/>
    <w:basedOn w:val="Fuentedeprrafopredeter"/>
    <w:uiPriority w:val="32"/>
    <w:qFormat/>
    <w:rsid w:val="00382175"/>
    <w:rPr>
      <w:b/>
      <w:bCs/>
      <w:smallCaps/>
      <w:color w:val="4472C4" w:themeColor="accent1"/>
      <w:spacing w:val="5"/>
    </w:rPr>
  </w:style>
  <w:style w:type="paragraph" w:styleId="Descripcin">
    <w:name w:val="caption"/>
    <w:basedOn w:val="Normal"/>
    <w:next w:val="Normal"/>
    <w:uiPriority w:val="35"/>
    <w:unhideWhenUsed/>
    <w:qFormat/>
    <w:rsid w:val="00382175"/>
    <w:pPr>
      <w:spacing w:after="200" w:line="240" w:lineRule="auto"/>
    </w:pPr>
    <w:rPr>
      <w:i/>
      <w:iCs/>
      <w:color w:val="44546A" w:themeColor="text2"/>
      <w:sz w:val="18"/>
      <w:szCs w:val="18"/>
    </w:rPr>
  </w:style>
  <w:style w:type="paragraph" w:styleId="Tabladeilustraciones">
    <w:name w:val="table of figures"/>
    <w:basedOn w:val="Normal"/>
    <w:next w:val="Normal"/>
    <w:uiPriority w:val="99"/>
    <w:unhideWhenUsed/>
    <w:qFormat/>
    <w:rsid w:val="001645F6"/>
    <w:pPr>
      <w:spacing w:after="120" w:line="360" w:lineRule="auto"/>
    </w:pPr>
    <w:rPr>
      <w:rFonts w:ascii="Times New Roman" w:hAnsi="Times New Roman"/>
      <w:spacing w:val="20"/>
      <w:sz w:val="24"/>
    </w:rPr>
  </w:style>
  <w:style w:type="character" w:styleId="Hipervnculo">
    <w:name w:val="Hyperlink"/>
    <w:basedOn w:val="Fuentedeprrafopredeter"/>
    <w:uiPriority w:val="99"/>
    <w:unhideWhenUsed/>
    <w:rsid w:val="00382175"/>
    <w:rPr>
      <w:color w:val="0563C1" w:themeColor="hyperlink"/>
      <w:u w:val="single"/>
    </w:rPr>
  </w:style>
  <w:style w:type="paragraph" w:styleId="Sinespaciado">
    <w:name w:val="No Spacing"/>
    <w:uiPriority w:val="1"/>
    <w:qFormat/>
    <w:rsid w:val="0053304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1406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atabank.worldbank.org/home.aspx"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hyperlink" Target="http://www.monash.edu.au/policy/gempack.htm" TargetMode="Externa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Zotero\extensions\zoteroWinWordIntegration@zotero.org\install\Zotero.do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04E0387F3AE9D439768A8EAF76E69BC" ma:contentTypeVersion="0" ma:contentTypeDescription="Create a new document." ma:contentTypeScope="" ma:versionID="a1ad0651b245efffa677c3a0018fcd5f">
  <xsd:schema xmlns:xsd="http://www.w3.org/2001/XMLSchema" xmlns:xs="http://www.w3.org/2001/XMLSchema" xmlns:p="http://schemas.microsoft.com/office/2006/metadata/properties" targetNamespace="http://schemas.microsoft.com/office/2006/metadata/properties" ma:root="true" ma:fieldsID="032dc7a5a325371cfe3f753d61513b4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947212-A033-45E0-85FE-E249962CCA6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DC333D4-A5A6-4ADB-9A18-D38FBFCC2FDF}">
  <ds:schemaRefs>
    <ds:schemaRef ds:uri="http://schemas.openxmlformats.org/officeDocument/2006/bibliography"/>
  </ds:schemaRefs>
</ds:datastoreItem>
</file>

<file path=customXml/itemProps3.xml><?xml version="1.0" encoding="utf-8"?>
<ds:datastoreItem xmlns:ds="http://schemas.openxmlformats.org/officeDocument/2006/customXml" ds:itemID="{92CF2BE8-B707-4E6A-85C1-4E9D73AE8D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8BDC4DA-A3A7-4B14-B8B1-5070CCF711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Zotero.dotm</Template>
  <TotalTime>9</TotalTime>
  <Pages>25</Pages>
  <Words>26946</Words>
  <Characters>153598</Characters>
  <Application>Microsoft Office Word</Application>
  <DocSecurity>0</DocSecurity>
  <Lines>1279</Lines>
  <Paragraphs>360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Lopez Barrera, Wilson Emiliano</dc:creator>
  <cp:keywords/>
  <dc:description/>
  <cp:lastModifiedBy>Lopez Barrera, Wilson Emiliano</cp:lastModifiedBy>
  <cp:revision>15</cp:revision>
  <cp:lastPrinted>2021-11-18T00:07:00Z</cp:lastPrinted>
  <dcterms:created xsi:type="dcterms:W3CDTF">2022-04-01T16:34:00Z</dcterms:created>
  <dcterms:modified xsi:type="dcterms:W3CDTF">2022-04-01T16:51:00Z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id="xNxQuBvD"/&gt;&lt;style id="http://www.zotero.org/styles/nature" hasBibliography="1" bibliographyStyleHasBeenSet="1"/&gt;&lt;prefs&gt;&lt;pref name="fieldType" value="Field"/&gt;&lt;/prefs&gt;&lt;/data&gt;</vt:lpwstr>
  </property>
  <property fmtid="{D5CDD505-2E9C-101B-9397-08002B2CF9AE}" pid="3" name="ContentTypeId">
    <vt:lpwstr>0x010100904E0387F3AE9D439768A8EAF76E69BC</vt:lpwstr>
  </property>
</Properties>
</file>