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15210" w:type="dxa"/>
        <w:tblInd w:w="-1085" w:type="dxa"/>
        <w:tblLook w:val="04A0" w:firstRow="1" w:lastRow="0" w:firstColumn="1" w:lastColumn="0" w:noHBand="0" w:noVBand="1"/>
      </w:tblPr>
      <w:tblGrid>
        <w:gridCol w:w="846"/>
        <w:gridCol w:w="2013"/>
        <w:gridCol w:w="12351"/>
      </w:tblGrid>
      <w:tr w:rsidR="00796D55" w:rsidRPr="00796D55" w:rsidTr="00865FDF">
        <w:trPr>
          <w:trHeight w:val="482"/>
        </w:trPr>
        <w:tc>
          <w:tcPr>
            <w:tcW w:w="15210" w:type="dxa"/>
            <w:gridSpan w:val="3"/>
            <w:vAlign w:val="center"/>
          </w:tcPr>
          <w:p w:rsidR="00796D55" w:rsidRPr="00D0698E" w:rsidRDefault="00D0698E" w:rsidP="00D0698E">
            <w:pPr>
              <w:spacing w:after="60" w:line="276" w:lineRule="auto"/>
              <w:jc w:val="center"/>
              <w:rPr>
                <w:rFonts w:asciiTheme="majorBidi" w:eastAsiaTheme="minorHAnsi" w:hAnsiTheme="majorBidi" w:cstheme="majorBidi"/>
                <w:b/>
                <w:bCs/>
                <w:sz w:val="28"/>
                <w:szCs w:val="28"/>
              </w:rPr>
            </w:pPr>
            <w:r w:rsidRPr="00D0698E">
              <w:rPr>
                <w:rFonts w:asciiTheme="majorBidi" w:eastAsiaTheme="minorHAnsi" w:hAnsiTheme="majorBidi" w:cstheme="majorBidi"/>
                <w:b/>
                <w:bCs/>
                <w:sz w:val="28"/>
                <w:szCs w:val="28"/>
              </w:rPr>
              <w:t>Additional file 3</w:t>
            </w:r>
            <w:r w:rsidR="00796D55" w:rsidRPr="00796D55">
              <w:rPr>
                <w:rFonts w:asciiTheme="majorBidi" w:eastAsiaTheme="minorHAnsi" w:hAnsiTheme="majorBidi" w:cstheme="majorBidi"/>
                <w:b/>
                <w:bCs/>
                <w:sz w:val="28"/>
                <w:szCs w:val="28"/>
              </w:rPr>
              <w:t xml:space="preserve">: </w:t>
            </w:r>
            <w:r>
              <w:rPr>
                <w:rFonts w:asciiTheme="majorBidi" w:eastAsiaTheme="minorHAnsi" w:hAnsiTheme="majorBidi" w:cstheme="majorBidi"/>
                <w:b/>
                <w:bCs/>
                <w:sz w:val="28"/>
                <w:szCs w:val="28"/>
              </w:rPr>
              <w:t>Mega data</w:t>
            </w:r>
            <w:bookmarkStart w:id="0" w:name="_GoBack"/>
            <w:bookmarkEnd w:id="0"/>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eastAsiaTheme="minorHAnsi" w:hAnsiTheme="majorBidi" w:cstheme="majorBidi"/>
                <w:b/>
                <w:bCs/>
                <w:sz w:val="26"/>
                <w:szCs w:val="26"/>
              </w:rPr>
            </w:pPr>
            <w:r w:rsidRPr="00796D55">
              <w:rPr>
                <w:rFonts w:asciiTheme="majorBidi" w:eastAsiaTheme="minorHAnsi" w:hAnsiTheme="majorBidi" w:cstheme="majorBidi"/>
                <w:b/>
                <w:bCs/>
                <w:sz w:val="26"/>
                <w:szCs w:val="26"/>
              </w:rPr>
              <w:t>NO.</w:t>
            </w:r>
          </w:p>
        </w:tc>
        <w:tc>
          <w:tcPr>
            <w:tcW w:w="2013" w:type="dxa"/>
            <w:vAlign w:val="center"/>
          </w:tcPr>
          <w:p w:rsidR="00796D55" w:rsidRPr="00796D55" w:rsidRDefault="00796D55" w:rsidP="00796D55">
            <w:pPr>
              <w:bidi w:val="0"/>
              <w:spacing w:after="60" w:line="276" w:lineRule="auto"/>
              <w:jc w:val="center"/>
              <w:rPr>
                <w:rFonts w:asciiTheme="majorBidi" w:eastAsiaTheme="minorHAnsi" w:hAnsiTheme="majorBidi" w:cstheme="majorBidi"/>
                <w:b/>
                <w:bCs/>
                <w:sz w:val="26"/>
                <w:szCs w:val="26"/>
              </w:rPr>
            </w:pPr>
            <w:r w:rsidRPr="00796D55">
              <w:rPr>
                <w:rFonts w:asciiTheme="majorBidi" w:eastAsiaTheme="minorHAnsi" w:hAnsiTheme="majorBidi" w:cstheme="majorBidi"/>
                <w:b/>
                <w:bCs/>
                <w:sz w:val="26"/>
                <w:szCs w:val="26"/>
              </w:rPr>
              <w:t>Title</w:t>
            </w:r>
          </w:p>
        </w:tc>
        <w:tc>
          <w:tcPr>
            <w:tcW w:w="12351" w:type="dxa"/>
            <w:vAlign w:val="center"/>
          </w:tcPr>
          <w:p w:rsidR="00796D55" w:rsidRPr="00796D55" w:rsidRDefault="00796D55" w:rsidP="00796D55">
            <w:pPr>
              <w:spacing w:after="60" w:line="276" w:lineRule="auto"/>
              <w:jc w:val="center"/>
              <w:rPr>
                <w:rFonts w:asciiTheme="majorBidi" w:eastAsiaTheme="minorHAnsi" w:hAnsiTheme="majorBidi" w:cstheme="majorBidi"/>
                <w:b/>
                <w:bCs/>
                <w:sz w:val="26"/>
                <w:szCs w:val="26"/>
              </w:rPr>
            </w:pPr>
            <w:r w:rsidRPr="00796D55">
              <w:rPr>
                <w:rFonts w:asciiTheme="majorBidi" w:eastAsiaTheme="minorHAnsi" w:hAnsiTheme="majorBidi" w:cstheme="majorBidi"/>
                <w:b/>
                <w:bCs/>
                <w:sz w:val="28"/>
                <w:szCs w:val="28"/>
              </w:rPr>
              <w:t>Description</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1</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Driver license renewal policies and fatal crash</w:t>
            </w:r>
          </w:p>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involvement rates of older drivers, United States,</w:t>
            </w:r>
          </w:p>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1986–2011 </w:t>
            </w:r>
            <w:r w:rsidRPr="00796D55">
              <w:rPr>
                <w:rFonts w:asciiTheme="majorBidi" w:hAnsiTheme="majorBidi" w:cstheme="majorBidi"/>
                <w:szCs w:val="24"/>
                <w:lang w:bidi="fa-IR"/>
              </w:rPr>
              <w:t xml:space="preserve"> </w:t>
            </w:r>
            <w:r w:rsidRPr="00796D55">
              <w:rPr>
                <w:rFonts w:asciiTheme="majorBidi" w:hAnsiTheme="majorBidi" w:cstheme="majorBidi"/>
                <w:szCs w:val="24"/>
                <w:rtl/>
                <w:lang w:bidi="fa-IR"/>
              </w:rPr>
              <w:fldChar w:fldCharType="begin"/>
            </w:r>
            <w:r w:rsidRPr="00796D55">
              <w:rPr>
                <w:rFonts w:asciiTheme="majorBidi" w:hAnsiTheme="majorBidi" w:cstheme="majorBidi"/>
                <w:szCs w:val="24"/>
                <w:rtl/>
                <w:lang w:bidi="fa-IR"/>
              </w:rPr>
              <w:instrText xml:space="preserve"> </w:instrText>
            </w:r>
            <w:r w:rsidRPr="00796D55">
              <w:rPr>
                <w:rFonts w:asciiTheme="majorBidi" w:hAnsiTheme="majorBidi" w:cstheme="majorBidi"/>
                <w:szCs w:val="24"/>
                <w:lang w:bidi="fa-IR"/>
              </w:rPr>
              <w:instrText>ADDIN EN.CITE &lt;EndNote&gt;&lt;Cite&gt;&lt;Author&gt;Tefft&lt;/Author&gt;&lt;Year&gt;2014&lt;/Year&gt;&lt;RecNum&gt;38&lt;/RecNum&gt;&lt;DisplayText&gt;(19)&lt;/DisplayText&gt;&lt;record&gt;&lt;rec-number&gt;38&lt;/rec-number&gt;&lt;foreign-keys&gt;&lt;key app="EN" db-id="rzfv0vtvv59dpie0vpqvv20f5wrxt5fstxst" timestamp="1588783623"&gt;38&lt;/key&gt;&lt;/foreign-keys&gt;&lt;ref-type name="Journal Article"&gt;17&lt;/ref-type&gt;&lt;contributors&gt;&lt;authors&gt;&lt;author&gt;Tefft, Brian C&lt;/author&gt;&lt;/authors&gt;&lt;/contributors&gt;&lt;titles&gt;&lt;title&gt;Driver license renewal policies and fatal crash involvement rates of older drivers, United States</w:instrText>
            </w:r>
            <w:r w:rsidRPr="00796D55">
              <w:rPr>
                <w:rFonts w:asciiTheme="majorBidi" w:hAnsiTheme="majorBidi" w:cstheme="majorBidi"/>
                <w:szCs w:val="24"/>
                <w:rtl/>
                <w:lang w:bidi="fa-IR"/>
              </w:rPr>
              <w:instrText>, 1986–2011&lt;/</w:instrText>
            </w:r>
            <w:r w:rsidRPr="00796D55">
              <w:rPr>
                <w:rFonts w:asciiTheme="majorBidi" w:hAnsiTheme="majorBidi" w:cstheme="majorBidi"/>
                <w:szCs w:val="24"/>
                <w:lang w:bidi="fa-IR"/>
              </w:rPr>
              <w:instrText>title&gt;&lt;secondary-title&gt;Injury epidemiology&lt;/secondary-title&gt;&lt;/titles&gt;&lt;periodical&gt;&lt;full-title&gt;Injury epidemiology&lt;/full-title&gt;&lt;/periodical&gt;&lt;pages&gt;25&lt;/pages&gt;&lt;volume&gt;1&lt;/volume&gt;&lt;number&gt;1&lt;/number&gt;&lt;edition&gt;2014/12/01&lt;/edition&gt;&lt;dates&gt;&lt;year&gt;2014&lt;/year&gt;&lt;/dates&gt;&lt;isbn&gt;2197-1714&lt;/isbn&gt;&lt;urls&gt;&lt;/urls&gt;&lt;/record&gt;&lt;/Cite&gt;&lt;/EndNote&gt;</w:instrText>
            </w:r>
            <w:r w:rsidRPr="00796D55">
              <w:rPr>
                <w:rFonts w:asciiTheme="majorBidi" w:hAnsiTheme="majorBidi" w:cstheme="majorBidi"/>
                <w:szCs w:val="24"/>
                <w:rtl/>
                <w:lang w:bidi="fa-IR"/>
              </w:rPr>
              <w:fldChar w:fldCharType="separate"/>
            </w:r>
            <w:r w:rsidRPr="00796D55">
              <w:rPr>
                <w:rFonts w:asciiTheme="majorBidi" w:hAnsiTheme="majorBidi" w:cstheme="majorBidi"/>
                <w:noProof/>
                <w:szCs w:val="24"/>
                <w:rtl/>
                <w:lang w:bidi="fa-IR"/>
              </w:rPr>
              <w:t>(</w:t>
            </w:r>
            <w:hyperlink w:anchor="_ENREF_19" w:tooltip="Tefft, 2014 #38" w:history="1">
              <w:r w:rsidRPr="00796D55">
                <w:rPr>
                  <w:rFonts w:asciiTheme="majorBidi" w:hAnsiTheme="majorBidi" w:cstheme="majorBidi"/>
                  <w:noProof/>
                  <w:szCs w:val="24"/>
                  <w:rtl/>
                  <w:lang w:bidi="fa-IR"/>
                </w:rPr>
                <w:t>19</w:t>
              </w:r>
            </w:hyperlink>
            <w:r w:rsidRPr="00796D55">
              <w:rPr>
                <w:rFonts w:asciiTheme="majorBidi" w:hAnsiTheme="majorBidi" w:cstheme="majorBidi"/>
                <w:noProof/>
                <w:szCs w:val="24"/>
                <w:rtl/>
                <w:lang w:bidi="fa-IR"/>
              </w:rPr>
              <w:t>)</w:t>
            </w:r>
            <w:r w:rsidRPr="00796D55">
              <w:rPr>
                <w:rFonts w:asciiTheme="majorBidi" w:hAnsiTheme="majorBidi" w:cstheme="majorBidi"/>
                <w:szCs w:val="24"/>
                <w:rtl/>
                <w:lang w:bidi="fa-IR"/>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Only in the three states of Illinois, Indiana and New Hampshire is a road test required to extend a driver's license for older drivers.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state of Illinois passed the road test for drivers over the age of 69, which was later changed to age 75 and older in 1989. In Indiana and New Hampshire, road testing was mandatory for drivers over the age of 75 but in 2005 this condition canceled in Indiana.</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19 states, older drivers are required to renew their driver's license at shorter intervals than younger drivers, and in 15 more states, older drivers are allowed to renew their license by post or by mail. The form is not issued online, and one state has required drivers over the age of 75 to take a road test. Several states have begun renewing their licenses online or by mail, but for older drivers, renewals still need to be done in person.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One can renew your certificate online after uploading a digital photo (if needed).</w:t>
            </w:r>
          </w:p>
        </w:tc>
      </w:tr>
      <w:tr w:rsidR="00796D55" w:rsidRPr="00796D55" w:rsidTr="00865FDF">
        <w:trPr>
          <w:trHeight w:val="526"/>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Deciding when to stop driving in older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&lt;EndNote&gt;&lt;Cite&gt;&lt;Author&gt;NIDirect&lt;/Author&gt;&lt;RecNum&gt;46&lt;/RecNum&gt;&lt;DisplayText&gt;(34)&lt;/DisplayText&gt;&lt;record&gt;&lt;rec-number&gt;46&lt;/rec-number&gt;&lt;foreign-keys&gt;&lt;key app="EN" db-id="rzfv0vtvv59dpie0vpqvv20f5wrxt5fstxst" timestamp="1590562294"&gt;46&lt;/key&gt;&lt;/foreign-keys&gt;&lt;ref-type name="Web Page"&gt;12&lt;/ref-type&gt;&lt;contributors&gt;&lt;authors&gt;&lt;author&gt;NIDirect&lt;/author&gt;&lt;/authors&gt;&lt;/contributors&gt;&lt;titles&gt;&lt;title&gt;Deciding when to stop driving in older&lt;/title&gt;&lt;/titles&gt;&lt;dates&gt;&lt;/dates&gt;&lt;publisher&gt;NIDirect&lt;/publisher&gt;&lt;urls&gt;&lt;related-urls&gt;&lt;url&gt;https://www.nidirect.gov.uk/articles/older-drivers-deciding-when-stop-driving&lt;/url&gt;&lt;/related-urls&gt;&lt;/urls&gt;&lt;language&gt;English&lt;/language&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4" w:tooltip="NIDirect,  #46" w:history="1">
              <w:r w:rsidRPr="00796D55">
                <w:rPr>
                  <w:rFonts w:asciiTheme="majorBidi" w:hAnsiTheme="majorBidi" w:cstheme="majorBidi"/>
                  <w:noProof/>
                  <w:sz w:val="26"/>
                  <w:szCs w:val="26"/>
                </w:rPr>
                <w:t>34</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An elderly person may be prosecuted if they have a car accident with an unreported medical condition that may affect their driving. In this case, insurance may even refuse to cover them.</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Northern Ireland, there are incentives for online extensions over the postal method. For example, in the case of online renewal, the driver's license will be delivered to the driver sooner than the postal renewal method.</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3</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How to stay safe as an older driver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&lt;EndNote&gt;&lt;Cite&gt;&lt;Author&gt;Tyne&lt;/Author&gt;&lt;Year&gt;2020&lt;/Year&gt;&lt;RecNum&gt;55&lt;/RecNum&gt;&lt;DisplayText&gt;(38)&lt;/DisplayText&gt;&lt;record&gt;&lt;rec-number&gt;55&lt;/rec-number&gt;&lt;foreign-keys&gt;&lt;key app="EN" db-id="rzfv0vtvv59dpie0vpqvv20f5wrxt5fstxst" timestamp="1598598682"&gt;55&lt;/key&gt;&lt;/foreign-keys&gt;&lt;ref-type name="Web Page"&gt;12&lt;/ref-type&gt;&lt;contributors&gt;&lt;authors&gt;&lt;author&gt;Information for people in Newcastle upon Tyne&lt;/author&gt;&lt;/authors&gt;&lt;/contributors&gt;&lt;titles&gt;&lt;title&gt;How to stay safe as an older driver&lt;/title&gt;&lt;/titles&gt;&lt;dates&gt;&lt;year&gt;2020&lt;/year&gt;&lt;/dates&gt;&lt;urls&gt;&lt;related-urls&gt;&lt;url&gt;https://www.informationnow.org.uk/article/driving-as-you-get-older/&lt;/url&gt;&lt;/related-urls&gt;&lt;/urls&gt;&lt;language&gt;English&lt;/language&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8" w:tooltip="Tyne, 2020 #55" w:history="1">
              <w:r w:rsidRPr="00796D55">
                <w:rPr>
                  <w:rFonts w:asciiTheme="majorBidi" w:hAnsiTheme="majorBidi" w:cstheme="majorBidi"/>
                  <w:noProof/>
                  <w:sz w:val="26"/>
                  <w:szCs w:val="26"/>
                </w:rPr>
                <w:t>38</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Experienced Driver Assessment (EDA) test for people who:</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Want to drive but feel anxious.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Older people to reassure themselves and their loved ones</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5</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Supporting safe driving into old age: a national older driver strategy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&lt;EndNote&gt;&lt;Cite&gt;&lt;Author&gt;Parkes&lt;/Author&gt;&lt;Year&gt;2016&lt;/Year&gt;&lt;RecNum&gt;57&lt;/RecNum&gt;&lt;DisplayText&gt;(9)&lt;/DisplayText&gt;&lt;record&gt;&lt;rec-number&gt;57&lt;/rec-number&gt;&lt;foreign-keys&gt;&lt;key app="EN" db-id="rzfv0vtvv59dpie0vpqvv20f5wrxt5fstxst" timestamp="1598627165"&gt;57&lt;/key&gt;&lt;/foreign-keys&gt;&lt;ref-type name="Journal Article"&gt;17&lt;/ref-type&gt;&lt;contributors&gt;&lt;authors&gt;&lt;author&gt;Parkes, Andrew&lt;/author&gt;&lt;/authors&gt;&lt;/contributors&gt;&lt;titles&gt;&lt;title&gt;Supporting safe driving into old age: a national older driver strategy&lt;/title&gt;&lt;short-title&gt;A National Older Driver Strategy&lt;/short-title&gt;&lt;/titles&gt;&lt;dates&gt;&lt;year&gt;2016&lt;/year&gt;&lt;/dates&gt;&lt;urls&gt;&lt;/urls&gt;&lt;/record&gt;&lt;/Cite&gt;&lt;/EndNote&gt;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sz w:val="26"/>
                <w:szCs w:val="26"/>
              </w:rPr>
              <w:t>(</w:t>
            </w:r>
            <w:hyperlink w:anchor="_ENREF_9" w:tooltip="Parkes, 2016 #45" w:history="1">
              <w:r w:rsidRPr="00796D55">
                <w:rPr>
                  <w:rFonts w:asciiTheme="majorBidi" w:hAnsiTheme="majorBidi" w:cstheme="majorBidi"/>
                  <w:sz w:val="26"/>
                  <w:szCs w:val="26"/>
                </w:rPr>
                <w:t>9</w:t>
              </w:r>
            </w:hyperlink>
            <w:r w:rsidRPr="00796D55">
              <w:rPr>
                <w:rFonts w:asciiTheme="majorBidi" w:hAnsiTheme="majorBidi" w:cstheme="majorBidi"/>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UK has uniquely introduced training courses in several types that the police may offer as a substitute for fines.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One of the most well-known courses is the speed awareness course, which is offered to speed violators.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Medical screening or other screenings for older drivers to renew their license may have unintended consequences: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Some drivers may become discouraged from the tests and stop driving before they need to.</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lastRenderedPageBreak/>
              <w:t>It does not increase the safety of drivers who maintain their licenses.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This has led to an increase in pedestrian mortality in a case study in Finland, possibly because older elderly drivers have turned to more dangerous routes such as walking or cycling.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Summary of key suggestions in this study: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Increasing the age of self-declaration to 75 years, which is currently 70 years. This age was set more than 50 years ago.</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The DVLA must request documentary evidence of the recent test. He must also request a vision test at age 75. DVLA, insurers, and others should encourage vision examinations every two years, especially from the age of 60.</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Development of transportation alternatives by self-driving cars.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Designing a safe road for elderly drivers.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5. Safe vehicle: Manufacturers should accelerate the development of accident protection standards for high-risk individuals such as older women.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government has an important role to play in protecting elderly drivers and ensuring road safety, so a minister should be given a special responsibility to oversee this area. It should be noted, however, that this is not just the responsibility of the government.</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lastRenderedPageBreak/>
              <w:t>6</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Improving older driver knowledge and self-awareness through</w:t>
            </w:r>
          </w:p>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self-assessment: The driving decisions workbook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&lt;EndNote&gt;&lt;Cite&gt;&lt;Author&gt;Eby&lt;/Author&gt;&lt;Year&gt;2003&lt;/Year&gt;&lt;RecNum&gt;58&lt;/RecNum&gt;&lt;DisplayText&gt;(31)&lt;/DisplayText&gt;&lt;record&gt;&lt;rec-number&gt;58&lt;/rec-number&gt;&lt;foreign-keys&gt;&lt;key app="EN" db-id="rzfv0vtvv59dpie0vpqvv20f5wrxt5fstxst" timestamp="1598627298"&gt;58&lt;/key&gt;&lt;/foreign-keys&gt;&lt;ref-type name="Journal Article"&gt;17&lt;/ref-type&gt;&lt;contributors&gt;&lt;authors&gt;&lt;author&gt;Eby, David W&lt;/author&gt;&lt;author&gt;Molnar, Lisa J&lt;/author&gt;&lt;author&gt;Shope, Jean T&lt;/author&gt;&lt;author&gt;Vivoda, Jonathon M&lt;/author&gt;&lt;author&gt;Fordyce, Tiffani A&lt;/author&gt;&lt;/authors&gt;&lt;/contributors&gt;&lt;titles&gt;&lt;title&gt;Improving older driver knowledge and self-awareness through self-assessment: The driving decisions workbook&lt;/title&gt;&lt;secondary-title&gt;Journal of safety research&lt;/secondary-title&gt;&lt;/titles&gt;&lt;periodical&gt;&lt;full-title&gt;Journal of safety research&lt;/full-title&gt;&lt;/periodical&gt;&lt;pages&gt;371-381&lt;/pages&gt;&lt;volume&gt;34&lt;/volume&gt;&lt;number&gt;4&lt;/number&gt;&lt;dates&gt;&lt;year&gt;2003&lt;/year&gt;&lt;/dates&gt;&lt;isbn&gt;0022-4375&lt;/isb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1" w:tooltip="Eby, 2003 #58" w:history="1">
              <w:r w:rsidRPr="00796D55">
                <w:rPr>
                  <w:rFonts w:asciiTheme="majorBidi" w:hAnsiTheme="majorBidi" w:cstheme="majorBidi"/>
                  <w:noProof/>
                  <w:sz w:val="26"/>
                  <w:szCs w:val="26"/>
                </w:rPr>
                <w:t>31</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this study, a framework for developing a self-assessment driving decision workbook by the elderly driver is presented. In this context, the issues that are important in safe driving are divided into three areas: health, driving abilities and experiences, attitudes, and behaviors. In the field of health, a person's medical condition (such as general health, diabetes, Alzheimer's or dementia, etc.) and individual medications (such as drugs-related to sleep problems, allergies, alcohol consumption, etc.) are examined. In the area of ​​driving abilities, a person's vision (including general vision, myopia, sensitivity to light, the field of view, etc.), depth of perception (including selective attention, long-term memory, reaction speed, etc.) and a person's ability to move (Including flexibility and strength) are considered. The results of this self-assessment include four types of feedback, which include over-assessment, general knowledge, self-awareness, and compensation strategies.</w:t>
            </w:r>
          </w:p>
        </w:tc>
      </w:tr>
      <w:tr w:rsidR="00796D55" w:rsidRPr="00796D55" w:rsidTr="00865FDF">
        <w:trPr>
          <w:trHeight w:val="526"/>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7</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tl/>
              </w:rPr>
            </w:pPr>
            <w:r w:rsidRPr="00796D55">
              <w:rPr>
                <w:rFonts w:asciiTheme="majorBidi" w:hAnsiTheme="majorBidi" w:cstheme="majorBidi"/>
                <w:sz w:val="26"/>
                <w:szCs w:val="26"/>
              </w:rPr>
              <w:t>Older Drivers</w:t>
            </w:r>
            <w:r w:rsidRPr="00796D55">
              <w:t xml:space="preserve"> </w:t>
            </w:r>
            <w:r w:rsidRPr="00796D55">
              <w:fldChar w:fldCharType="begin"/>
            </w:r>
            <w:r w:rsidRPr="00796D55">
              <w:instrText xml:space="preserve"> ADDIN EN.CITE &lt;EndNote&gt;&lt;Cite&gt;&lt;Author&gt;Department of Planning&lt;/Author&gt;&lt;Year&gt;2020&lt;/Year&gt;&lt;RecNum&gt;59&lt;/RecNum&gt;&lt;DisplayText&gt;(37)&lt;/DisplayText&gt;&lt;record&gt;&lt;rec-number&gt;59&lt;/rec-number&gt;&lt;foreign-keys&gt;&lt;key app="EN" db-id="rzfv0vtvv59dpie0vpqvv20f5wrxt5fstxst" timestamp="1598629147"&gt;59&lt;/key&gt;&lt;/foreign-keys&gt;&lt;ref-type name="Web Page"&gt;12&lt;/ref-type&gt;&lt;contributors&gt;&lt;authors&gt;&lt;author&gt;Department of Planning, Transport and Infrastructure&lt;/author&gt;&lt;/authors&gt;&lt;/contributors&gt;&lt;titles&gt;&lt;title&gt;Older Drivers&lt;/title&gt;&lt;/titles&gt;&lt;dates&gt;&lt;year&gt;2020&lt;/year&gt;&lt;pub-dates&gt;&lt;date&gt;2020&lt;/date&gt;&lt;/pub-dates&gt;&lt;/dates&gt;&lt;pub-location&gt;Government of South Australia  &lt;/pub-location&gt;&lt;urls&gt;&lt;related-urls&gt;&lt;url&gt;https://mylicence.sa.gov.au/safe-driving-tips/older-drivers&lt;/url&gt;&lt;/related-urls&gt;&lt;/urls&gt;&lt;/record&gt;&lt;/Cite&gt;&lt;/EndNote&gt;</w:instrText>
            </w:r>
            <w:r w:rsidRPr="00796D55">
              <w:fldChar w:fldCharType="separate"/>
            </w:r>
            <w:r w:rsidRPr="00796D55">
              <w:rPr>
                <w:noProof/>
              </w:rPr>
              <w:t>(</w:t>
            </w:r>
            <w:hyperlink w:anchor="_ENREF_37" w:tooltip="Department of Planning, 2020 #59" w:history="1">
              <w:r w:rsidRPr="00796D55">
                <w:rPr>
                  <w:noProof/>
                </w:rPr>
                <w:t>37</w:t>
              </w:r>
            </w:hyperlink>
            <w:r w:rsidRPr="00796D55">
              <w:rPr>
                <w:noProof/>
              </w:rPr>
              <w:t>)</w:t>
            </w:r>
            <w:r w:rsidRPr="00796D55">
              <w:fldChar w:fldCharType="end"/>
            </w:r>
            <w:r w:rsidRPr="00796D55">
              <w:rPr>
                <w:rFonts w:asciiTheme="majorBidi" w:hAnsiTheme="majorBidi" w:cstheme="majorBidi" w:hint="cs"/>
                <w:sz w:val="26"/>
                <w:szCs w:val="26"/>
                <w:rtl/>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Tips for safe driving for the elderly: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If you feel that you are not in a good position to drive at any time, avoid driving. If you feel that your general health and fitness are not good enough for driving, you should consult your doctor.</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 Always use a seat belt.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Be more careful at intersections and pay attention.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Check the safety status of your vehicle.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5. Use public transportation.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If a person does not want to continue driving, he can return it in-person to the customer service center or send it by mail with a letter of his decision. In this case, the person receives a fee for the amount of the remaining date of the certificate.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South Australia, an elderly person must state their medical condition, after which they may be required to undergo a medical, self-assessment, or driving assessment.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the medical evaluation, a driving fit certificate is sent by mail and the person is asked to see a doctor for evaluation if there are special conditions.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People who hold a Class C certification and, unless they have a specific medical status, can send their annual assessment by post after the age of 75. If your doctor feels that an assessment is needed to determine your driving fitness, you should have a practical driving assessment. The self-assessment completion process can be done online through the EzyReg account.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Provide a list of organizations that can provide alternative means of transportation for the elderly driver deprived of driving: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Centers for senior citizens and the community.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Local bus and taxi companies.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Free city bus route.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South Australia Elderly Council</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Taxi subsidy plan (with a doctor's referral).</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Local Council Buses.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w:t>
            </w:r>
            <w:r w:rsidRPr="00796D55">
              <w:rPr>
                <w:rFonts w:asciiTheme="majorBidi" w:hAnsiTheme="majorBidi" w:cstheme="majorBidi" w:hint="cs"/>
                <w:sz w:val="26"/>
                <w:szCs w:val="26"/>
                <w:rtl/>
              </w:rPr>
              <w:t xml:space="preserve"> </w:t>
            </w:r>
            <w:r w:rsidRPr="00796D55">
              <w:rPr>
                <w:rFonts w:asciiTheme="majorBidi" w:hAnsiTheme="majorBidi" w:cstheme="majorBidi"/>
                <w:sz w:val="26"/>
                <w:szCs w:val="26"/>
              </w:rPr>
              <w:t>Social Networks.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South Australian Services.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Elderly cardholders can use Adroide Metro for free on weekdays, before 7:01 a.m., between 9:01 a.m. and 3:00 p.m., and after 7:00 p.m. Weekends and public and official holidays use buses full time for free.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Ministry of Planning, Transport, and Infrastructure provides funding for the Moving Right Along with the program, and COTASA, on behalf of the Ministry, is holding several workshops for senior drivers. The workshop will be held at clubs and groups of seniors in the metropolitan areas of South Australia and in some other areas for free and in an interactive way in three sessions as follows: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Session 1: Elderly drivers, safer vehicles, driving fitness, and assessment (one hour).</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Session 2: Travel and retirement options from driving (one hour).</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Session 3: Familiarity with mobile scooters (one hour). This session discusses issues such as the rules for mobile scooter users, buying a scooter, answering the question "Is a scooter a good choice for me?", Planning a safe route, and safe riding practices.</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8</w:t>
            </w:r>
          </w:p>
        </w:tc>
        <w:tc>
          <w:tcPr>
            <w:tcW w:w="2013" w:type="dxa"/>
            <w:vAlign w:val="center"/>
          </w:tcPr>
          <w:p w:rsidR="00796D55" w:rsidRPr="00796D55" w:rsidRDefault="00796D55" w:rsidP="00796D55">
            <w:pPr>
              <w:tabs>
                <w:tab w:val="left" w:pos="794"/>
                <w:tab w:val="center" w:pos="1332"/>
              </w:tabs>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Assessing Fitness to Drive</w:t>
            </w:r>
            <w:r w:rsidRPr="00796D55">
              <w:rPr>
                <w:rFonts w:asciiTheme="majorBidi" w:hAnsiTheme="majorBidi" w:cstheme="majorBidi"/>
                <w:sz w:val="26"/>
                <w:szCs w:val="26"/>
                <w:rtl/>
              </w:rPr>
              <w:t xml:space="preserve"> </w:t>
            </w:r>
            <w:r w:rsidRPr="00796D55">
              <w:rPr>
                <w:rFonts w:asciiTheme="majorBidi" w:hAnsiTheme="majorBidi" w:cstheme="majorBidi"/>
                <w:sz w:val="26"/>
                <w:szCs w:val="26"/>
              </w:rPr>
              <w:t xml:space="preserve">for commercial and private vehicle drivers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&lt;EndNote&gt;&lt;Cite&gt;&lt;Author&gt;Commission&lt;/Author&gt;&lt;Year&gt;2016&lt;/Year&gt;&lt;RecNum&gt;60&lt;/RecNum&gt;&lt;DisplayText&gt;(21)&lt;/DisplayText&gt;&lt;record&gt;&lt;rec-number&gt;60&lt;/rec-number&gt;&lt;foreign-keys&gt;&lt;key app="EN" db-id="rzfv0vtvv59dpie0vpqvv20f5wrxt5fstxst" timestamp="1598629279"&gt;60&lt;/key&gt;&lt;/foreign-keys&gt;&lt;ref-type name="Report"&gt;27&lt;/ref-type&gt;&lt;contributors&gt;&lt;authors&gt;&lt;author&gt;National Transport Commission&lt;/author&gt;&lt;/authors&gt;&lt;/contributors&gt;&lt;titles&gt;&lt;title&gt;Assessing Fitness to Drive for commercial and private vehicle drivers&lt;/title&gt;&lt;/titles&gt;&lt;dates&gt;&lt;year&gt;2016&lt;/year&gt;&lt;/dates&gt;&lt;pub-location&gt;NTC&lt;/pub-location&gt;&lt;urls&gt;&lt;/urls&gt;&lt;/record&gt;&lt;/Cite&gt;&lt;/EndNote&gt;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21" w:tooltip="Commission, 2016 #60" w:history="1">
              <w:r w:rsidRPr="00796D55">
                <w:rPr>
                  <w:rFonts w:asciiTheme="majorBidi" w:hAnsiTheme="majorBidi" w:cstheme="majorBidi"/>
                  <w:noProof/>
                  <w:sz w:val="26"/>
                  <w:szCs w:val="26"/>
                </w:rPr>
                <w:t>21</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If a person is under anesthesia, depending on the opinion of experts, they should refrain from driving until their physical and mental condition is compatible with safe driving.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the case of lighter surgeries or the use of short-term anesthetics, the patient may be able to drive after a good night's sleep.</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the case of longer surgeries with general anesthesia, the patient may not be safe to drive for at least 24 hours.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non-driving period after surgery should be determined by medical professionals, and a practical assessment of the individual driving may help determine driving fitness.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Some conditions and treatments may impair a person's vision in the short term, such as eye staining, the use of Mydriatic or other medications, and eye surgery.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this case, they are advised to avoid driving for a certain period of time. People who have deep vein thrombosis and pulmonary embolism may also be advised to stay out of driving for at least two weeks after thrombosis. Do not drive a deep vein for six weeks after a pulmonary embolism. General Function Assessment: A practical assessment of the driver may indicate a person's need to participate in a rehabilitation or retraining program. This course is based on the results of a practical driver evaluation and may be for vehicle correction training or training to improve driving confidence. At the end of the course, the patient's driving skills may be re-evaluated and a report sent to the certification authority.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cases where certification decisions may affect a patient's ability to make a living, the health professional needs to be sensitive to the patient's mental health.</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Assessing a person's performance about job requirements is through information obtained from family and caregivers. Referral to a general occupational therapist can be very helpful. This evaluation may be called the Medicare Care Plan, which is available to people with multiple disabilities and people over 75 years of age.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Medical decision-making process to assess driving fitness: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this process, people with short-term or temporary conditions and people with long-term conditions or disabilities are classified and examined in terms of obtaining a normal driver's license or a conditional driver's license. In this process, it is decided whether the person needs to be referred to a specialist or needs special temporary restrictions.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Australia, there are two-way relationships between the patient / driver, health professionals and the driver's license authority, which are referred to below:</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Patient / Driver Relationships with Health Professionals: Health professionals should advise patients if the disease affects their ability to drive safely, either in the short term or in the long term. Driving fitness reports are usually issued to contact the patient's driving license authority.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Patient / Driver Relationship with Driver Certification Authority: By law, drivers with serious illnesses that affect their ability to drive need to notify the driver certification authority. The driver's license authority may request a medical examination from drivers.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Driver Certification Authority Relationships with Health Professionals: Due to patient confidentiality, health professionals and driver certification authority do not normally have a direct relationship with each other. However, with the driver's consent, the driver's license authority may contact health professionals if they need further explanation or information to decide whether to license. Health professionals may also contact the driver's license authority directly; So that if you see people who, despite the strong recommendation to stop driving due to high-risk medical conditions, health professionals should introduce these people to the driver's license authority. Some states / territories have mandatory reporting requirements that require physicians to report drivers with medical conditions that may pose a threat to public safety.</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17</w:t>
            </w:r>
          </w:p>
        </w:tc>
        <w:tc>
          <w:tcPr>
            <w:tcW w:w="2013" w:type="dxa"/>
            <w:vAlign w:val="center"/>
          </w:tcPr>
          <w:p w:rsidR="00796D55" w:rsidRPr="00796D55" w:rsidRDefault="00796D55" w:rsidP="00796D55">
            <w:pPr>
              <w:tabs>
                <w:tab w:val="left" w:pos="869"/>
                <w:tab w:val="center" w:pos="1332"/>
              </w:tabs>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Driving</w:t>
            </w:r>
            <w:r w:rsidRPr="00796D55">
              <w:rPr>
                <w:rFonts w:asciiTheme="majorBidi" w:hAnsiTheme="majorBidi" w:cstheme="majorBidi" w:hint="cs"/>
                <w:sz w:val="26"/>
                <w:szCs w:val="26"/>
                <w:rtl/>
              </w:rPr>
              <w:t xml:space="preserve"> </w:t>
            </w:r>
            <w:r w:rsidRPr="00796D55">
              <w:rPr>
                <w:rFonts w:asciiTheme="majorBidi" w:hAnsiTheme="majorBidi" w:cstheme="majorBidi"/>
                <w:sz w:val="26"/>
                <w:szCs w:val="26"/>
              </w:rPr>
              <w:t xml:space="preserve">Dilemmas: A Guide to Driving Assessment in Primary Care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&lt;EndNote&gt;&lt;Cite&gt;&lt;Author&gt;Morgan&lt;/Author&gt;&lt;Year&gt;2018&lt;/Year&gt;&lt;RecNum&gt;69&lt;/RecNum&gt;&lt;DisplayText&gt;(33)&lt;/DisplayText&gt;&lt;record&gt;&lt;rec-number&gt;69&lt;/rec-number&gt;&lt;foreign-keys&gt;&lt;key app="EN" db-id="rzfv0vtvv59dpie0vpqvv20f5wrxt5fstxst" timestamp="1598682531"&gt;69&lt;/key&gt;&lt;/foreign-keys&gt;&lt;ref-type name="Journal Article"&gt;17&lt;/ref-type&gt;&lt;contributors&gt;&lt;authors&gt;&lt;author&gt;Morgan, Emily&lt;/author&gt;&lt;/authors&gt;&lt;/contributors&gt;&lt;titles&gt;&lt;title&gt;Driving dilemmas: a guide to driving assessment in primary care&lt;/title&gt;&lt;secondary-title&gt;Clinics in geriatric medicine&lt;/secondary-title&gt;&lt;/titles&gt;&lt;periodical&gt;&lt;full-title&gt;Clinics in geriatric medicine&lt;/full-title&gt;&lt;/periodical&gt;&lt;pages&gt;107-115&lt;/pages&gt;&lt;volume&gt;34&lt;/volume&gt;&lt;number&gt;1&lt;/number&gt;&lt;dates&gt;&lt;year&gt;2018&lt;/year&gt;&lt;/dates&gt;&lt;isbn&gt;0749-0690&lt;/isb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3" w:tooltip="Morgan, 2018 #69" w:history="1">
              <w:r w:rsidRPr="00796D55">
                <w:rPr>
                  <w:rFonts w:asciiTheme="majorBidi" w:hAnsiTheme="majorBidi" w:cstheme="majorBidi"/>
                  <w:noProof/>
                  <w:sz w:val="26"/>
                  <w:szCs w:val="26"/>
                </w:rPr>
                <w:t>33</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There is no set time for assessing and screening for driving disorders, and this depends on patients, families, and health care providers.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Red flags are conditions that increase a person's risk of driving but do not automatically indicate an inability to drive safely but should act as urgency for further research into driving safety.</w:t>
            </w:r>
          </w:p>
          <w:p w:rsidR="00796D55" w:rsidRPr="00796D55" w:rsidRDefault="00796D55" w:rsidP="00796D55">
            <w:pPr>
              <w:bidi w:val="0"/>
              <w:spacing w:after="60" w:line="276" w:lineRule="auto"/>
              <w:jc w:val="both"/>
              <w:rPr>
                <w:rFonts w:asciiTheme="majorBidi" w:hAnsiTheme="majorBidi" w:cstheme="majorBidi"/>
                <w:sz w:val="26"/>
                <w:szCs w:val="26"/>
                <w:rtl/>
              </w:rPr>
            </w:pPr>
            <w:r w:rsidRPr="00796D55">
              <w:rPr>
                <w:rFonts w:asciiTheme="majorBidi" w:hAnsiTheme="majorBidi" w:cstheme="majorBidi"/>
                <w:sz w:val="26"/>
                <w:szCs w:val="26"/>
              </w:rPr>
              <w:t>For older adults who are currently taking medications that cause them to worry about driving, physicians should discuss the risk-benefit of limiting or voluntarily discontinuing driving with the patient.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Having poor cognitive impairment or even premature dementia does not automatically mean that the driver is not safe to drive. To detect abnormalities in cognitive function, the Clock Test and Trail Making Test are recommended.</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For neuromuscular problems, the recommended clinical evaluations include thorough neuromuscular and skeletal examinations, special attention to the range of motion and motor strength, as well as gait speed testing.</w:t>
            </w:r>
          </w:p>
          <w:p w:rsidR="00796D55" w:rsidRPr="00796D55" w:rsidRDefault="00796D55" w:rsidP="00796D55">
            <w:pPr>
              <w:bidi w:val="0"/>
              <w:spacing w:after="60" w:line="276" w:lineRule="auto"/>
              <w:jc w:val="both"/>
              <w:rPr>
                <w:rFonts w:asciiTheme="majorBidi" w:hAnsiTheme="majorBidi" w:cstheme="majorBidi"/>
                <w:sz w:val="26"/>
                <w:szCs w:val="26"/>
                <w:rtl/>
              </w:rPr>
            </w:pPr>
            <w:r w:rsidRPr="00796D55">
              <w:rPr>
                <w:rFonts w:asciiTheme="majorBidi" w:hAnsiTheme="majorBidi" w:cstheme="majorBidi"/>
                <w:sz w:val="26"/>
                <w:szCs w:val="26"/>
              </w:rPr>
              <w:t>The need varies from state to state and varies from 20</w:t>
            </w:r>
            <w:r w:rsidRPr="00796D55">
              <w:rPr>
                <w:rFonts w:asciiTheme="majorBidi" w:hAnsiTheme="majorBidi" w:cstheme="majorBidi"/>
                <w:sz w:val="26"/>
                <w:szCs w:val="26"/>
                <w:rtl/>
              </w:rPr>
              <w:t>/</w:t>
            </w:r>
            <w:r w:rsidRPr="00796D55">
              <w:rPr>
                <w:rFonts w:asciiTheme="majorBidi" w:hAnsiTheme="majorBidi" w:cstheme="majorBidi"/>
                <w:sz w:val="26"/>
                <w:szCs w:val="26"/>
              </w:rPr>
              <w:t>40 to 20</w:t>
            </w:r>
            <w:r w:rsidRPr="00796D55">
              <w:rPr>
                <w:rFonts w:asciiTheme="majorBidi" w:hAnsiTheme="majorBidi" w:cstheme="majorBidi"/>
                <w:sz w:val="26"/>
                <w:szCs w:val="26"/>
                <w:rtl/>
              </w:rPr>
              <w:t>/</w:t>
            </w:r>
            <w:r w:rsidRPr="00796D55">
              <w:rPr>
                <w:rFonts w:asciiTheme="majorBidi" w:hAnsiTheme="majorBidi" w:cstheme="majorBidi"/>
                <w:sz w:val="26"/>
                <w:szCs w:val="26"/>
              </w:rPr>
              <w:t>70. But if it is less than 20/40, it is necessary to see an ophthalmologist.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Assessments are performed for patients with cognitive impairment as part of the Montreal Cognitive Assessment (MoCA). People with a MoCA score of 18 out of 30 or less may not be safe to drive (75% sensitivity, 94% specificity). Although driving in premature dementia may be safe, patients should be re-evaluated every 6 to 12 months. Patients with moderate to severe dementia should not be allowed to drive according to published guidelines.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Although a dangerous drug can be used or discontinued many times, there will be times when the benefits outweigh the risks of stopping driving. In these cases, the doctor is obliged to inform the patients about the dangers of the driving disorder.</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19</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A Re-Assessment of Older Drivers as a Road</w:t>
            </w:r>
          </w:p>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Safety Risk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&lt;EndNote&gt;&lt;Cite&gt;&lt;Author&gt;Langford&lt;/Author&gt;&lt;Year&gt;2006&lt;/Year&gt;&lt;RecNum&gt;71&lt;/RecNum&gt;&lt;DisplayText&gt;(51)&lt;/DisplayText&gt;&lt;record&gt;&lt;rec-number&gt;71&lt;/rec-number&gt;&lt;foreign-keys&gt;&lt;key app="EN" db-id="rzfv0vtvv59dpie0vpqvv20f5wrxt5fstxst" timestamp="1598682686"&gt;71&lt;/key&gt;&lt;/foreign-keys&gt;&lt;ref-type name="Journal Article"&gt;17&lt;/ref-type&gt;&lt;contributors&gt;&lt;authors&gt;&lt;author&gt;Langford, Jim&lt;/author&gt;&lt;author&gt;Koppel, Sjaanie&lt;/author&gt;&lt;author&gt;Charlton, Jude&lt;/author&gt;&lt;author&gt;Fildes, Brian&lt;/author&gt;&lt;author&gt;Newstead, Stuart&lt;/author&gt;&lt;/authors&gt;&lt;/contributors&gt;&lt;titles&gt;&lt;title&gt;A re-assessment of older drivers as a road safety risk&lt;/title&gt;&lt;secondary-title&gt;IATSS research&lt;/secondary-title&gt;&lt;/titles&gt;&lt;periodical&gt;&lt;full-title&gt;IATSS research&lt;/full-title&gt;&lt;/periodical&gt;&lt;pages&gt;27-37&lt;/pages&gt;&lt;volume&gt;30&lt;/volume&gt;&lt;number&gt;1&lt;/number&gt;&lt;dates&gt;&lt;year&gt;2006&lt;/year&gt;&lt;/dates&gt;&lt;isbn&gt;0386-1112&lt;/isb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51" w:tooltip="Langford, 2006 #71" w:history="1">
              <w:r w:rsidRPr="00796D55">
                <w:rPr>
                  <w:rFonts w:asciiTheme="majorBidi" w:hAnsiTheme="majorBidi" w:cstheme="majorBidi"/>
                  <w:noProof/>
                  <w:sz w:val="26"/>
                  <w:szCs w:val="26"/>
                </w:rPr>
                <w:t>51</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autoSpaceDE w:val="0"/>
              <w:autoSpaceDN w:val="0"/>
              <w:bidi w:val="0"/>
              <w:adjustRightInd w:val="0"/>
              <w:spacing w:after="60"/>
              <w:jc w:val="both"/>
              <w:rPr>
                <w:rFonts w:asciiTheme="majorBidi" w:hAnsiTheme="majorBidi" w:cstheme="majorBidi"/>
                <w:sz w:val="26"/>
                <w:szCs w:val="26"/>
              </w:rPr>
            </w:pPr>
            <w:r w:rsidRPr="00796D55">
              <w:rPr>
                <w:rFonts w:asciiTheme="majorBidi" w:hAnsiTheme="majorBidi" w:cstheme="majorBidi"/>
                <w:sz w:val="26"/>
                <w:szCs w:val="26"/>
              </w:rPr>
              <w:t>Off-road tests are performed randomly from the following 3 screening tests to assess fitness to drive in elderly:</w:t>
            </w:r>
          </w:p>
          <w:p w:rsidR="00796D55" w:rsidRPr="00796D55" w:rsidRDefault="00796D55" w:rsidP="00796D55">
            <w:pPr>
              <w:numPr>
                <w:ilvl w:val="0"/>
                <w:numId w:val="1"/>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Gross Impairments Screening Battery of General Physical and Mental Abilities (GRIMPS</w:t>
            </w:r>
            <w:r w:rsidRPr="00796D55">
              <w:rPr>
                <w:rFonts w:asciiTheme="majorBidi" w:eastAsia="Calibri" w:hAnsiTheme="majorBidi" w:cstheme="majorBidi"/>
                <w:sz w:val="26"/>
                <w:szCs w:val="26"/>
              </w:rPr>
              <w:t>):</w:t>
            </w:r>
          </w:p>
          <w:p w:rsidR="00796D55" w:rsidRPr="00796D55" w:rsidRDefault="00796D55" w:rsidP="00796D55">
            <w:pPr>
              <w:autoSpaceDE w:val="0"/>
              <w:autoSpaceDN w:val="0"/>
              <w:bidi w:val="0"/>
              <w:adjustRightInd w:val="0"/>
              <w:spacing w:after="60" w:line="276" w:lineRule="auto"/>
              <w:ind w:left="720"/>
              <w:contextualSpacing/>
              <w:jc w:val="both"/>
              <w:rPr>
                <w:rFonts w:asciiTheme="majorBidi" w:eastAsia="Calibri" w:hAnsiTheme="majorBidi" w:cstheme="majorBidi"/>
                <w:sz w:val="26"/>
                <w:szCs w:val="26"/>
                <w:rtl/>
                <w:lang w:bidi="fa-IR"/>
              </w:rPr>
            </w:pPr>
            <w:r w:rsidRPr="00796D55">
              <w:rPr>
                <w:rFonts w:asciiTheme="majorBidi" w:eastAsia="Calibri" w:hAnsiTheme="majorBidi" w:cstheme="majorBidi"/>
                <w:sz w:val="26"/>
                <w:szCs w:val="26"/>
              </w:rPr>
              <w:t>This test includes 6 subtests as follows</w:t>
            </w:r>
            <w:r w:rsidRPr="00796D55">
              <w:rPr>
                <w:rFonts w:asciiTheme="majorBidi" w:eastAsia="Calibri" w:hAnsiTheme="majorBidi" w:cstheme="majorBidi"/>
                <w:sz w:val="26"/>
                <w:szCs w:val="26"/>
                <w:rtl/>
                <w:lang w:bidi="fa-IR"/>
              </w:rPr>
              <w:t>:</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Foot-Tapping Test and Rapid Pace Walk:</w:t>
            </w:r>
            <w:r w:rsidRPr="00796D55">
              <w:rPr>
                <w:rFonts w:asciiTheme="majorBidi" w:eastAsia="Calibri" w:hAnsiTheme="majorBidi" w:cstheme="majorBidi"/>
                <w:sz w:val="26"/>
                <w:szCs w:val="26"/>
              </w:rPr>
              <w:t xml:space="preserve"> The strength of the lower limb has been shown to provide the necessary stability and coordination to control the pedals without causing fatigue and moving the foot accurately and quickly from the accelerator pedal to the brake.</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Arm Reach,</w:t>
            </w:r>
            <w:r w:rsidRPr="00796D55">
              <w:rPr>
                <w:rFonts w:asciiTheme="majorBidi" w:eastAsia="Calibri" w:hAnsiTheme="majorBidi" w:cstheme="majorBidi"/>
                <w:b/>
                <w:bCs/>
                <w:sz w:val="26"/>
                <w:szCs w:val="26"/>
                <w:rtl/>
              </w:rPr>
              <w:t xml:space="preserve"> </w:t>
            </w:r>
            <w:r w:rsidRPr="00796D55">
              <w:rPr>
                <w:rFonts w:asciiTheme="majorBidi" w:eastAsia="Calibri" w:hAnsiTheme="majorBidi" w:cstheme="majorBidi"/>
                <w:b/>
                <w:bCs/>
                <w:sz w:val="26"/>
                <w:szCs w:val="26"/>
              </w:rPr>
              <w:t>Head Neck</w:t>
            </w:r>
            <w:r w:rsidRPr="00796D55">
              <w:rPr>
                <w:rFonts w:asciiTheme="majorBidi" w:eastAsia="Calibri" w:hAnsiTheme="majorBidi" w:cstheme="majorBidi"/>
                <w:b/>
                <w:bCs/>
                <w:sz w:val="26"/>
                <w:szCs w:val="26"/>
                <w:rtl/>
              </w:rPr>
              <w:t xml:space="preserve"> </w:t>
            </w:r>
            <w:r w:rsidRPr="00796D55">
              <w:rPr>
                <w:rFonts w:asciiTheme="majorBidi" w:eastAsia="Calibri" w:hAnsiTheme="majorBidi" w:cstheme="majorBidi"/>
                <w:b/>
                <w:bCs/>
                <w:sz w:val="26"/>
                <w:szCs w:val="26"/>
              </w:rPr>
              <w:t>Rotation</w:t>
            </w:r>
            <w:r w:rsidRPr="00796D55">
              <w:rPr>
                <w:rFonts w:asciiTheme="majorBidi" w:eastAsia="Calibri" w:hAnsiTheme="majorBidi" w:cstheme="majorBidi"/>
                <w:b/>
                <w:bCs/>
                <w:sz w:val="26"/>
                <w:szCs w:val="26"/>
                <w:rtl/>
              </w:rPr>
              <w:t>:</w:t>
            </w:r>
            <w:r w:rsidRPr="00796D55">
              <w:rPr>
                <w:rFonts w:asciiTheme="majorBidi" w:eastAsia="Calibri" w:hAnsiTheme="majorBidi" w:cstheme="majorBidi"/>
                <w:sz w:val="26"/>
                <w:szCs w:val="26"/>
              </w:rPr>
              <w:t xml:space="preserve"> To confirm the flexibility of the upper body, which is needed to quickly turn the steering wheel and look back, which is needed to check the traffic when changing lanes.</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 xml:space="preserve">Motor-Free Visual Perception, Test Visual Closure Subtest: </w:t>
            </w:r>
            <w:r w:rsidRPr="00796D55">
              <w:rPr>
                <w:rFonts w:asciiTheme="majorBidi" w:eastAsia="Calibri" w:hAnsiTheme="majorBidi" w:cstheme="majorBidi"/>
                <w:sz w:val="26"/>
                <w:szCs w:val="26"/>
              </w:rPr>
              <w:t>To measure the ability to drive to visualize lost information, help detect a sign from a minor view or predict unseen or obstruction hazards.</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Cued Recall, Delayed Recall</w:t>
            </w:r>
            <w:r w:rsidRPr="00796D55">
              <w:rPr>
                <w:rFonts w:asciiTheme="majorBidi" w:eastAsia="Calibri" w:hAnsiTheme="majorBidi" w:cstheme="majorBidi" w:hint="cs"/>
                <w:b/>
                <w:bCs/>
                <w:sz w:val="26"/>
                <w:szCs w:val="26"/>
                <w:rtl/>
              </w:rPr>
              <w:t>:</w:t>
            </w:r>
            <w:r w:rsidRPr="00796D55">
              <w:rPr>
                <w:rFonts w:asciiTheme="majorBidi" w:eastAsia="Calibri" w:hAnsiTheme="majorBidi" w:cstheme="majorBidi"/>
                <w:sz w:val="26"/>
                <w:szCs w:val="26"/>
              </w:rPr>
              <w:t xml:space="preserve"> These functions measure memory performance when needed to memorize rules and follow simple instructions.</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Scan Test,</w:t>
            </w:r>
            <w:r w:rsidRPr="00796D55">
              <w:rPr>
                <w:rFonts w:asciiTheme="majorBidi" w:eastAsia="Calibri" w:hAnsiTheme="majorBidi" w:cstheme="majorBidi" w:hint="cs"/>
                <w:b/>
                <w:bCs/>
                <w:sz w:val="26"/>
                <w:szCs w:val="26"/>
                <w:rtl/>
              </w:rPr>
              <w:t xml:space="preserve"> </w:t>
            </w:r>
            <w:r w:rsidRPr="00796D55">
              <w:rPr>
                <w:rFonts w:asciiTheme="majorBidi" w:eastAsia="Calibri" w:hAnsiTheme="majorBidi" w:cstheme="majorBidi"/>
                <w:b/>
                <w:bCs/>
                <w:sz w:val="26"/>
                <w:szCs w:val="26"/>
              </w:rPr>
              <w:t>Trail Making Test.</w:t>
            </w:r>
          </w:p>
          <w:p w:rsidR="00796D55" w:rsidRPr="00796D55" w:rsidRDefault="00796D55" w:rsidP="00796D55">
            <w:pPr>
              <w:numPr>
                <w:ilvl w:val="0"/>
                <w:numId w:val="2"/>
              </w:numPr>
              <w:autoSpaceDE w:val="0"/>
              <w:autoSpaceDN w:val="0"/>
              <w:bidi w:val="0"/>
              <w:adjustRightInd w:val="0"/>
              <w:spacing w:after="60"/>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Visual Acuity (Standard and Low Contrast).</w:t>
            </w:r>
          </w:p>
          <w:p w:rsidR="00796D55" w:rsidRPr="00796D55" w:rsidRDefault="00796D55" w:rsidP="00796D55">
            <w:pPr>
              <w:numPr>
                <w:ilvl w:val="0"/>
                <w:numId w:val="1"/>
              </w:numPr>
              <w:autoSpaceDE w:val="0"/>
              <w:autoSpaceDN w:val="0"/>
              <w:bidi w:val="0"/>
              <w:adjustRightInd w:val="0"/>
              <w:spacing w:after="60"/>
              <w:contextualSpacing/>
              <w:jc w:val="both"/>
              <w:rPr>
                <w:rFonts w:asciiTheme="majorBidi" w:eastAsia="Calibri" w:hAnsiTheme="majorBidi" w:cstheme="majorBidi"/>
                <w:sz w:val="26"/>
                <w:szCs w:val="26"/>
                <w:rtl/>
              </w:rPr>
            </w:pPr>
            <w:r w:rsidRPr="00796D55">
              <w:rPr>
                <w:rFonts w:asciiTheme="majorBidi" w:eastAsia="Calibri" w:hAnsiTheme="majorBidi" w:cstheme="majorBidi"/>
                <w:b/>
                <w:bCs/>
                <w:sz w:val="26"/>
                <w:szCs w:val="26"/>
              </w:rPr>
              <w:t>DriveABLE</w:t>
            </w:r>
            <w:r w:rsidRPr="00796D55">
              <w:rPr>
                <w:rFonts w:asciiTheme="majorBidi" w:eastAsia="Calibri" w:hAnsiTheme="majorBidi" w:cstheme="majorBidi"/>
              </w:rPr>
              <w:t>™</w:t>
            </w:r>
            <w:r w:rsidRPr="00796D55">
              <w:rPr>
                <w:rFonts w:asciiTheme="majorBidi" w:eastAsia="Calibri" w:hAnsiTheme="majorBidi" w:cstheme="majorBidi"/>
                <w:b/>
                <w:bCs/>
                <w:sz w:val="26"/>
                <w:szCs w:val="26"/>
              </w:rPr>
              <w:t xml:space="preserve">: </w:t>
            </w:r>
            <w:r w:rsidRPr="00796D55">
              <w:rPr>
                <w:rFonts w:asciiTheme="majorBidi" w:eastAsia="Calibri" w:hAnsiTheme="majorBidi" w:cstheme="majorBidi"/>
                <w:sz w:val="26"/>
                <w:szCs w:val="26"/>
              </w:rPr>
              <w:t>The DriveABLE is an office-based test consists of six computer-based assessments using touch screen and button answers. These assessments include: motor speed and control, field of view, temporal judgment and decision making, speed of attention change, executive performance and judgment in complex driving situations (a set of traffic hazard videos, etc.)</w:t>
            </w:r>
          </w:p>
          <w:p w:rsidR="00796D55" w:rsidRPr="00796D55" w:rsidRDefault="00796D55" w:rsidP="00796D55">
            <w:pPr>
              <w:numPr>
                <w:ilvl w:val="0"/>
                <w:numId w:val="1"/>
              </w:numPr>
              <w:bidi w:val="0"/>
              <w:spacing w:after="60"/>
              <w:contextualSpacing/>
              <w:jc w:val="both"/>
              <w:rPr>
                <w:rFonts w:asciiTheme="majorBidi" w:eastAsia="Calibri" w:hAnsiTheme="majorBidi" w:cstheme="majorBidi"/>
                <w:b/>
                <w:bCs/>
                <w:sz w:val="26"/>
                <w:szCs w:val="26"/>
                <w:rtl/>
              </w:rPr>
            </w:pPr>
            <w:r w:rsidRPr="00796D55">
              <w:rPr>
                <w:rFonts w:asciiTheme="majorBidi" w:eastAsia="Calibri" w:hAnsiTheme="majorBidi" w:cstheme="majorBidi"/>
                <w:b/>
                <w:bCs/>
                <w:sz w:val="26"/>
                <w:szCs w:val="26"/>
              </w:rPr>
              <w:t>Useful Field of View (UFOV) Test :</w:t>
            </w:r>
            <w:r w:rsidRPr="00796D55">
              <w:rPr>
                <w:rFonts w:asciiTheme="majorBidi" w:eastAsia="Calibri" w:hAnsiTheme="majorBidi" w:cstheme="majorBidi"/>
                <w:sz w:val="26"/>
                <w:szCs w:val="26"/>
              </w:rPr>
              <w:t xml:space="preserve"> A computer-based test consisting of 3 subtests.</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20</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Driver License Renewal for the Elderly:</w:t>
            </w:r>
          </w:p>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A Case Study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&lt;EndNote&gt;&lt;Cite&gt;&lt;Author&gt;Stamatiadis&lt;/Author&gt;&lt;Year&gt;2003&lt;/Year&gt;&lt;RecNum&gt;72&lt;/RecNum&gt;&lt;DisplayText&gt;(35)&lt;/DisplayText&gt;&lt;record&gt;&lt;rec-number&gt;72&lt;/rec-number&gt;&lt;foreign-keys&gt;&lt;key app="EN" db-id="rzfv0vtvv59dpie0vpqvv20f5wrxt5fstxst" timestamp="1598682864"&gt;72&lt;/key&gt;&lt;/foreign-keys&gt;&lt;ref-type name="Journal Article"&gt;17&lt;/ref-type&gt;&lt;contributors&gt;&lt;authors&gt;&lt;author&gt;Stamatiadis, Nikiforos&lt;/author&gt;&lt;author&gt;Agent, Kenneth R&lt;/author&gt;&lt;author&gt;Ridgeway, Michael&lt;/author&gt;&lt;/authors&gt;&lt;/contributors&gt;&lt;titles&gt;&lt;title&gt;Driver license renewal for the elderly: A case study&lt;/title&gt;&lt;secondary-title&gt;Journal of Applied Gerontology&lt;/secondary-title&gt;&lt;/titles&gt;&lt;periodical&gt;&lt;full-title&gt;Journal of Applied Gerontology&lt;/full-title&gt;&lt;/periodical&gt;&lt;pages&gt;42-56&lt;/pages&gt;&lt;volume&gt;22&lt;/volume&gt;&lt;number&gt;1&lt;/number&gt;&lt;dates&gt;&lt;year&gt;2003&lt;/year&gt;&lt;/dates&gt;&lt;isbn&gt;0733-4648&lt;/isb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5" w:tooltip="Stamatiadis, 2003 #72" w:history="1">
              <w:r w:rsidRPr="00796D55">
                <w:rPr>
                  <w:rFonts w:asciiTheme="majorBidi" w:hAnsiTheme="majorBidi" w:cstheme="majorBidi"/>
                  <w:noProof/>
                  <w:sz w:val="26"/>
                  <w:szCs w:val="26"/>
                </w:rPr>
                <w:t>35</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almost all states, the minimum vision score is 40/20. No state conducts dynamic vision tests. Half of the states require a vision and field of vision assessment, while 12 states have a depth perception test.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Studies of age-based road assessments as a tool to identify and eliminate unsafe drivers suggest that such tests are inconclusive and do not increase the elderly driver's safety record.</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Starting any test in Kentucky when renewing your driver's license requires additional funding and redesigning the license renewal process.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Limited funding in some states has reduced the scope or frequency of renewal programs and allowed drivers with Clean Records to renew their licenses by email.</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table below shows the required assessments in 51 US states:</w:t>
            </w:r>
          </w:p>
          <w:p w:rsidR="00796D55" w:rsidRPr="00796D55" w:rsidRDefault="00796D55" w:rsidP="00796D55">
            <w:pPr>
              <w:bidi w:val="0"/>
              <w:spacing w:after="60" w:line="276" w:lineRule="auto"/>
              <w:jc w:val="both"/>
              <w:rPr>
                <w:rFonts w:asciiTheme="majorBidi" w:hAnsiTheme="majorBidi" w:cstheme="majorBidi"/>
                <w:sz w:val="26"/>
                <w:szCs w:val="26"/>
              </w:rPr>
            </w:pPr>
          </w:p>
          <w:tbl>
            <w:tblPr>
              <w:tblStyle w:val="TableGrid1"/>
              <w:bidiVisual/>
              <w:tblW w:w="8003" w:type="dxa"/>
              <w:tblInd w:w="2319" w:type="dxa"/>
              <w:tblLook w:val="04A0" w:firstRow="1" w:lastRow="0" w:firstColumn="1" w:lastColumn="0" w:noHBand="0" w:noVBand="1"/>
            </w:tblPr>
            <w:tblGrid>
              <w:gridCol w:w="823"/>
              <w:gridCol w:w="823"/>
              <w:gridCol w:w="794"/>
              <w:gridCol w:w="883"/>
              <w:gridCol w:w="868"/>
              <w:gridCol w:w="3812"/>
            </w:tblGrid>
            <w:tr w:rsidR="00796D55" w:rsidRPr="00796D55" w:rsidTr="00865FDF">
              <w:trPr>
                <w:trHeight w:val="962"/>
              </w:trPr>
              <w:tc>
                <w:tcPr>
                  <w:tcW w:w="823" w:type="dxa"/>
                  <w:tcBorders>
                    <w:bottom w:val="nil"/>
                  </w:tcBorders>
                  <w:vAlign w:val="center"/>
                </w:tcPr>
                <w:p w:rsidR="00796D55" w:rsidRPr="00796D55" w:rsidRDefault="00796D55" w:rsidP="00796D55">
                  <w:pPr>
                    <w:bidi w:val="0"/>
                    <w:spacing w:after="60"/>
                    <w:jc w:val="center"/>
                    <w:rPr>
                      <w:rFonts w:asciiTheme="majorBidi" w:hAnsiTheme="majorBidi" w:cstheme="majorBidi"/>
                      <w:b/>
                      <w:bCs/>
                      <w:sz w:val="26"/>
                      <w:szCs w:val="26"/>
                    </w:rPr>
                  </w:pPr>
                  <w:r w:rsidRPr="00796D55">
                    <w:rPr>
                      <w:rFonts w:asciiTheme="majorBidi" w:hAnsiTheme="majorBidi" w:cstheme="majorBidi"/>
                      <w:b/>
                      <w:bCs/>
                      <w:sz w:val="26"/>
                      <w:szCs w:val="26"/>
                    </w:rPr>
                    <w:t>7</w:t>
                  </w:r>
                </w:p>
              </w:tc>
              <w:tc>
                <w:tcPr>
                  <w:tcW w:w="823" w:type="dxa"/>
                  <w:tcBorders>
                    <w:bottom w:val="nil"/>
                  </w:tcBorders>
                  <w:vAlign w:val="center"/>
                </w:tcPr>
                <w:p w:rsidR="00796D55" w:rsidRPr="00796D55" w:rsidRDefault="00796D55" w:rsidP="00796D55">
                  <w:pPr>
                    <w:bidi w:val="0"/>
                    <w:spacing w:after="60"/>
                    <w:jc w:val="center"/>
                    <w:rPr>
                      <w:rFonts w:asciiTheme="majorBidi" w:hAnsiTheme="majorBidi" w:cstheme="majorBidi"/>
                      <w:b/>
                      <w:bCs/>
                      <w:sz w:val="26"/>
                      <w:szCs w:val="26"/>
                    </w:rPr>
                  </w:pPr>
                  <w:r w:rsidRPr="00796D55">
                    <w:rPr>
                      <w:rFonts w:asciiTheme="majorBidi" w:hAnsiTheme="majorBidi" w:cstheme="majorBidi"/>
                      <w:b/>
                      <w:bCs/>
                      <w:sz w:val="26"/>
                      <w:szCs w:val="26"/>
                    </w:rPr>
                    <w:t>6</w:t>
                  </w:r>
                </w:p>
              </w:tc>
              <w:tc>
                <w:tcPr>
                  <w:tcW w:w="794" w:type="dxa"/>
                  <w:tcBorders>
                    <w:bottom w:val="nil"/>
                  </w:tcBorders>
                  <w:vAlign w:val="center"/>
                </w:tcPr>
                <w:p w:rsidR="00796D55" w:rsidRPr="00796D55" w:rsidRDefault="00796D55" w:rsidP="00796D55">
                  <w:pPr>
                    <w:bidi w:val="0"/>
                    <w:spacing w:after="60"/>
                    <w:jc w:val="center"/>
                    <w:rPr>
                      <w:rFonts w:asciiTheme="majorBidi" w:hAnsiTheme="majorBidi" w:cstheme="majorBidi"/>
                      <w:b/>
                      <w:bCs/>
                      <w:sz w:val="26"/>
                      <w:szCs w:val="26"/>
                    </w:rPr>
                  </w:pPr>
                  <w:r w:rsidRPr="00796D55">
                    <w:rPr>
                      <w:rFonts w:asciiTheme="majorBidi" w:hAnsiTheme="majorBidi" w:cstheme="majorBidi"/>
                      <w:b/>
                      <w:bCs/>
                      <w:sz w:val="26"/>
                      <w:szCs w:val="26"/>
                    </w:rPr>
                    <w:t>5</w:t>
                  </w:r>
                </w:p>
              </w:tc>
              <w:tc>
                <w:tcPr>
                  <w:tcW w:w="883" w:type="dxa"/>
                  <w:tcBorders>
                    <w:bottom w:val="nil"/>
                  </w:tcBorders>
                  <w:vAlign w:val="center"/>
                </w:tcPr>
                <w:p w:rsidR="00796D55" w:rsidRPr="00796D55" w:rsidRDefault="00796D55" w:rsidP="00796D55">
                  <w:pPr>
                    <w:bidi w:val="0"/>
                    <w:spacing w:after="60"/>
                    <w:jc w:val="center"/>
                    <w:rPr>
                      <w:rFonts w:asciiTheme="majorBidi" w:hAnsiTheme="majorBidi" w:cstheme="majorBidi"/>
                      <w:b/>
                      <w:bCs/>
                      <w:sz w:val="26"/>
                      <w:szCs w:val="26"/>
                    </w:rPr>
                  </w:pPr>
                  <w:r w:rsidRPr="00796D55">
                    <w:rPr>
                      <w:rFonts w:asciiTheme="majorBidi" w:hAnsiTheme="majorBidi" w:cstheme="majorBidi"/>
                      <w:b/>
                      <w:bCs/>
                      <w:sz w:val="26"/>
                      <w:szCs w:val="26"/>
                    </w:rPr>
                    <w:t>4</w:t>
                  </w:r>
                </w:p>
              </w:tc>
              <w:tc>
                <w:tcPr>
                  <w:tcW w:w="868" w:type="dxa"/>
                  <w:tcBorders>
                    <w:bottom w:val="nil"/>
                  </w:tcBorders>
                  <w:vAlign w:val="center"/>
                </w:tcPr>
                <w:p w:rsidR="00796D55" w:rsidRPr="00796D55" w:rsidRDefault="00796D55" w:rsidP="00796D55">
                  <w:pPr>
                    <w:bidi w:val="0"/>
                    <w:spacing w:after="60"/>
                    <w:jc w:val="center"/>
                    <w:rPr>
                      <w:rFonts w:asciiTheme="majorBidi" w:hAnsiTheme="majorBidi" w:cstheme="majorBidi"/>
                      <w:b/>
                      <w:bCs/>
                      <w:sz w:val="26"/>
                      <w:szCs w:val="26"/>
                    </w:rPr>
                  </w:pPr>
                  <w:r w:rsidRPr="00796D55">
                    <w:rPr>
                      <w:rFonts w:asciiTheme="majorBidi" w:hAnsiTheme="majorBidi" w:cstheme="majorBidi"/>
                      <w:b/>
                      <w:bCs/>
                      <w:sz w:val="26"/>
                      <w:szCs w:val="26"/>
                    </w:rPr>
                    <w:t>3</w:t>
                  </w:r>
                </w:p>
              </w:tc>
              <w:tc>
                <w:tcPr>
                  <w:tcW w:w="3812" w:type="dxa"/>
                  <w:tcBorders>
                    <w:tr2bl w:val="single" w:sz="4" w:space="0" w:color="auto"/>
                  </w:tcBorders>
                </w:tcPr>
                <w:p w:rsidR="00796D55" w:rsidRPr="00796D55" w:rsidRDefault="00796D55" w:rsidP="00796D55">
                  <w:pPr>
                    <w:bidi w:val="0"/>
                    <w:spacing w:after="60"/>
                    <w:jc w:val="both"/>
                    <w:rPr>
                      <w:rFonts w:asciiTheme="majorBidi" w:hAnsiTheme="majorBidi" w:cstheme="majorBidi"/>
                      <w:b/>
                      <w:bCs/>
                      <w:sz w:val="26"/>
                      <w:szCs w:val="26"/>
                      <w:rtl/>
                    </w:rPr>
                  </w:pPr>
                  <w:r w:rsidRPr="00796D55">
                    <w:rPr>
                      <w:rFonts w:asciiTheme="majorBidi" w:hAnsiTheme="majorBidi" w:cstheme="majorBidi"/>
                      <w:b/>
                      <w:bCs/>
                      <w:sz w:val="26"/>
                      <w:szCs w:val="26"/>
                    </w:rPr>
                    <w:t>Necessary Assessments</w:t>
                  </w:r>
                </w:p>
                <w:p w:rsidR="00796D55" w:rsidRPr="00796D55" w:rsidRDefault="00796D55" w:rsidP="00796D55">
                  <w:pPr>
                    <w:bidi w:val="0"/>
                    <w:spacing w:after="60"/>
                    <w:jc w:val="both"/>
                    <w:rPr>
                      <w:rFonts w:asciiTheme="majorBidi" w:hAnsiTheme="majorBidi" w:cstheme="majorBidi"/>
                      <w:sz w:val="26"/>
                      <w:szCs w:val="26"/>
                    </w:rPr>
                  </w:pPr>
                </w:p>
                <w:p w:rsidR="00796D55" w:rsidRPr="00796D55" w:rsidRDefault="00796D55" w:rsidP="00796D55">
                  <w:pPr>
                    <w:bidi w:val="0"/>
                    <w:spacing w:after="60"/>
                    <w:jc w:val="right"/>
                    <w:rPr>
                      <w:rFonts w:asciiTheme="majorBidi" w:hAnsiTheme="majorBidi" w:cstheme="majorBidi"/>
                      <w:sz w:val="26"/>
                      <w:szCs w:val="26"/>
                    </w:rPr>
                  </w:pPr>
                  <w:r w:rsidRPr="00796D55">
                    <w:rPr>
                      <w:rFonts w:asciiTheme="majorBidi" w:hAnsiTheme="majorBidi" w:cstheme="majorBidi"/>
                      <w:b/>
                      <w:bCs/>
                      <w:sz w:val="26"/>
                      <w:szCs w:val="26"/>
                    </w:rPr>
                    <w:t>Time Period (Year</w:t>
                  </w:r>
                  <w:r w:rsidRPr="00796D55">
                    <w:rPr>
                      <w:rFonts w:asciiTheme="majorBidi" w:hAnsiTheme="majorBidi" w:cstheme="majorBidi"/>
                      <w:sz w:val="26"/>
                      <w:szCs w:val="26"/>
                    </w:rPr>
                    <w:t>)</w:t>
                  </w:r>
                </w:p>
              </w:tc>
            </w:tr>
            <w:tr w:rsidR="00796D55" w:rsidRPr="00796D55" w:rsidTr="00865FDF">
              <w:trPr>
                <w:trHeight w:val="485"/>
              </w:trPr>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794"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4</w:t>
                  </w:r>
                </w:p>
              </w:tc>
              <w:tc>
                <w:tcPr>
                  <w:tcW w:w="883" w:type="dxa"/>
                  <w:vAlign w:val="center"/>
                </w:tcPr>
                <w:p w:rsidR="00796D55" w:rsidRPr="00796D55" w:rsidRDefault="00796D55" w:rsidP="00796D55">
                  <w:pPr>
                    <w:bidi w:val="0"/>
                    <w:spacing w:after="60"/>
                    <w:jc w:val="center"/>
                    <w:rPr>
                      <w:rFonts w:asciiTheme="majorBidi" w:hAnsiTheme="majorBidi" w:cstheme="majorBidi"/>
                      <w:sz w:val="26"/>
                      <w:szCs w:val="26"/>
                    </w:rPr>
                  </w:pPr>
                  <w:r w:rsidRPr="00796D55">
                    <w:rPr>
                      <w:rFonts w:asciiTheme="majorBidi" w:hAnsiTheme="majorBidi" w:cstheme="majorBidi"/>
                      <w:sz w:val="26"/>
                      <w:szCs w:val="26"/>
                    </w:rPr>
                    <w:t>14</w:t>
                  </w:r>
                </w:p>
              </w:tc>
              <w:tc>
                <w:tcPr>
                  <w:tcW w:w="868"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r>
                    <w:rPr>
                      <w:rFonts w:asciiTheme="majorBidi" w:hAnsiTheme="majorBidi" w:cstheme="majorBidi" w:hint="cs"/>
                      <w:sz w:val="26"/>
                      <w:szCs w:val="26"/>
                      <w:vertAlign w:val="superscript"/>
                      <w:rtl/>
                      <w:lang w:bidi="fa-IR"/>
                    </w:rPr>
                    <w:t>*</w:t>
                  </w:r>
                </w:p>
              </w:tc>
              <w:tc>
                <w:tcPr>
                  <w:tcW w:w="3812" w:type="dxa"/>
                  <w:vAlign w:val="center"/>
                </w:tcPr>
                <w:p w:rsidR="00796D55" w:rsidRPr="00796D55" w:rsidRDefault="00796D55" w:rsidP="00796D55">
                  <w:pPr>
                    <w:bidi w:val="0"/>
                    <w:spacing w:after="60"/>
                    <w:jc w:val="both"/>
                    <w:rPr>
                      <w:rFonts w:asciiTheme="majorBidi" w:hAnsiTheme="majorBidi" w:cstheme="majorBidi"/>
                      <w:sz w:val="26"/>
                      <w:szCs w:val="26"/>
                    </w:rPr>
                  </w:pPr>
                  <w:r w:rsidRPr="00796D55">
                    <w:rPr>
                      <w:rFonts w:asciiTheme="majorBidi" w:hAnsiTheme="majorBidi" w:cstheme="majorBidi"/>
                      <w:sz w:val="26"/>
                      <w:szCs w:val="26"/>
                    </w:rPr>
                    <w:t>Vision Test</w:t>
                  </w:r>
                </w:p>
              </w:tc>
            </w:tr>
            <w:tr w:rsidR="00796D55" w:rsidRPr="00796D55" w:rsidTr="00865FDF">
              <w:trPr>
                <w:trHeight w:val="601"/>
              </w:trPr>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794"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88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5</w:t>
                  </w:r>
                </w:p>
              </w:tc>
              <w:tc>
                <w:tcPr>
                  <w:tcW w:w="868"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3812" w:type="dxa"/>
                  <w:vAlign w:val="center"/>
                </w:tcPr>
                <w:p w:rsidR="00796D55" w:rsidRPr="00796D55" w:rsidRDefault="00796D55" w:rsidP="00796D55">
                  <w:pPr>
                    <w:bidi w:val="0"/>
                    <w:spacing w:after="60"/>
                    <w:jc w:val="both"/>
                    <w:rPr>
                      <w:rFonts w:asciiTheme="majorBidi" w:hAnsiTheme="majorBidi" w:cstheme="majorBidi"/>
                      <w:sz w:val="26"/>
                      <w:szCs w:val="26"/>
                      <w:rtl/>
                    </w:rPr>
                  </w:pPr>
                  <w:r w:rsidRPr="00796D55">
                    <w:rPr>
                      <w:rFonts w:asciiTheme="majorBidi" w:hAnsiTheme="majorBidi" w:cstheme="majorBidi"/>
                      <w:sz w:val="26"/>
                      <w:szCs w:val="26"/>
                    </w:rPr>
                    <w:t>Vision and Written Test</w:t>
                  </w:r>
                </w:p>
              </w:tc>
            </w:tr>
            <w:tr w:rsidR="00796D55" w:rsidRPr="00796D55" w:rsidTr="00865FDF">
              <w:trPr>
                <w:trHeight w:val="656"/>
              </w:trPr>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794"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3</w:t>
                  </w:r>
                </w:p>
              </w:tc>
              <w:tc>
                <w:tcPr>
                  <w:tcW w:w="88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4</w:t>
                  </w:r>
                </w:p>
              </w:tc>
              <w:tc>
                <w:tcPr>
                  <w:tcW w:w="868"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3812" w:type="dxa"/>
                  <w:vAlign w:val="center"/>
                </w:tcPr>
                <w:p w:rsidR="00796D55" w:rsidRPr="00796D55" w:rsidRDefault="00796D55" w:rsidP="00796D55">
                  <w:pPr>
                    <w:bidi w:val="0"/>
                    <w:spacing w:after="60"/>
                    <w:jc w:val="both"/>
                    <w:rPr>
                      <w:rFonts w:asciiTheme="majorBidi" w:hAnsiTheme="majorBidi" w:cstheme="majorBidi"/>
                      <w:sz w:val="26"/>
                      <w:szCs w:val="26"/>
                      <w:rtl/>
                    </w:rPr>
                  </w:pPr>
                  <w:r w:rsidRPr="00796D55">
                    <w:rPr>
                      <w:rFonts w:asciiTheme="majorBidi" w:hAnsiTheme="majorBidi" w:cstheme="majorBidi"/>
                      <w:sz w:val="26"/>
                      <w:szCs w:val="26"/>
                    </w:rPr>
                    <w:t>Vision with Optional Written and/or Road Test</w:t>
                  </w:r>
                </w:p>
              </w:tc>
            </w:tr>
            <w:tr w:rsidR="00796D55" w:rsidRPr="00796D55" w:rsidTr="00865FDF">
              <w:trPr>
                <w:trHeight w:val="467"/>
              </w:trPr>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794"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4</w:t>
                  </w:r>
                </w:p>
              </w:tc>
              <w:tc>
                <w:tcPr>
                  <w:tcW w:w="88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9</w:t>
                  </w:r>
                </w:p>
              </w:tc>
              <w:tc>
                <w:tcPr>
                  <w:tcW w:w="868"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w:t>
                  </w:r>
                </w:p>
              </w:tc>
              <w:tc>
                <w:tcPr>
                  <w:tcW w:w="3812" w:type="dxa"/>
                  <w:vAlign w:val="center"/>
                </w:tcPr>
                <w:p w:rsidR="00796D55" w:rsidRPr="00796D55" w:rsidRDefault="00796D55" w:rsidP="00796D55">
                  <w:pPr>
                    <w:bidi w:val="0"/>
                    <w:spacing w:after="60"/>
                    <w:jc w:val="both"/>
                    <w:rPr>
                      <w:rFonts w:asciiTheme="majorBidi" w:hAnsiTheme="majorBidi" w:cstheme="majorBidi"/>
                      <w:sz w:val="26"/>
                      <w:szCs w:val="26"/>
                      <w:rtl/>
                    </w:rPr>
                  </w:pPr>
                  <w:r w:rsidRPr="00796D55">
                    <w:rPr>
                      <w:rFonts w:asciiTheme="majorBidi" w:hAnsiTheme="majorBidi" w:cstheme="majorBidi"/>
                      <w:sz w:val="26"/>
                      <w:szCs w:val="26"/>
                    </w:rPr>
                    <w:t>None</w:t>
                  </w:r>
                </w:p>
              </w:tc>
            </w:tr>
            <w:tr w:rsidR="00796D55" w:rsidRPr="00796D55" w:rsidTr="00865FDF">
              <w:trPr>
                <w:trHeight w:val="458"/>
              </w:trPr>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82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794"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14</w:t>
                  </w:r>
                </w:p>
              </w:tc>
              <w:tc>
                <w:tcPr>
                  <w:tcW w:w="883"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34</w:t>
                  </w:r>
                </w:p>
              </w:tc>
              <w:tc>
                <w:tcPr>
                  <w:tcW w:w="868" w:type="dxa"/>
                  <w:vAlign w:val="center"/>
                </w:tcPr>
                <w:p w:rsidR="00796D55" w:rsidRPr="00796D55" w:rsidRDefault="00796D55" w:rsidP="00796D55">
                  <w:pPr>
                    <w:bidi w:val="0"/>
                    <w:spacing w:after="60"/>
                    <w:jc w:val="center"/>
                    <w:rPr>
                      <w:rFonts w:asciiTheme="majorBidi" w:hAnsiTheme="majorBidi" w:cstheme="majorBidi"/>
                      <w:sz w:val="26"/>
                      <w:szCs w:val="26"/>
                      <w:rtl/>
                    </w:rPr>
                  </w:pPr>
                  <w:r w:rsidRPr="00796D55">
                    <w:rPr>
                      <w:rFonts w:asciiTheme="majorBidi" w:hAnsiTheme="majorBidi" w:cstheme="majorBidi"/>
                      <w:sz w:val="26"/>
                      <w:szCs w:val="26"/>
                    </w:rPr>
                    <w:t>1</w:t>
                  </w:r>
                </w:p>
              </w:tc>
              <w:tc>
                <w:tcPr>
                  <w:tcW w:w="3812" w:type="dxa"/>
                  <w:vAlign w:val="center"/>
                </w:tcPr>
                <w:p w:rsidR="00796D55" w:rsidRPr="00796D55" w:rsidRDefault="00796D55" w:rsidP="00796D55">
                  <w:pPr>
                    <w:bidi w:val="0"/>
                    <w:spacing w:after="60"/>
                    <w:jc w:val="both"/>
                    <w:rPr>
                      <w:rFonts w:asciiTheme="majorBidi" w:hAnsiTheme="majorBidi" w:cstheme="majorBidi"/>
                      <w:sz w:val="26"/>
                      <w:szCs w:val="26"/>
                      <w:rtl/>
                    </w:rPr>
                  </w:pPr>
                  <w:r w:rsidRPr="00796D55">
                    <w:rPr>
                      <w:rFonts w:asciiTheme="majorBidi" w:hAnsiTheme="majorBidi" w:cstheme="majorBidi"/>
                      <w:sz w:val="26"/>
                      <w:szCs w:val="26"/>
                    </w:rPr>
                    <w:t>Total=51 State</w:t>
                  </w:r>
                </w:p>
              </w:tc>
            </w:tr>
            <w:tr w:rsidR="00796D55" w:rsidRPr="00796D55" w:rsidTr="00865FDF">
              <w:trPr>
                <w:trHeight w:val="458"/>
              </w:trPr>
              <w:tc>
                <w:tcPr>
                  <w:tcW w:w="8003" w:type="dxa"/>
                  <w:gridSpan w:val="6"/>
                  <w:vAlign w:val="center"/>
                </w:tcPr>
                <w:p w:rsidR="00796D55" w:rsidRPr="00796D55" w:rsidRDefault="00796D55" w:rsidP="00796D55">
                  <w:pPr>
                    <w:bidi w:val="0"/>
                    <w:spacing w:after="60"/>
                    <w:jc w:val="both"/>
                    <w:rPr>
                      <w:rFonts w:asciiTheme="majorBidi" w:hAnsiTheme="majorBidi" w:cstheme="majorBidi"/>
                      <w:sz w:val="26"/>
                      <w:szCs w:val="26"/>
                      <w:vertAlign w:val="superscript"/>
                      <w:lang w:bidi="fa-IR"/>
                    </w:rPr>
                  </w:pPr>
                  <w:r>
                    <w:rPr>
                      <w:rFonts w:asciiTheme="majorBidi" w:hAnsiTheme="majorBidi" w:cstheme="majorBidi" w:hint="cs"/>
                      <w:sz w:val="26"/>
                      <w:szCs w:val="26"/>
                      <w:vertAlign w:val="superscript"/>
                      <w:rtl/>
                      <w:lang w:bidi="fa-IR"/>
                    </w:rPr>
                    <w:t>*</w:t>
                  </w:r>
                  <w:r w:rsidRPr="00796D55">
                    <w:rPr>
                      <w:rFonts w:asciiTheme="majorBidi" w:hAnsiTheme="majorBidi" w:cstheme="majorBidi"/>
                      <w:sz w:val="26"/>
                      <w:szCs w:val="26"/>
                      <w:lang w:bidi="fa-IR"/>
                    </w:rPr>
                    <w:t>Numbers represent the number of states</w:t>
                  </w:r>
                  <w:r>
                    <w:rPr>
                      <w:rFonts w:asciiTheme="majorBidi" w:hAnsiTheme="majorBidi" w:cstheme="majorBidi" w:hint="cs"/>
                      <w:sz w:val="26"/>
                      <w:szCs w:val="26"/>
                      <w:rtl/>
                      <w:lang w:bidi="fa-IR"/>
                    </w:rPr>
                    <w:t>.</w:t>
                  </w:r>
                </w:p>
              </w:tc>
            </w:tr>
          </w:tbl>
          <w:p w:rsidR="00796D55" w:rsidRPr="00796D55" w:rsidRDefault="00796D55" w:rsidP="00796D55">
            <w:pPr>
              <w:bidi w:val="0"/>
              <w:spacing w:after="60" w:line="276" w:lineRule="auto"/>
              <w:jc w:val="both"/>
              <w:rPr>
                <w:rFonts w:asciiTheme="majorBidi" w:hAnsiTheme="majorBidi" w:cstheme="majorBidi"/>
                <w:sz w:val="26"/>
                <w:szCs w:val="26"/>
              </w:rPr>
            </w:pP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states of Illinois, Indiana, and New Hampshire are required to pass a mandatory written test during each renewal period, and some states have made road examinations mandatory.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addition to the basic renewal requirements, several states have additional requirements for renewing older driver's licenses, typically extending the renewal period to 2 years for the elderly and requiring a full vision test.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New Mexico and Illinois have one-year renewal periods for drivers older than 75 and 85 years, respectively.</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Generally, the certification renewal period in different states varies from 3 to 6 years.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If the elderly person has diseases such as osteoporosis, vision problems, and coronary problems, compensatory measures should be taken such as speeding more than younger drivers, not driving at peak traffic load, and other measures.</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21</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Physician’s Guide to Assessing and Counseling Older Driver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&lt;EndNote&gt;&lt;Cite&gt;&lt;Author&gt;Administration&lt;/Author&gt;&lt;Year&gt;2012&lt;/Year&gt;&lt;RecNum&gt;73&lt;/RecNum&gt;&lt;DisplayText&gt;(8)&lt;/DisplayText&gt;&lt;record&gt;&lt;rec-number&gt;73&lt;/rec-number&gt;&lt;foreign-keys&gt;&lt;key app="EN" db-id="rzfv0vtvv59dpie0vpqvv20f5wrxt5fstxst" timestamp="1598682976"&gt;73&lt;/key&gt;&lt;/foreign-keys&gt;&lt;ref-type name="Report"&gt;27&lt;/ref-type&gt;&lt;contributors&gt;&lt;authors&gt;&lt;author&gt;U.S. Department of Transportation: National Highway Traffic Safety Administration &lt;/author&gt;&lt;/authors&gt;&lt;/contributors&gt;&lt;titles&gt;&lt;title&gt;Physician’s Guide to Assessing and Counseling Older Driver&lt;/title&gt;&lt;/titles&gt;&lt;dates&gt;&lt;year&gt;2012&lt;/year&gt;&lt;/dates&gt;&lt;urls&gt;&lt;/urls&gt;&lt;/record&gt;&lt;/Cite&gt;&lt;/EndNote&gt;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8" w:tooltip="Administration, 2012 #73" w:history="1">
              <w:r w:rsidRPr="00796D55">
                <w:rPr>
                  <w:rFonts w:asciiTheme="majorBidi" w:hAnsiTheme="majorBidi" w:cstheme="majorBidi"/>
                  <w:noProof/>
                  <w:sz w:val="26"/>
                  <w:szCs w:val="26"/>
                </w:rPr>
                <w:t>8</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this study, using a review of scientific literature and with the cooperation of physicians and experts in this field, medical tools were prepared, which consisted of the following: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Office-based assessment of medical fitness for driving in the algorithm (PPODS)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A Battery Performance Assessment, Driving Related Skills Assessment (ADReS)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Terminology of terms to evaluate and observe the recommended methods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A handbook for patients and their families, including a self-assessment tool for driving safety, safety tips, driving options, and a resource sheet for concerned family members.</w:t>
            </w:r>
          </w:p>
          <w:p w:rsidR="00796D55" w:rsidRPr="00796D55" w:rsidRDefault="00796D55" w:rsidP="00796D55">
            <w:pPr>
              <w:bidi w:val="0"/>
              <w:spacing w:after="60" w:line="276" w:lineRule="auto"/>
              <w:jc w:val="both"/>
              <w:rPr>
                <w:rFonts w:asciiTheme="majorBidi" w:hAnsiTheme="majorBidi" w:cstheme="majorBidi"/>
                <w:b/>
                <w:bCs/>
                <w:sz w:val="26"/>
                <w:szCs w:val="26"/>
              </w:rPr>
            </w:pPr>
            <w:r w:rsidRPr="00796D55">
              <w:rPr>
                <w:rFonts w:asciiTheme="majorBidi" w:hAnsiTheme="majorBidi" w:cstheme="majorBidi"/>
                <w:b/>
                <w:bCs/>
                <w:sz w:val="26"/>
                <w:szCs w:val="26"/>
              </w:rPr>
              <w:t>Questions to ask to identify health risks:</w:t>
            </w:r>
          </w:p>
          <w:p w:rsidR="00796D55" w:rsidRPr="00796D55" w:rsidRDefault="00796D55" w:rsidP="00796D55">
            <w:pPr>
              <w:numPr>
                <w:ilvl w:val="0"/>
                <w:numId w:val="3"/>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How did you get here today? Do you drive?</w:t>
            </w:r>
          </w:p>
          <w:p w:rsidR="00796D55" w:rsidRPr="00796D55" w:rsidRDefault="00796D55" w:rsidP="00796D55">
            <w:pPr>
              <w:numPr>
                <w:ilvl w:val="0"/>
                <w:numId w:val="3"/>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Do you have a problem using the vehicle?</w:t>
            </w:r>
          </w:p>
          <w:p w:rsidR="00796D55" w:rsidRPr="00796D55" w:rsidRDefault="00796D55" w:rsidP="00796D55">
            <w:pPr>
              <w:numPr>
                <w:ilvl w:val="0"/>
                <w:numId w:val="3"/>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Do others complain about your driving?</w:t>
            </w:r>
          </w:p>
          <w:p w:rsidR="00796D55" w:rsidRPr="00796D55" w:rsidRDefault="00796D55" w:rsidP="00796D55">
            <w:pPr>
              <w:numPr>
                <w:ilvl w:val="0"/>
                <w:numId w:val="3"/>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What do you do if you have to stop driving?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If the patient states or the presence of red flags indicates a potential risk for unsafe driving, the next step is to ask the person whether he or she is driving.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To get a better diagnosis, your doctor can ask your patient questions about driving or a trusted source such as family members: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Safe driving from the point of view of the interviewee</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History of getting lost while driving</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History of violation or receiving a traffic alert in the last 2 years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Accident history or near-accident situation in the last 2 years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It is recommended that physicians inquire about the patient's mobility needs and encourage the patient to consider alternative modes of transportation before having to stop driving.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this regard, doctors ask the patient the following questions: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How do you usually go to different places?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If your car broke down forever, how could you go to different places?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Is there anyone who can take you to different places?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Can you use the train or public bus?</w:t>
            </w:r>
          </w:p>
          <w:p w:rsidR="00796D55" w:rsidRPr="00796D55" w:rsidRDefault="00796D55" w:rsidP="00796D55">
            <w:pPr>
              <w:bidi w:val="0"/>
              <w:spacing w:after="60" w:line="276" w:lineRule="auto"/>
              <w:jc w:val="both"/>
              <w:rPr>
                <w:rFonts w:asciiTheme="majorBidi" w:hAnsiTheme="majorBidi" w:cstheme="majorBidi"/>
                <w:sz w:val="26"/>
                <w:szCs w:val="26"/>
                <w:rtl/>
              </w:rPr>
            </w:pPr>
            <w:r w:rsidRPr="00796D55">
              <w:rPr>
                <w:rFonts w:asciiTheme="majorBidi" w:hAnsiTheme="majorBidi" w:cstheme="majorBidi"/>
                <w:sz w:val="26"/>
                <w:szCs w:val="26"/>
              </w:rPr>
              <w:t>5. Does your community provide shuttle or voluntary driving services?</w:t>
            </w:r>
          </w:p>
          <w:p w:rsidR="00796D55" w:rsidRPr="00796D55" w:rsidRDefault="00796D55" w:rsidP="00796D55">
            <w:pPr>
              <w:bidi w:val="0"/>
              <w:spacing w:after="60" w:line="276" w:lineRule="auto"/>
              <w:jc w:val="both"/>
              <w:rPr>
                <w:rFonts w:asciiTheme="majorBidi" w:hAnsiTheme="majorBidi" w:cstheme="majorBidi"/>
                <w:b/>
                <w:bCs/>
                <w:sz w:val="26"/>
                <w:szCs w:val="26"/>
              </w:rPr>
            </w:pPr>
            <w:r w:rsidRPr="00796D55">
              <w:rPr>
                <w:rFonts w:asciiTheme="majorBidi" w:hAnsiTheme="majorBidi" w:cstheme="majorBidi"/>
                <w:b/>
                <w:bCs/>
                <w:sz w:val="26"/>
                <w:szCs w:val="26"/>
              </w:rPr>
              <w:t>The process of assessing the safety of the elderly driver by physicians: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xml:space="preserve">In this program, in the first step, elderly drivers are initially screened and checked for red flags (such as medication, medical condition, etc.). Drivers are then divided into </w:t>
            </w:r>
            <w:r w:rsidRPr="00796D55">
              <w:rPr>
                <w:rFonts w:asciiTheme="majorBidi" w:hAnsiTheme="majorBidi" w:cstheme="majorBidi" w:hint="cs"/>
                <w:sz w:val="26"/>
                <w:szCs w:val="26"/>
                <w:rtl/>
              </w:rPr>
              <w:t>"</w:t>
            </w:r>
            <w:r w:rsidRPr="00796D55">
              <w:rPr>
                <w:rFonts w:asciiTheme="majorBidi" w:hAnsiTheme="majorBidi" w:cstheme="majorBidi"/>
                <w:sz w:val="26"/>
                <w:szCs w:val="26"/>
              </w:rPr>
              <w:t>At-Risk</w:t>
            </w:r>
            <w:r w:rsidRPr="00796D55">
              <w:rPr>
                <w:rFonts w:asciiTheme="majorBidi" w:hAnsiTheme="majorBidi" w:cstheme="majorBidi" w:hint="cs"/>
                <w:sz w:val="26"/>
                <w:szCs w:val="26"/>
                <w:rtl/>
              </w:rPr>
              <w:t>"</w:t>
            </w:r>
            <w:r w:rsidRPr="00796D55">
              <w:rPr>
                <w:rFonts w:asciiTheme="majorBidi" w:hAnsiTheme="majorBidi" w:cstheme="majorBidi"/>
                <w:sz w:val="26"/>
                <w:szCs w:val="26"/>
              </w:rPr>
              <w:t xml:space="preserve"> and </w:t>
            </w:r>
            <w:r w:rsidRPr="00796D55">
              <w:rPr>
                <w:rFonts w:asciiTheme="majorBidi" w:hAnsiTheme="majorBidi" w:cstheme="majorBidi" w:hint="cs"/>
                <w:sz w:val="26"/>
                <w:szCs w:val="26"/>
                <w:rtl/>
              </w:rPr>
              <w:t>"</w:t>
            </w:r>
            <w:r w:rsidRPr="00796D55">
              <w:rPr>
                <w:rFonts w:asciiTheme="majorBidi" w:hAnsiTheme="majorBidi" w:cstheme="majorBidi"/>
                <w:sz w:val="26"/>
                <w:szCs w:val="26"/>
              </w:rPr>
              <w:t>Not At Risk</w:t>
            </w:r>
            <w:r w:rsidRPr="00796D55">
              <w:rPr>
                <w:rFonts w:asciiTheme="majorBidi" w:hAnsiTheme="majorBidi" w:cstheme="majorBidi" w:hint="cs"/>
                <w:sz w:val="26"/>
                <w:szCs w:val="26"/>
                <w:rtl/>
              </w:rPr>
              <w:t>"</w:t>
            </w:r>
            <w:r w:rsidRPr="00796D55">
              <w:rPr>
                <w:rFonts w:asciiTheme="majorBidi" w:hAnsiTheme="majorBidi" w:cstheme="majorBidi"/>
                <w:sz w:val="26"/>
                <w:szCs w:val="26"/>
              </w:rPr>
              <w:t>. At-risk drivers are evaluated for formal performance and medical interventions and are assessed for driving skills, vision, perception, and sensory and motor skills. Drivers Not At Risk also receive age-appropriate tips from their doctor for better driving.</w:t>
            </w:r>
          </w:p>
        </w:tc>
      </w:tr>
      <w:tr w:rsidR="00796D55" w:rsidRPr="00796D55" w:rsidTr="00865FDF">
        <w:trPr>
          <w:trHeight w:val="526"/>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22</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Renew Your Driver Licence at Age 75 and Over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&lt;EndNote&gt;&lt;Cite&gt;&lt;Author&gt;AGENCY&lt;/Author&gt;&lt;Year&gt;2012&lt;/Year&gt;&lt;RecNum&gt;74&lt;/RecNum&gt;&lt;DisplayText&gt;(32)&lt;/DisplayText&gt;&lt;record&gt;&lt;rec-number&gt;74&lt;/rec-number&gt;&lt;foreign-keys&gt;&lt;key app="EN" db-id="rzfv0vtvv59dpie0vpqvv20f5wrxt5fstxst" timestamp="1598683107"&gt;74&lt;/key&gt;&lt;/foreign-keys&gt;&lt;ref-type name="Report"&gt;27&lt;/ref-type&gt;&lt;contributors&gt;&lt;authors&gt;&lt;author&gt;NZ TRANSPORT AGENCY&lt;/author&gt;&lt;/authors&gt;&lt;/contributors&gt;&lt;titles&gt;&lt;title&gt;Renew Your Driver Licence at Age 75 and Over&lt;/title&gt;&lt;/titles&gt;&lt;dates&gt;&lt;year&gt;2012&lt;/year&gt;&lt;/dates&gt;&lt;pub-location&gt;New Zealand Government  &lt;/pub-location&gt;&lt;urls&gt;&lt;/urls&gt;&lt;/record&gt;&lt;/Cite&gt;&lt;/EndNote&gt;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2" w:tooltip="AGENCY, 2012 #74" w:history="1">
              <w:r w:rsidRPr="00796D55">
                <w:rPr>
                  <w:rFonts w:asciiTheme="majorBidi" w:hAnsiTheme="majorBidi" w:cstheme="majorBidi"/>
                  <w:noProof/>
                  <w:sz w:val="26"/>
                  <w:szCs w:val="26"/>
                </w:rPr>
                <w:t>32</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b/>
                <w:bCs/>
                <w:sz w:val="26"/>
                <w:szCs w:val="26"/>
              </w:rPr>
            </w:pPr>
            <w:r w:rsidRPr="00796D55">
              <w:rPr>
                <w:rFonts w:asciiTheme="majorBidi" w:hAnsiTheme="majorBidi" w:cstheme="majorBidi"/>
                <w:b/>
                <w:bCs/>
                <w:sz w:val="26"/>
                <w:szCs w:val="26"/>
              </w:rPr>
              <w:t>The process of renewing a driver's license for drivers over 75 in New Zealand:</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Elderly drivers between the ages of 75, 80, and every two years thereafter should see their doctor for a medical certificate. During the doctor's examination, elderly drivers are classified into 5 categories as follows: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Drivers who are medically fit to drive.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Drivers who are medically fit to drive with special conditions.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Drivers who are medically fit to drive, provided they pass a road test.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Drivers who are medically fit to drive with the approval of a medical specialist.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5. Drivers who are not medically fit to drive.</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23</w:t>
            </w:r>
          </w:p>
        </w:tc>
        <w:tc>
          <w:tcPr>
            <w:tcW w:w="2013" w:type="dxa"/>
            <w:vAlign w:val="center"/>
          </w:tcPr>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Ontario Driver’s License Renewal Program Changes for Seniors Over 80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&lt;EndNote&gt;&lt;Cite&gt;&lt;Author&gt;Transportation&lt;/Author&gt;&lt;Year&gt;2014&lt;/Year&gt;&lt;RecNum&gt;26&lt;/RecNum&gt;&lt;DisplayText&gt;(30)&lt;/DisplayText&gt;&lt;record&gt;&lt;rec-number&gt;26&lt;/rec-number&gt;&lt;foreign-keys&gt;&lt;key app="EN" db-id="rzfv0vtvv59dpie0vpqvv20f5wrxt5fstxst" timestamp="1563619175"&gt;26&lt;/key&gt;&lt;/foreign-keys&gt;&lt;ref-type name="Report"&gt;27&lt;/ref-type&gt;&lt;contributors&gt;&lt;authors&gt;&lt;author&gt;Ministry of Transportation&lt;/author&gt;&lt;/authors&gt;&lt;/contributors&gt;&lt;titles&gt;&lt;title&gt;Ontario Driver’s License Renewal Program Changes for Seniors Over 80&lt;/title&gt;&lt;/titles&gt;&lt;dates&gt;&lt;year&gt;2014&lt;/year&gt;&lt;/dates&gt;&lt;pub-location&gt;Ministry of Transportation of Canada&lt;/pub-location&gt;&lt;urls&gt;&lt;related-urls&gt;&lt;url&gt;Ontario.ca/seniordriver&lt;/url&gt;&lt;/related-urls&gt;&lt;/urls&gt;&lt;language&gt;english&lt;/language&gt;&lt;/record&gt;&lt;/Cite&gt;&lt;/EndNote&gt;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0" w:tooltip="Transportation, 2014 #26" w:history="1">
              <w:r w:rsidRPr="00796D55">
                <w:rPr>
                  <w:rFonts w:asciiTheme="majorBidi" w:hAnsiTheme="majorBidi" w:cstheme="majorBidi"/>
                  <w:noProof/>
                  <w:sz w:val="26"/>
                  <w:szCs w:val="26"/>
                </w:rPr>
                <w:t>30</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Due to the increase in life expectancy in Canada to over 80 years, for this reason, the basis for extending the certification of the elderly is considered to be 80 years old.</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In Ontario, there is a mandatory training course for drivers over the age of 80 to renew their licenses.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new Ontario Certification Renewal Program includes a standard vision test, driving history review, class-based group training session, screening exercises, or pilot exercises.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Before the 2014 changes, the process for renewing a driver's license for older drivers over the age of 80 in Ontario included the following:</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Vision test</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Review of driving history</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Group training session</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Knowledge and awareness test</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 Practical driving test (if required)</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The above was done in 3.5 hours.</w:t>
            </w:r>
          </w:p>
        </w:tc>
      </w:tr>
      <w:tr w:rsidR="00796D55" w:rsidRPr="00796D55" w:rsidTr="00865FDF">
        <w:trPr>
          <w:trHeight w:val="482"/>
        </w:trPr>
        <w:tc>
          <w:tcPr>
            <w:tcW w:w="846" w:type="dxa"/>
            <w:vAlign w:val="center"/>
          </w:tcPr>
          <w:p w:rsidR="00796D55" w:rsidRPr="00796D55" w:rsidRDefault="00796D55" w:rsidP="00796D55">
            <w:pPr>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24</w:t>
            </w:r>
          </w:p>
        </w:tc>
        <w:tc>
          <w:tcPr>
            <w:tcW w:w="2013" w:type="dxa"/>
            <w:vAlign w:val="center"/>
          </w:tcPr>
          <w:p w:rsidR="00796D55" w:rsidRPr="00796D55" w:rsidRDefault="00796D55" w:rsidP="00796D55">
            <w:pPr>
              <w:autoSpaceDE w:val="0"/>
              <w:autoSpaceDN w:val="0"/>
              <w:bidi w:val="0"/>
              <w:adjustRightInd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Michigan’s Guide for</w:t>
            </w:r>
          </w:p>
          <w:p w:rsidR="00796D55" w:rsidRPr="00796D55" w:rsidRDefault="00796D55" w:rsidP="00796D55">
            <w:pPr>
              <w:bidi w:val="0"/>
              <w:spacing w:after="60" w:line="276" w:lineRule="auto"/>
              <w:jc w:val="center"/>
              <w:rPr>
                <w:rFonts w:asciiTheme="majorBidi" w:hAnsiTheme="majorBidi" w:cstheme="majorBidi"/>
                <w:sz w:val="26"/>
                <w:szCs w:val="26"/>
              </w:rPr>
            </w:pPr>
            <w:r w:rsidRPr="00796D55">
              <w:rPr>
                <w:rFonts w:asciiTheme="majorBidi" w:hAnsiTheme="majorBidi" w:cstheme="majorBidi"/>
                <w:sz w:val="26"/>
                <w:szCs w:val="26"/>
              </w:rPr>
              <w:t xml:space="preserve">Aging Drivers and Their Families </w:t>
            </w:r>
            <w:r w:rsidRPr="00796D55">
              <w:rPr>
                <w:rFonts w:asciiTheme="majorBidi" w:hAnsiTheme="majorBidi" w:cstheme="majorBidi"/>
                <w:sz w:val="26"/>
                <w:szCs w:val="26"/>
              </w:rPr>
              <w:fldChar w:fldCharType="begin"/>
            </w:r>
            <w:r w:rsidRPr="00796D55">
              <w:rPr>
                <w:rFonts w:asciiTheme="majorBidi" w:hAnsiTheme="majorBidi" w:cstheme="majorBidi"/>
                <w:sz w:val="26"/>
                <w:szCs w:val="26"/>
              </w:rPr>
              <w:instrText xml:space="preserve"> ADDIN EN.CITE &lt;EndNote&gt;&lt;Cite&gt;&lt;Author&gt;Transportation&lt;/Author&gt;&lt;Year&gt;2014&lt;/Year&gt;&lt;RecNum&gt;76&lt;/RecNum&gt;&lt;DisplayText&gt;(36)&lt;/DisplayText&gt;&lt;record&gt;&lt;rec-number&gt;76&lt;/rec-number&gt;&lt;foreign-keys&gt;&lt;key app="EN" db-id="rzfv0vtvv59dpie0vpqvv20f5wrxt5fstxst" timestamp="1598683314"&gt;76&lt;/key&gt;&lt;/foreign-keys&gt;&lt;ref-type name="Report"&gt;27&lt;/ref-type&gt;&lt;contributors&gt;&lt;authors&gt;&lt;author&gt;Michigan Office of Highway Safety Planning and the U.S. Department of Transportation&lt;/author&gt;&lt;/authors&gt;&lt;/contributors&gt;&lt;titles&gt;&lt;title&gt;Michigan’s Guide for Aging Drivers and Their Families&lt;/title&gt;&lt;/titles&gt;&lt;dates&gt;&lt;year&gt;2014&lt;/year&gt;&lt;/dates&gt;&lt;urls&gt;&lt;/urls&gt;&lt;/record&gt;&lt;/Cite&gt;&lt;/EndNote&gt;</w:instrText>
            </w:r>
            <w:r w:rsidRPr="00796D55">
              <w:rPr>
                <w:rFonts w:asciiTheme="majorBidi" w:hAnsiTheme="majorBidi" w:cstheme="majorBidi"/>
                <w:sz w:val="26"/>
                <w:szCs w:val="26"/>
              </w:rPr>
              <w:fldChar w:fldCharType="separate"/>
            </w:r>
            <w:r w:rsidRPr="00796D55">
              <w:rPr>
                <w:rFonts w:asciiTheme="majorBidi" w:hAnsiTheme="majorBidi" w:cstheme="majorBidi"/>
                <w:noProof/>
                <w:sz w:val="26"/>
                <w:szCs w:val="26"/>
              </w:rPr>
              <w:t>(</w:t>
            </w:r>
            <w:hyperlink w:anchor="_ENREF_36" w:tooltip="Transportation, 2014 #76" w:history="1">
              <w:r w:rsidRPr="00796D55">
                <w:rPr>
                  <w:rFonts w:asciiTheme="majorBidi" w:hAnsiTheme="majorBidi" w:cstheme="majorBidi"/>
                  <w:noProof/>
                  <w:sz w:val="26"/>
                  <w:szCs w:val="26"/>
                </w:rPr>
                <w:t>36</w:t>
              </w:r>
            </w:hyperlink>
            <w:r w:rsidRPr="00796D55">
              <w:rPr>
                <w:rFonts w:asciiTheme="majorBidi" w:hAnsiTheme="majorBidi" w:cstheme="majorBidi"/>
                <w:noProof/>
                <w:sz w:val="26"/>
                <w:szCs w:val="26"/>
              </w:rPr>
              <w:t>)</w:t>
            </w:r>
            <w:r w:rsidRPr="00796D55">
              <w:rPr>
                <w:rFonts w:asciiTheme="majorBidi" w:hAnsiTheme="majorBidi" w:cstheme="majorBidi"/>
                <w:sz w:val="26"/>
                <w:szCs w:val="26"/>
              </w:rPr>
              <w:fldChar w:fldCharType="end"/>
            </w:r>
            <w:r w:rsidRPr="00796D55">
              <w:rPr>
                <w:rFonts w:asciiTheme="majorBidi" w:hAnsiTheme="majorBidi" w:cstheme="majorBidi"/>
                <w:sz w:val="26"/>
                <w:szCs w:val="26"/>
              </w:rPr>
              <w:t>.</w:t>
            </w:r>
          </w:p>
        </w:tc>
        <w:tc>
          <w:tcPr>
            <w:tcW w:w="12351" w:type="dxa"/>
            <w:vAlign w:val="center"/>
          </w:tcPr>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Here are some tips for people who want to limit their driving through self-regulation: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1. Driving during the day (if you do not have good vision at night.)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2. Driving in good weather conditions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3. Avoid driving during rush hour and heavy traffic</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4. Avoid driving in speed line on highways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5. Avoid driving in unfamiliar places</w:t>
            </w:r>
            <w:r w:rsidRPr="00796D55">
              <w:rPr>
                <w:rFonts w:asciiTheme="majorBidi" w:hAnsiTheme="majorBidi" w:cstheme="majorBidi" w:hint="cs"/>
                <w:sz w:val="26"/>
                <w:szCs w:val="26"/>
                <w:rtl/>
              </w:rPr>
              <w:t>.</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Leading countries in supporting older drivers Handbooks as a guide to designing a safe highway for the elderly (such as six-inch paving signs, reflective screens on traffic signs, 40-foot-long floor reflectors and larger letters They have been developed on the direction indicator signs that make older drivers feel more comfortable while driving. In the US state of Michigan, the organization designs the vehicle to keep the elderly driver safe and comfortable, between the person and the vehicle.</w:t>
            </w:r>
          </w:p>
          <w:p w:rsidR="00796D55" w:rsidRPr="00796D55" w:rsidRDefault="00796D55" w:rsidP="00796D55">
            <w:pPr>
              <w:bidi w:val="0"/>
              <w:spacing w:after="60" w:line="276" w:lineRule="auto"/>
              <w:jc w:val="both"/>
              <w:rPr>
                <w:rFonts w:asciiTheme="majorBidi" w:hAnsiTheme="majorBidi" w:cstheme="majorBidi"/>
                <w:b/>
                <w:bCs/>
                <w:sz w:val="26"/>
                <w:szCs w:val="26"/>
              </w:rPr>
            </w:pPr>
            <w:r w:rsidRPr="00796D55">
              <w:rPr>
                <w:rFonts w:asciiTheme="majorBidi" w:hAnsiTheme="majorBidi" w:cstheme="majorBidi"/>
                <w:b/>
                <w:bCs/>
                <w:sz w:val="26"/>
                <w:szCs w:val="26"/>
              </w:rPr>
              <w:t>Levels of self-regulation: 1-Strategic   2-Tactical   3-Life-Goal</w:t>
            </w:r>
          </w:p>
          <w:p w:rsidR="00796D55" w:rsidRPr="00796D55" w:rsidRDefault="00796D55" w:rsidP="00796D55">
            <w:pPr>
              <w:numPr>
                <w:ilvl w:val="0"/>
                <w:numId w:val="4"/>
              </w:numPr>
              <w:bidi w:val="0"/>
              <w:spacing w:after="60" w:line="276" w:lineRule="auto"/>
              <w:contextualSpacing/>
              <w:jc w:val="both"/>
              <w:rPr>
                <w:rFonts w:asciiTheme="majorBidi" w:eastAsia="Calibri" w:hAnsiTheme="majorBidi" w:cstheme="majorBidi"/>
                <w:sz w:val="26"/>
                <w:szCs w:val="26"/>
                <w:rtl/>
              </w:rPr>
            </w:pPr>
            <w:r w:rsidRPr="00796D55">
              <w:rPr>
                <w:rFonts w:asciiTheme="majorBidi" w:eastAsia="Calibri" w:hAnsiTheme="majorBidi" w:cstheme="majorBidi"/>
                <w:b/>
                <w:bCs/>
                <w:sz w:val="26"/>
                <w:szCs w:val="26"/>
              </w:rPr>
              <w:t>Strategic:</w:t>
            </w:r>
            <w:r w:rsidRPr="00796D55">
              <w:rPr>
                <w:rFonts w:asciiTheme="majorBidi" w:eastAsia="Calibri" w:hAnsiTheme="majorBidi" w:cstheme="majorBidi"/>
                <w:sz w:val="26"/>
                <w:szCs w:val="26"/>
              </w:rPr>
              <w:t xml:space="preserve"> Decisions that drivers make before starting the trip. Such as deciding not to travel, avoiding certain driving conditions (driving at night, heavy traffic, freeways, and challenging situations).</w:t>
            </w:r>
          </w:p>
          <w:p w:rsidR="00796D55" w:rsidRPr="00796D55" w:rsidRDefault="00796D55" w:rsidP="00796D55">
            <w:pPr>
              <w:numPr>
                <w:ilvl w:val="0"/>
                <w:numId w:val="4"/>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Tactical:</w:t>
            </w:r>
            <w:r w:rsidRPr="00796D55">
              <w:rPr>
                <w:rFonts w:asciiTheme="majorBidi" w:eastAsia="Calibri" w:hAnsiTheme="majorBidi" w:cstheme="majorBidi"/>
                <w:sz w:val="26"/>
                <w:szCs w:val="26"/>
              </w:rPr>
              <w:t xml:space="preserve"> Includes things that drivers get involved with while on the road. Like maneuvering in traffic, avoiding distractions inside the car is often referred to as a secondary task or activity. Such as using the radio, grooming, eating, talking on a cell phone, or texting.</w:t>
            </w:r>
          </w:p>
          <w:p w:rsidR="00796D55" w:rsidRPr="00796D55" w:rsidRDefault="00796D55" w:rsidP="00796D55">
            <w:pPr>
              <w:numPr>
                <w:ilvl w:val="0"/>
                <w:numId w:val="4"/>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Life-Goal:</w:t>
            </w:r>
            <w:r w:rsidRPr="00796D55">
              <w:rPr>
                <w:rFonts w:asciiTheme="majorBidi" w:eastAsia="Calibri" w:hAnsiTheme="majorBidi" w:cstheme="majorBidi"/>
                <w:sz w:val="26"/>
                <w:szCs w:val="26"/>
              </w:rPr>
              <w:t xml:space="preserve"> In this case, we are faced with bigger decisions, including where we should live, or what type of car to choose for driving, and car safety is often considered in decision making. These larger decisions affect a person's driving more indirectly than the previous two.</w:t>
            </w:r>
          </w:p>
          <w:p w:rsidR="00796D55" w:rsidRPr="00796D55" w:rsidRDefault="00796D55" w:rsidP="00796D55">
            <w:pPr>
              <w:bidi w:val="0"/>
              <w:spacing w:after="60" w:line="276" w:lineRule="auto"/>
              <w:jc w:val="both"/>
              <w:rPr>
                <w:rFonts w:asciiTheme="majorBidi" w:hAnsiTheme="majorBidi" w:cstheme="majorBidi"/>
                <w:b/>
                <w:bCs/>
                <w:sz w:val="26"/>
                <w:szCs w:val="26"/>
                <w:rtl/>
              </w:rPr>
            </w:pPr>
            <w:r w:rsidRPr="00796D55">
              <w:rPr>
                <w:rFonts w:asciiTheme="majorBidi" w:hAnsiTheme="majorBidi" w:cstheme="majorBidi"/>
                <w:b/>
                <w:bCs/>
                <w:sz w:val="26"/>
                <w:szCs w:val="26"/>
              </w:rPr>
              <w:t>Factors related to self-regulation:</w:t>
            </w:r>
          </w:p>
          <w:p w:rsidR="00796D55" w:rsidRPr="00796D55" w:rsidRDefault="00796D55" w:rsidP="00796D55">
            <w:pPr>
              <w:bidi w:val="0"/>
              <w:spacing w:after="60" w:line="276" w:lineRule="auto"/>
              <w:jc w:val="both"/>
              <w:rPr>
                <w:rFonts w:asciiTheme="majorBidi" w:hAnsiTheme="majorBidi" w:cstheme="majorBidi"/>
                <w:b/>
                <w:bCs/>
                <w:sz w:val="26"/>
                <w:szCs w:val="26"/>
              </w:rPr>
            </w:pPr>
            <w:r w:rsidRPr="00796D55">
              <w:rPr>
                <w:rFonts w:asciiTheme="majorBidi" w:hAnsiTheme="majorBidi" w:cstheme="majorBidi"/>
                <w:b/>
                <w:bCs/>
                <w:sz w:val="26"/>
                <w:szCs w:val="26"/>
              </w:rPr>
              <w:t>1- Sociological factors:</w:t>
            </w:r>
          </w:p>
          <w:p w:rsidR="00796D55" w:rsidRPr="00796D55" w:rsidRDefault="00796D55" w:rsidP="00796D55">
            <w:pPr>
              <w:numPr>
                <w:ilvl w:val="0"/>
                <w:numId w:val="5"/>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Gender: Older women adjust their driving more than older men.</w:t>
            </w:r>
          </w:p>
          <w:p w:rsidR="00796D55" w:rsidRPr="00796D55" w:rsidRDefault="00796D55" w:rsidP="00796D55">
            <w:pPr>
              <w:numPr>
                <w:ilvl w:val="0"/>
                <w:numId w:val="5"/>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Age: Studies have shown different results.</w:t>
            </w:r>
          </w:p>
          <w:p w:rsidR="00796D55" w:rsidRPr="00796D55" w:rsidRDefault="00796D55" w:rsidP="00796D55">
            <w:pPr>
              <w:numPr>
                <w:ilvl w:val="0"/>
                <w:numId w:val="5"/>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Family/living environment composition: Studies have shown different results.</w:t>
            </w:r>
          </w:p>
          <w:p w:rsidR="00796D55" w:rsidRPr="00796D55" w:rsidRDefault="00796D55" w:rsidP="00796D55">
            <w:pPr>
              <w:numPr>
                <w:ilvl w:val="0"/>
                <w:numId w:val="5"/>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sz w:val="26"/>
                <w:szCs w:val="26"/>
              </w:rPr>
              <w:t>Other personal factors: such as a negative attitude towards driving, poor sense of direction, and income.</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b/>
                <w:bCs/>
                <w:sz w:val="26"/>
                <w:szCs w:val="26"/>
              </w:rPr>
              <w:t>2- Health and functional factors:</w:t>
            </w:r>
            <w:r w:rsidRPr="00796D55">
              <w:rPr>
                <w:rFonts w:asciiTheme="majorBidi" w:hAnsiTheme="majorBidi" w:cstheme="majorBidi"/>
                <w:sz w:val="26"/>
                <w:szCs w:val="26"/>
              </w:rPr>
              <w:t xml:space="preserve"> These factors can be affected by chronic medical conditions such as cardiovascular disease, dementia, arthritis, diabetes, stroke, etc. One of the reasons for the complex impact of medical conditions on driving is that the drugs used to treat various medical conditions affect not only the disease and its symptoms but also the person's driving.</w:t>
            </w:r>
          </w:p>
          <w:p w:rsidR="00796D55" w:rsidRPr="00796D55" w:rsidRDefault="00796D55" w:rsidP="00796D55">
            <w:pPr>
              <w:numPr>
                <w:ilvl w:val="0"/>
                <w:numId w:val="6"/>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Visual Impairment:</w:t>
            </w:r>
            <w:r w:rsidRPr="00796D55">
              <w:rPr>
                <w:rFonts w:asciiTheme="majorBidi" w:eastAsia="Calibri" w:hAnsiTheme="majorBidi" w:cstheme="majorBidi"/>
                <w:sz w:val="26"/>
                <w:szCs w:val="26"/>
              </w:rPr>
              <w:t xml:space="preserve"> Findings from several studies show a link between visual impairment and increased self-regulation.</w:t>
            </w:r>
          </w:p>
          <w:p w:rsidR="00796D55" w:rsidRPr="00796D55" w:rsidRDefault="00796D55" w:rsidP="00796D55">
            <w:pPr>
              <w:numPr>
                <w:ilvl w:val="0"/>
                <w:numId w:val="6"/>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Psychomotor Disorders:</w:t>
            </w:r>
            <w:r w:rsidRPr="00796D55">
              <w:rPr>
                <w:rFonts w:asciiTheme="majorBidi" w:eastAsia="Calibri" w:hAnsiTheme="majorBidi" w:cstheme="majorBidi"/>
                <w:sz w:val="26"/>
                <w:szCs w:val="26"/>
              </w:rPr>
              <w:t xml:space="preserve"> A study in the United States examined changes in driving self-regulation over a three-year period in three US states, in which researchers used three measurements of the capacity to perform certain activities, such as rotation. They assessed going up or down the stairs or going down the stairs.</w:t>
            </w:r>
          </w:p>
          <w:p w:rsidR="00796D55" w:rsidRPr="00796D55" w:rsidRDefault="00796D55" w:rsidP="00796D55">
            <w:pPr>
              <w:numPr>
                <w:ilvl w:val="0"/>
                <w:numId w:val="6"/>
              </w:numPr>
              <w:bidi w:val="0"/>
              <w:spacing w:after="60" w:line="276" w:lineRule="auto"/>
              <w:contextualSpacing/>
              <w:jc w:val="both"/>
              <w:rPr>
                <w:rFonts w:asciiTheme="majorBidi" w:eastAsia="Calibri" w:hAnsiTheme="majorBidi" w:cstheme="majorBidi"/>
                <w:sz w:val="26"/>
                <w:szCs w:val="26"/>
              </w:rPr>
            </w:pPr>
            <w:r w:rsidRPr="00796D55">
              <w:rPr>
                <w:rFonts w:asciiTheme="majorBidi" w:eastAsia="Calibri" w:hAnsiTheme="majorBidi" w:cstheme="majorBidi"/>
                <w:b/>
                <w:bCs/>
                <w:sz w:val="26"/>
                <w:szCs w:val="26"/>
              </w:rPr>
              <w:t>Cognitive impairment:</w:t>
            </w:r>
            <w:r w:rsidRPr="00796D55">
              <w:rPr>
                <w:rFonts w:asciiTheme="majorBidi" w:eastAsia="Calibri" w:hAnsiTheme="majorBidi" w:cstheme="majorBidi"/>
                <w:sz w:val="26"/>
                <w:szCs w:val="26"/>
              </w:rPr>
              <w:t xml:space="preserve"> Studies have shown that many drivers with cognitive impairments, such as dementia, actually limit their driving or stop driving altogether within a few years.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b/>
                <w:bCs/>
                <w:sz w:val="26"/>
                <w:szCs w:val="26"/>
              </w:rPr>
              <w:t>3- Awareness and insight:</w:t>
            </w:r>
            <w:r w:rsidRPr="00796D55">
              <w:rPr>
                <w:rFonts w:asciiTheme="majorBidi" w:hAnsiTheme="majorBidi" w:cstheme="majorBidi"/>
                <w:sz w:val="26"/>
                <w:szCs w:val="26"/>
              </w:rPr>
              <w:t xml:space="preserve"> Awareness and insight of performance reduction is the first necessary step in self-regulation. Researchers have concluded that self-monitoring of performance and driving capacity is essential for safety control, and lack of insight may be a risk factor for poor driving performance and the risk of accidents.</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b/>
                <w:bCs/>
                <w:sz w:val="26"/>
                <w:szCs w:val="26"/>
              </w:rPr>
              <w:t>4- Self-confidence and driving comfort:</w:t>
            </w:r>
            <w:r w:rsidRPr="00796D55">
              <w:rPr>
                <w:rFonts w:asciiTheme="majorBidi" w:hAnsiTheme="majorBidi" w:cstheme="majorBidi"/>
                <w:sz w:val="26"/>
                <w:szCs w:val="26"/>
              </w:rPr>
              <w:t xml:space="preserve"> Discomfort caused by driving is an indirect self-monitoring of the ability to drive. Studies have shown that driving discomfort may have direct and indirect effects on self-regulation. Findings from previous studies suggest that driving confidence is associated with cognitive function.</w:t>
            </w:r>
          </w:p>
          <w:p w:rsidR="00796D55" w:rsidRPr="00796D55" w:rsidRDefault="00796D55" w:rsidP="00796D55">
            <w:pPr>
              <w:bidi w:val="0"/>
              <w:spacing w:after="60" w:line="276" w:lineRule="auto"/>
              <w:jc w:val="both"/>
              <w:rPr>
                <w:rFonts w:asciiTheme="majorBidi" w:hAnsiTheme="majorBidi" w:cstheme="majorBidi"/>
                <w:sz w:val="26"/>
                <w:szCs w:val="26"/>
              </w:rPr>
            </w:pPr>
            <w:r w:rsidRPr="00796D55">
              <w:rPr>
                <w:rFonts w:asciiTheme="majorBidi" w:hAnsiTheme="majorBidi" w:cstheme="majorBidi"/>
                <w:sz w:val="26"/>
                <w:szCs w:val="26"/>
              </w:rPr>
              <w:t>Creating barriers and self-regulatory factors: There are several social and environmental factors that can potentially activate or inhibit the self-regulatory functions of older drivers. For example, family, friends, and others can play an important role in helping older drivers make driving decisions by talking to them about their concerns.</w:t>
            </w:r>
          </w:p>
        </w:tc>
      </w:tr>
    </w:tbl>
    <w:p w:rsidR="00796D55" w:rsidRDefault="00796D55" w:rsidP="001752FE"/>
    <w:sectPr w:rsidR="00796D55" w:rsidSect="001752FE">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7092" w:rsidRDefault="00987092" w:rsidP="001752FE">
      <w:pPr>
        <w:spacing w:after="0"/>
      </w:pPr>
      <w:r>
        <w:separator/>
      </w:r>
    </w:p>
  </w:endnote>
  <w:endnote w:type="continuationSeparator" w:id="0">
    <w:p w:rsidR="00987092" w:rsidRDefault="00987092" w:rsidP="001752F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Koodak">
    <w:panose1 w:val="00000700000000000000"/>
    <w:charset w:val="B2"/>
    <w:family w:val="auto"/>
    <w:pitch w:val="variable"/>
    <w:sig w:usb0="00002000" w:usb1="80000000" w:usb2="00000008" w:usb3="00000000" w:csb0="0000004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7092" w:rsidRDefault="00987092" w:rsidP="001752FE">
      <w:pPr>
        <w:spacing w:after="0"/>
      </w:pPr>
      <w:r>
        <w:separator/>
      </w:r>
    </w:p>
  </w:footnote>
  <w:footnote w:type="continuationSeparator" w:id="0">
    <w:p w:rsidR="00987092" w:rsidRDefault="00987092" w:rsidP="001752FE">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26C1D"/>
    <w:multiLevelType w:val="hybridMultilevel"/>
    <w:tmpl w:val="A810F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07E8A"/>
    <w:multiLevelType w:val="hybridMultilevel"/>
    <w:tmpl w:val="8660B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655637"/>
    <w:multiLevelType w:val="hybridMultilevel"/>
    <w:tmpl w:val="72FEF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7F4C9A"/>
    <w:multiLevelType w:val="hybridMultilevel"/>
    <w:tmpl w:val="288A9258"/>
    <w:lvl w:ilvl="0" w:tplc="E020BCC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D3623E"/>
    <w:multiLevelType w:val="hybridMultilevel"/>
    <w:tmpl w:val="80D020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1595AC5"/>
    <w:multiLevelType w:val="hybridMultilevel"/>
    <w:tmpl w:val="69E60112"/>
    <w:lvl w:ilvl="0" w:tplc="01800C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959"/>
    <w:rsid w:val="00066D14"/>
    <w:rsid w:val="001752FE"/>
    <w:rsid w:val="00192C46"/>
    <w:rsid w:val="001F5FC3"/>
    <w:rsid w:val="00203C06"/>
    <w:rsid w:val="00204B17"/>
    <w:rsid w:val="0024529B"/>
    <w:rsid w:val="002C1959"/>
    <w:rsid w:val="002F39CC"/>
    <w:rsid w:val="003207CA"/>
    <w:rsid w:val="0034779D"/>
    <w:rsid w:val="0043584D"/>
    <w:rsid w:val="004B5159"/>
    <w:rsid w:val="00507E82"/>
    <w:rsid w:val="00796D55"/>
    <w:rsid w:val="007A0673"/>
    <w:rsid w:val="00865FDF"/>
    <w:rsid w:val="008F740E"/>
    <w:rsid w:val="00953376"/>
    <w:rsid w:val="00987092"/>
    <w:rsid w:val="009B4487"/>
    <w:rsid w:val="00D0698E"/>
    <w:rsid w:val="00EC4A56"/>
    <w:rsid w:val="00F769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8105C"/>
  <w15:chartTrackingRefBased/>
  <w15:docId w15:val="{3531483C-D7D4-4FEF-A117-D0E4DEEBB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480"/>
        <w:jc w:val="center"/>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752FE"/>
    <w:pPr>
      <w:keepNext/>
      <w:bidi/>
      <w:spacing w:after="0"/>
      <w:jc w:val="right"/>
      <w:outlineLvl w:val="0"/>
    </w:pPr>
    <w:rPr>
      <w:rFonts w:ascii="Times New Roman" w:eastAsia="Times New Roman" w:hAnsi="Times New Roman" w:cs="Koodak"/>
      <w:b/>
      <w:noProof/>
      <w:sz w:val="2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752FE"/>
    <w:rPr>
      <w:rFonts w:ascii="Times New Roman" w:eastAsia="Times New Roman" w:hAnsi="Times New Roman" w:cs="Koodak"/>
      <w:b/>
      <w:noProof/>
      <w:sz w:val="28"/>
      <w:szCs w:val="48"/>
    </w:rPr>
  </w:style>
  <w:style w:type="paragraph" w:styleId="Header">
    <w:name w:val="header"/>
    <w:basedOn w:val="Normal"/>
    <w:link w:val="HeaderChar"/>
    <w:uiPriority w:val="99"/>
    <w:unhideWhenUsed/>
    <w:rsid w:val="001752FE"/>
    <w:pPr>
      <w:tabs>
        <w:tab w:val="center" w:pos="4680"/>
        <w:tab w:val="right" w:pos="9360"/>
      </w:tabs>
      <w:spacing w:after="0"/>
    </w:pPr>
  </w:style>
  <w:style w:type="character" w:customStyle="1" w:styleId="HeaderChar">
    <w:name w:val="Header Char"/>
    <w:basedOn w:val="DefaultParagraphFont"/>
    <w:link w:val="Header"/>
    <w:uiPriority w:val="99"/>
    <w:rsid w:val="001752FE"/>
  </w:style>
  <w:style w:type="paragraph" w:styleId="Footer">
    <w:name w:val="footer"/>
    <w:basedOn w:val="Normal"/>
    <w:link w:val="FooterChar"/>
    <w:uiPriority w:val="99"/>
    <w:unhideWhenUsed/>
    <w:rsid w:val="001752FE"/>
    <w:pPr>
      <w:tabs>
        <w:tab w:val="center" w:pos="4680"/>
        <w:tab w:val="right" w:pos="9360"/>
      </w:tabs>
      <w:spacing w:after="0"/>
    </w:pPr>
  </w:style>
  <w:style w:type="character" w:customStyle="1" w:styleId="FooterChar">
    <w:name w:val="Footer Char"/>
    <w:basedOn w:val="DefaultParagraphFont"/>
    <w:link w:val="Footer"/>
    <w:uiPriority w:val="99"/>
    <w:rsid w:val="001752FE"/>
  </w:style>
  <w:style w:type="table" w:customStyle="1" w:styleId="TableGrid3">
    <w:name w:val="Table Grid3"/>
    <w:basedOn w:val="TableNormal"/>
    <w:next w:val="TableGrid"/>
    <w:uiPriority w:val="39"/>
    <w:rsid w:val="001752F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752F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1752FE"/>
    <w:pPr>
      <w:spacing w:after="0"/>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96D55"/>
    <w:pPr>
      <w:bidi/>
      <w:spacing w:after="0"/>
      <w:jc w:val="lef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96D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13</Pages>
  <Words>5365</Words>
  <Characters>30585</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salar mohammaddokht</dc:creator>
  <cp:keywords/>
  <dc:description/>
  <cp:lastModifiedBy>salar mohammaddokht</cp:lastModifiedBy>
  <cp:revision>7</cp:revision>
  <dcterms:created xsi:type="dcterms:W3CDTF">2021-01-17T19:35:00Z</dcterms:created>
  <dcterms:modified xsi:type="dcterms:W3CDTF">2021-01-19T20:40:00Z</dcterms:modified>
</cp:coreProperties>
</file>