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F1D" w:rsidRDefault="00A47F1D" w:rsidP="00A47F1D">
      <w:pPr>
        <w:rPr>
          <w:rFonts w:ascii="Times New Roman" w:eastAsia="Times New Roman" w:hAnsi="Times New Roman" w:cs="Times New Roman"/>
          <w:i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i/>
        </w:rPr>
        <w:t>Supplementary Data</w:t>
      </w:r>
    </w:p>
    <w:p w:rsidR="00A47F1D" w:rsidRDefault="00A47F1D" w:rsidP="00A47F1D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noProof/>
          <w:lang w:val="fr-FR"/>
        </w:rPr>
        <w:drawing>
          <wp:inline distT="0" distB="0" distL="0" distR="0" wp14:anchorId="25BA97F2" wp14:editId="0263E0C8">
            <wp:extent cx="6275705" cy="3773805"/>
            <wp:effectExtent l="0" t="0" r="0" b="0"/>
            <wp:docPr id="6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888" b="506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705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F1D" w:rsidRDefault="00A47F1D" w:rsidP="00A47F1D">
      <w:pPr>
        <w:pStyle w:val="NormalWeb"/>
        <w:spacing w:before="280" w:after="280"/>
        <w:jc w:val="both"/>
      </w:pPr>
      <w:r>
        <w:rPr>
          <w:i/>
          <w:lang w:val="en-US"/>
        </w:rPr>
        <w:t>Figure S1. . Comparison between the fraction of on-target reads for Illumina’s Resv 1 panel ( A) and Illumina’s Resv 2 panel (B).</w:t>
      </w:r>
    </w:p>
    <w:p w:rsidR="00A47F1D" w:rsidRDefault="00A47F1D" w:rsidP="00A47F1D">
      <w:pPr>
        <w:spacing w:before="240"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  <w:lang w:val="fr-FR"/>
        </w:rPr>
        <w:lastRenderedPageBreak/>
        <w:drawing>
          <wp:inline distT="0" distB="0" distL="0" distR="0" wp14:anchorId="4CB2FF2B" wp14:editId="09F3FC67">
            <wp:extent cx="4477385" cy="7743190"/>
            <wp:effectExtent l="0" t="0" r="0" b="0"/>
            <wp:docPr id="7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382" t="3670" r="13786" b="7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385" cy="774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F1D" w:rsidRDefault="00A47F1D" w:rsidP="00A47F1D">
      <w:pPr>
        <w:pStyle w:val="NormalWeb"/>
        <w:spacing w:before="280" w:after="280"/>
        <w:jc w:val="both"/>
        <w:rPr>
          <w:lang w:val="en-US"/>
        </w:rPr>
      </w:pPr>
      <w:r>
        <w:rPr>
          <w:i/>
          <w:lang w:val="en-US"/>
        </w:rPr>
        <w:t xml:space="preserve">Figure S2. Correlation between reads from groups A-C samples (A-C), captured with the Twist SARS-CoV-2 in orange, Illumina Resv2 in blue and Arbor Biosciences SARS-CoV-2 in green. </w:t>
      </w:r>
    </w:p>
    <w:p w:rsidR="00A47F1D" w:rsidRDefault="00A47F1D" w:rsidP="00A47F1D">
      <w:pPr>
        <w:spacing w:before="240" w:line="480" w:lineRule="auto"/>
        <w:jc w:val="center"/>
        <w:rPr>
          <w:rFonts w:ascii="Times New Roman" w:eastAsia="Times New Roman" w:hAnsi="Times New Roman" w:cs="Times New Roman"/>
          <w:i/>
        </w:rPr>
      </w:pPr>
      <w:r>
        <w:rPr>
          <w:noProof/>
          <w:lang w:val="fr-FR"/>
        </w:rPr>
        <w:lastRenderedPageBreak/>
        <w:drawing>
          <wp:inline distT="0" distB="0" distL="0" distR="0" wp14:anchorId="7026B57C" wp14:editId="180D4D7C">
            <wp:extent cx="6275705" cy="5552440"/>
            <wp:effectExtent l="0" t="0" r="0" b="0"/>
            <wp:docPr id="8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2460" b="24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705" cy="555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F1D" w:rsidRDefault="00A47F1D" w:rsidP="00A47F1D">
      <w:pPr>
        <w:pStyle w:val="NormalWeb"/>
        <w:spacing w:before="280" w:after="280"/>
        <w:jc w:val="both"/>
        <w:rPr>
          <w:i/>
          <w:lang w:val="en-US"/>
        </w:rPr>
        <w:sectPr w:rsidR="00A47F1D">
          <w:footerReference w:type="default" r:id="rId7"/>
          <w:pgSz w:w="11906" w:h="16838"/>
          <w:pgMar w:top="1417" w:right="600" w:bottom="1417" w:left="1417" w:header="0" w:footer="708" w:gutter="0"/>
          <w:pgNumType w:start="1"/>
          <w:cols w:space="720"/>
          <w:formProt w:val="0"/>
          <w:docGrid w:linePitch="326"/>
        </w:sectPr>
      </w:pPr>
      <w:r>
        <w:rPr>
          <w:i/>
          <w:lang w:val="en-US"/>
        </w:rPr>
        <w:t>Figure S3. Comparison between the fraction of on-target reads for SARS-CoV-2-only panels in single or double capture. (A) Arbor single capture. (B) Arbor double capture. (C) Twist SARS-CoV-2.</w:t>
      </w:r>
    </w:p>
    <w:p w:rsidR="00A47F1D" w:rsidRDefault="00A47F1D" w:rsidP="00A47F1D">
      <w:pPr>
        <w:pStyle w:val="NormalWeb"/>
        <w:spacing w:before="280" w:after="280"/>
        <w:jc w:val="both"/>
        <w:rPr>
          <w:lang w:val="en-US"/>
        </w:rPr>
      </w:pPr>
    </w:p>
    <w:tbl>
      <w:tblPr>
        <w:tblW w:w="11920" w:type="dxa"/>
        <w:tblInd w:w="-10" w:type="dxa"/>
        <w:tblLayout w:type="fixed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"/>
        <w:gridCol w:w="721"/>
        <w:gridCol w:w="862"/>
        <w:gridCol w:w="858"/>
        <w:gridCol w:w="862"/>
        <w:gridCol w:w="858"/>
        <w:gridCol w:w="862"/>
        <w:gridCol w:w="858"/>
        <w:gridCol w:w="862"/>
        <w:gridCol w:w="858"/>
        <w:gridCol w:w="861"/>
        <w:gridCol w:w="859"/>
        <w:gridCol w:w="861"/>
        <w:gridCol w:w="859"/>
      </w:tblGrid>
      <w:tr w:rsidR="00A47F1D" w:rsidTr="00B2757E">
        <w:trPr>
          <w:trHeight w:val="320"/>
        </w:trPr>
        <w:tc>
          <w:tcPr>
            <w:tcW w:w="87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4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Arbor SARS-CoV-2 Panel (1x capture)</w:t>
            </w:r>
          </w:p>
        </w:tc>
        <w:tc>
          <w:tcPr>
            <w:tcW w:w="3440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Arbor SARS-CoV-2 Panel (2x capture)</w:t>
            </w:r>
          </w:p>
        </w:tc>
        <w:tc>
          <w:tcPr>
            <w:tcW w:w="3440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Twist SARS CoV-2 Panel</w:t>
            </w:r>
          </w:p>
        </w:tc>
      </w:tr>
      <w:tr w:rsidR="00A47F1D" w:rsidTr="00B2757E">
        <w:trPr>
          <w:trHeight w:val="751"/>
        </w:trPr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72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Reads (M)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Map   (%)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BOC 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DOC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Reads (M)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Map   (%)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BOC 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DOC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Reads (M)</w:t>
            </w:r>
          </w:p>
        </w:tc>
        <w:tc>
          <w:tcPr>
            <w:tcW w:w="859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Map   (%)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BOC </w:t>
            </w:r>
          </w:p>
        </w:tc>
        <w:tc>
          <w:tcPr>
            <w:tcW w:w="859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DOC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4885</w:t>
            </w:r>
          </w:p>
        </w:tc>
        <w:tc>
          <w:tcPr>
            <w:tcW w:w="721" w:type="dxa"/>
            <w:vMerge w:val="restart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862" w:type="dxa"/>
            <w:tcBorders>
              <w:top w:val="double" w:sz="6" w:space="0" w:color="000000"/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1.5M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742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2E+03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2E+03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4716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2E+03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0.8M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4E+03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0.7%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2E+03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4660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2.0M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6E+03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3.5M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1E+04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9E+03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4520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2.2M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5E+03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1E+04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2.2M</w:t>
            </w:r>
          </w:p>
        </w:tc>
        <w:tc>
          <w:tcPr>
            <w:tcW w:w="859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8E+03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4707</w:t>
            </w:r>
          </w:p>
        </w:tc>
        <w:tc>
          <w:tcPr>
            <w:tcW w:w="721" w:type="dxa"/>
            <w:vMerge w:val="restart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3.0M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448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0.8M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3E+03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932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4697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4676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1.8M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2E+03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2.1M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9E+03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4E+03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4653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2.3M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6E+03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5.8M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2E+04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5.5M</w:t>
            </w:r>
          </w:p>
        </w:tc>
        <w:tc>
          <w:tcPr>
            <w:tcW w:w="859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2E+04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4861</w:t>
            </w:r>
          </w:p>
        </w:tc>
        <w:tc>
          <w:tcPr>
            <w:tcW w:w="721" w:type="dxa"/>
            <w:vMerge w:val="restart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2.7M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6.6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7.7M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3E+04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3.6M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8E+03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4787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5.4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6.3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138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1.0M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4688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3.0M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1.7M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4673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1E+03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1.5M</w:t>
            </w:r>
          </w:p>
        </w:tc>
        <w:tc>
          <w:tcPr>
            <w:tcW w:w="859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5.4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59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315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4777</w:t>
            </w:r>
          </w:p>
        </w:tc>
        <w:tc>
          <w:tcPr>
            <w:tcW w:w="721" w:type="dxa"/>
            <w:vMerge w:val="restart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2.7M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4.8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2.2M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2.1M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4668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2.3M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1.8M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1.2M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4510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4489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3.0M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3.7M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5E+03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1.7M</w:t>
            </w:r>
          </w:p>
        </w:tc>
        <w:tc>
          <w:tcPr>
            <w:tcW w:w="859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6.6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59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468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4798</w:t>
            </w:r>
          </w:p>
        </w:tc>
        <w:tc>
          <w:tcPr>
            <w:tcW w:w="721" w:type="dxa"/>
            <w:vMerge w:val="restart"/>
            <w:tcBorders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</w:t>
            </w: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2.4M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1.9M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4797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2.9M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3.9M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</w:tr>
      <w:tr w:rsidR="00A47F1D" w:rsidTr="00B2757E">
        <w:trPr>
          <w:trHeight w:val="300"/>
        </w:trPr>
        <w:tc>
          <w:tcPr>
            <w:tcW w:w="878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4656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1.1M</w:t>
            </w:r>
          </w:p>
        </w:tc>
        <w:tc>
          <w:tcPr>
            <w:tcW w:w="858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58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2.5M</w:t>
            </w:r>
          </w:p>
        </w:tc>
        <w:tc>
          <w:tcPr>
            <w:tcW w:w="859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59" w:type="dxa"/>
            <w:tcBorders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</w:tr>
      <w:tr w:rsidR="00A47F1D" w:rsidTr="00B2757E">
        <w:trPr>
          <w:trHeight w:val="320"/>
        </w:trPr>
        <w:tc>
          <w:tcPr>
            <w:tcW w:w="878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center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4544</w:t>
            </w:r>
          </w:p>
        </w:tc>
        <w:tc>
          <w:tcPr>
            <w:tcW w:w="721" w:type="dxa"/>
            <w:vMerge/>
            <w:tcBorders>
              <w:bottom w:val="double" w:sz="6" w:space="0" w:color="000000"/>
            </w:tcBorders>
            <w:tcMar>
              <w:top w:w="0" w:type="dxa"/>
              <w:left w:w="0" w:type="dxa"/>
              <w:right w:w="0" w:type="dxa"/>
            </w:tcMar>
            <w:vAlign w:val="center"/>
          </w:tcPr>
          <w:p w:rsidR="00A47F1D" w:rsidRDefault="00A47F1D" w:rsidP="00B2757E">
            <w:pPr>
              <w:widowControl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7.4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0.4M</w:t>
            </w:r>
          </w:p>
        </w:tc>
        <w:tc>
          <w:tcPr>
            <w:tcW w:w="858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2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58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2.7M</w:t>
            </w:r>
          </w:p>
        </w:tc>
        <w:tc>
          <w:tcPr>
            <w:tcW w:w="859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861" w:type="dxa"/>
            <w:tcBorders>
              <w:bottom w:val="double" w:sz="6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2.7</w:t>
            </w:r>
          </w:p>
        </w:tc>
        <w:tc>
          <w:tcPr>
            <w:tcW w:w="859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A47F1D" w:rsidRDefault="00A47F1D" w:rsidP="00B2757E">
            <w:pPr>
              <w:widowControl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</w:p>
        </w:tc>
      </w:tr>
    </w:tbl>
    <w:p w:rsidR="00A47F1D" w:rsidRDefault="00A47F1D" w:rsidP="00A47F1D">
      <w:pPr>
        <w:spacing w:line="276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</w:t>
      </w:r>
    </w:p>
    <w:p w:rsidR="00A47F1D" w:rsidRDefault="00A47F1D" w:rsidP="00A47F1D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i/>
        </w:rPr>
        <w:t>Table S1. Mapping results for all samples captured by</w:t>
      </w:r>
      <w:r>
        <w:rPr>
          <w:rFonts w:ascii="Times New Roman" w:hAnsi="Times New Roman" w:cs="Times New Roman"/>
          <w:i/>
          <w:color w:val="000000"/>
        </w:rPr>
        <w:t xml:space="preserve"> the Arbor SARS-CoV-2 Panel in single and double capture, and the Twist SARS-CoV-2 Panel.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 All data were mapped to the Wuhan </w:t>
      </w:r>
      <w:r>
        <w:rPr>
          <w:rFonts w:ascii="Times New Roman" w:eastAsia="Times New Roman" w:hAnsi="Times New Roman" w:cs="Times New Roman"/>
          <w:color w:val="000000"/>
        </w:rPr>
        <w:t>SARS-CoV-2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sequence </w:t>
      </w:r>
      <w:r>
        <w:rPr>
          <w:rFonts w:ascii="Times New Roman" w:eastAsia="Times New Roman" w:hAnsi="Times New Roman" w:cs="Times New Roman"/>
          <w:i/>
          <w:iCs/>
          <w:color w:val="000000"/>
        </w:rPr>
        <w:t>(accession MN908947.3).</w:t>
      </w:r>
    </w:p>
    <w:p w:rsidR="00912825" w:rsidRDefault="00912825"/>
    <w:sectPr w:rsidR="00912825">
      <w:footerReference w:type="default" r:id="rId8"/>
      <w:pgSz w:w="16838" w:h="11906" w:orient="landscape"/>
      <w:pgMar w:top="600" w:right="1417" w:bottom="1417" w:left="1417" w:header="0" w:footer="708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F83" w:rsidRDefault="00A47F1D">
    <w:pP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:rsidR="004D6F83" w:rsidRDefault="00A47F1D">
    <w:pP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F83" w:rsidRDefault="00A47F1D">
    <w:pP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4D6F83" w:rsidRDefault="00A47F1D">
    <w:pPr>
      <w:tabs>
        <w:tab w:val="center" w:pos="4536"/>
        <w:tab w:val="right" w:pos="9072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1D"/>
    <w:rsid w:val="002477C3"/>
    <w:rsid w:val="00912825"/>
    <w:rsid w:val="00A4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FA9D8"/>
  <w15:chartTrackingRefBased/>
  <w15:docId w15:val="{00FF86DF-764B-42A1-B59D-792617A5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F1D"/>
    <w:pPr>
      <w:suppressAutoHyphens/>
      <w:spacing w:after="0" w:line="240" w:lineRule="auto"/>
    </w:pPr>
    <w:rPr>
      <w:rFonts w:ascii="Cambria" w:eastAsia="Cambria" w:hAnsi="Cambria" w:cs="Cambria"/>
      <w:sz w:val="24"/>
      <w:szCs w:val="24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A47F1D"/>
    <w:pPr>
      <w:spacing w:beforeAutospacing="1" w:afterAutospacing="1"/>
    </w:pPr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 PIPOLI DA FONSECA</dc:creator>
  <cp:keywords/>
  <dc:description/>
  <cp:lastModifiedBy>Juliana  PIPOLI DA FONSECA</cp:lastModifiedBy>
  <cp:revision>1</cp:revision>
  <dcterms:created xsi:type="dcterms:W3CDTF">2022-05-02T14:25:00Z</dcterms:created>
  <dcterms:modified xsi:type="dcterms:W3CDTF">2022-05-02T14:25:00Z</dcterms:modified>
</cp:coreProperties>
</file>