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EABE" w14:textId="77AF647F" w:rsidR="008C748B" w:rsidRDefault="00AB04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56A7">
        <w:rPr>
          <w:rFonts w:ascii="Times New Roman" w:hAnsi="Times New Roman" w:cs="Times New Roman"/>
          <w:b/>
          <w:bCs/>
          <w:sz w:val="28"/>
          <w:szCs w:val="28"/>
        </w:rPr>
        <w:t xml:space="preserve">Supplemental Material </w:t>
      </w:r>
    </w:p>
    <w:p w14:paraId="582B33CB" w14:textId="77777777" w:rsidR="001D1D2E" w:rsidRDefault="001D1D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AF6230" w14:textId="763130D4" w:rsidR="0012526D" w:rsidRDefault="001252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26D">
        <w:rPr>
          <w:rFonts w:ascii="Times New Roman" w:hAnsi="Times New Roman" w:cs="Times New Roman" w:hint="eastAsia"/>
          <w:b/>
          <w:bCs/>
          <w:sz w:val="24"/>
          <w:szCs w:val="24"/>
        </w:rPr>
        <w:t>M</w:t>
      </w:r>
      <w:r w:rsidRPr="0012526D">
        <w:rPr>
          <w:rFonts w:ascii="Times New Roman" w:hAnsi="Times New Roman" w:cs="Times New Roman"/>
          <w:b/>
          <w:bCs/>
          <w:sz w:val="24"/>
          <w:szCs w:val="24"/>
        </w:rPr>
        <w:t>ethods</w:t>
      </w:r>
    </w:p>
    <w:p w14:paraId="3906F4D0" w14:textId="5AEA99F7" w:rsidR="001D1D2E" w:rsidRDefault="001D1D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BC9CCB" w14:textId="77777777" w:rsidR="001D1D2E" w:rsidRPr="001D1D2E" w:rsidRDefault="001D1D2E" w:rsidP="001D1D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1D2E">
        <w:rPr>
          <w:rFonts w:ascii="Times New Roman" w:hAnsi="Times New Roman" w:cs="Times New Roman" w:hint="eastAsia"/>
          <w:b/>
          <w:bCs/>
          <w:sz w:val="24"/>
          <w:szCs w:val="24"/>
        </w:rPr>
        <w:t>Immunoblotting and IHC analysis</w:t>
      </w:r>
    </w:p>
    <w:p w14:paraId="1FD7DA5C" w14:textId="75A3C428" w:rsidR="001D1D2E" w:rsidRPr="007D6217" w:rsidRDefault="001D1D2E" w:rsidP="001D1D2E">
      <w:pPr>
        <w:pStyle w:val="EndNoteBibliography"/>
        <w:spacing w:line="480" w:lineRule="auto"/>
        <w:ind w:leftChars="50" w:left="105" w:firstLineChars="150" w:firstLine="360"/>
        <w:rPr>
          <w:rStyle w:val="fontstyle01"/>
          <w:rFonts w:ascii="Times New Roman" w:hAnsi="Times New Roman" w:cs="Times New Roman"/>
          <w:noProof w:val="0"/>
          <w:color w:val="auto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Immunoblotting was performed according to a previous study</w: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EN.CITE.DATA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="000E6C89">
        <w:rPr>
          <w:rFonts w:ascii="Times New Roman" w:hAnsi="Times New Roman" w:cs="Times New Roman"/>
          <w:noProof w:val="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separate"/>
      </w:r>
      <w:r w:rsidR="000E6C89">
        <w:rPr>
          <w:rFonts w:ascii="Times New Roman" w:hAnsi="Times New Roman" w:cs="Times New Roman"/>
          <w:sz w:val="24"/>
          <w:szCs w:val="24"/>
        </w:rPr>
        <w:t>[1]</w: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using antibodies recognizing the following proteins: caspase 3 (#9662, Cell Signaling Technology (CST), Danvers, MA, USA), cleaved-caspase 3 (#9661, CST), PARP (#9532, CST), cleaved-PARP (#5625, CST),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sym w:font="Symbol" w:char="F067"/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-H2AX (#80312, CST), BRCA1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(22362-1-AP, Proteintech, Wuhan, China), GAPDH (D16H11, CST), PIK3R1(60225-1-Ig, Proteintech, Wuhan, China), METTL3 (15073-1-AP, Proteintech), IGF2BP1 (22803-1-AP, Proteintech), and ALKBH5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(16837-1-AP, Proteintech). IHC was conducted on formalin-fixed, paraffin-embedded human tissue sections according to a previously published method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EN.CITE.DATA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separate"/>
      </w:r>
      <w:r w:rsidR="000E6C89">
        <w:rPr>
          <w:rFonts w:ascii="Times New Roman" w:hAnsi="Times New Roman" w:cs="Times New Roman"/>
          <w:sz w:val="24"/>
          <w:szCs w:val="24"/>
        </w:rPr>
        <w:t>[1]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. IHC analysis was performed to determine altered protein levels in paraffin-embedded normal ovarian tissues and ovarian cancer tissues using anti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PIK3R1(60225-1-Ig,</w: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Proteintech), anti-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sym w:font="Symbol" w:char="F067"/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-H2AX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(#80312, CST), anti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cleaved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caspase 3 (#9661, CST), anti- BRCA1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(22362-1-AP, Proteintech), anti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METTL3 (15073-1-AP, Proteintech), and anti-IGF2BP1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(22803-1-AP, Proteintech) overnight at 4 </w:t>
      </w:r>
      <w:r w:rsidRPr="008A6439">
        <w:rPr>
          <w:rFonts w:ascii="Times New Roman" w:hAnsi="Times New Roman" w:cs="Times New Roman" w:hint="eastAsia"/>
          <w:noProof w:val="0"/>
          <w:sz w:val="24"/>
          <w:szCs w:val="24"/>
        </w:rPr>
        <w:t>℃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.</w:t>
      </w:r>
      <w:r w:rsidRPr="008A6439">
        <w:rPr>
          <w:rFonts w:ascii="Times New Roman" w:hAnsi="Times New Roman" w:cs="Times New Roman"/>
          <w:noProof w:val="0"/>
          <w:szCs w:val="21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The degree of immunostaining of the sections was examined and scored separately by two independent pathologists who were blinded to the histopathological features and patient data.</w:t>
      </w:r>
      <w:r w:rsidRPr="008A6439">
        <w:rPr>
          <w:rFonts w:ascii="Times New Roman" w:hAnsi="Times New Roman" w:cs="Times New Roman"/>
          <w:noProof w:val="0"/>
          <w:szCs w:val="21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The scores were determined by combining the proportion of positively-stained tumor cells and the intensity of staining, as reported previously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EN.CITE.DATA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separate"/>
      </w:r>
      <w:r w:rsidR="000E6C89">
        <w:rPr>
          <w:rFonts w:ascii="Times New Roman" w:hAnsi="Times New Roman" w:cs="Times New Roman"/>
          <w:sz w:val="24"/>
          <w:szCs w:val="24"/>
        </w:rPr>
        <w:t>[1]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.</w:t>
      </w:r>
      <w:r w:rsidRPr="008A6439">
        <w:rPr>
          <w:rFonts w:ascii="Times New Roman" w:hAnsi="Times New Roman" w:cs="Times New Roman"/>
          <w:noProof w:val="0"/>
          <w:szCs w:val="21"/>
        </w:rPr>
        <w:t xml:space="preserve"> </w:t>
      </w:r>
    </w:p>
    <w:p w14:paraId="5F381286" w14:textId="77777777" w:rsidR="00143CE9" w:rsidRPr="007D6217" w:rsidRDefault="00143CE9" w:rsidP="00143CE9">
      <w:pPr>
        <w:pStyle w:val="EndNoteBibliography"/>
        <w:spacing w:line="480" w:lineRule="auto"/>
        <w:ind w:leftChars="50" w:left="105"/>
        <w:rPr>
          <w:rStyle w:val="fontstyle01"/>
          <w:rFonts w:asciiTheme="majorEastAsia" w:eastAsiaTheme="majorEastAsia" w:hAnsiTheme="majorEastAsia"/>
          <w:b/>
          <w:bCs/>
          <w:noProof w:val="0"/>
          <w:sz w:val="28"/>
          <w:szCs w:val="28"/>
        </w:rPr>
      </w:pPr>
      <w:r>
        <w:rPr>
          <w:rFonts w:ascii="Times-Bold" w:hAnsi="Times-Bold" w:hint="eastAsia"/>
          <w:b/>
          <w:bCs/>
          <w:noProof w:val="0"/>
          <w:color w:val="000000"/>
          <w:sz w:val="24"/>
          <w:szCs w:val="24"/>
        </w:rPr>
        <w:lastRenderedPageBreak/>
        <w:t>RNA extraction, and Quantitative Real-time Reverse Transcription PCR (qRT</w:t>
      </w:r>
      <w:r>
        <w:rPr>
          <w:rFonts w:ascii="Times-Bold" w:hAnsi="Times-Bold" w:hint="eastAsia"/>
          <w:b/>
          <w:bCs/>
          <w:noProof w:val="0"/>
          <w:color w:val="000000"/>
          <w:sz w:val="24"/>
          <w:szCs w:val="24"/>
        </w:rPr>
        <w:noBreakHyphen/>
        <w:t>PCR)</w:t>
      </w:r>
      <w:r>
        <w:rPr>
          <w:rStyle w:val="fontstyle01"/>
          <w:rFonts w:asciiTheme="majorEastAsia" w:eastAsiaTheme="majorEastAsia" w:hAnsiTheme="majorEastAsia"/>
          <w:b/>
          <w:bCs/>
          <w:noProof w:val="0"/>
          <w:sz w:val="28"/>
          <w:szCs w:val="28"/>
        </w:rPr>
        <w:t xml:space="preserve"> </w:t>
      </w:r>
    </w:p>
    <w:p w14:paraId="450FC1C2" w14:textId="35D18E70" w:rsidR="00D023D3" w:rsidRPr="007D6217" w:rsidRDefault="008360C9" w:rsidP="00D023D3">
      <w:pPr>
        <w:pStyle w:val="EndNoteBibliography"/>
        <w:spacing w:line="480" w:lineRule="auto"/>
        <w:ind w:leftChars="50" w:left="105" w:firstLineChars="150" w:firstLine="36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Total RNA was extracted from the indicated cells using the Trizol reagent (Life Technologies, Carlsbad, CA, USA) according to the manufacturer’s guidelines. cDNA was then synthesized using a Prime Script RT Master Mix Kit (RR036A,</w:t>
      </w:r>
      <w:r w:rsidR="003C381E" w:rsidRPr="003C381E">
        <w:rPr>
          <w:rFonts w:ascii="Times New Roman" w:hAnsi="Times New Roman" w:cs="Times New Roman"/>
          <w:sz w:val="24"/>
          <w:szCs w:val="24"/>
        </w:rPr>
        <w:t xml:space="preserve"> </w:t>
      </w:r>
      <w:r w:rsidR="003C381E" w:rsidRPr="008A6439">
        <w:rPr>
          <w:rFonts w:ascii="Times New Roman" w:hAnsi="Times New Roman" w:cs="Times New Roman"/>
          <w:noProof w:val="0"/>
          <w:sz w:val="24"/>
          <w:szCs w:val="24"/>
        </w:rPr>
        <w:t>Takara), which served as the template for</w:t>
      </w:r>
      <w:r w:rsidR="003C381E" w:rsidRPr="008A6439">
        <w:rPr>
          <w:rFonts w:ascii="Times New Roman" w:hAnsi="Times New Roman" w:cs="Times New Roman" w:hint="eastAsia"/>
          <w:noProof w:val="0"/>
          <w:sz w:val="24"/>
          <w:szCs w:val="24"/>
        </w:rPr>
        <w:t xml:space="preserve"> the </w:t>
      </w:r>
      <w:r w:rsidR="003C381E"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quantitative real-time PCR (qPCR) step of the qRT-PCR protocol using GoTaq qPCR Master Mix (A6001, Promega, Madison, WI, USA) according to the manufacturer’s instructions. All data were analyzed and normalized to </w:t>
      </w:r>
      <w:r w:rsidR="003C381E"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GAPDH</w:t>
      </w:r>
      <w:r w:rsidR="003C381E" w:rsidRPr="008A6439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D023D3" w:rsidRPr="00D023D3">
        <w:rPr>
          <w:rFonts w:ascii="Times New Roman" w:hAnsi="Times New Roman" w:cs="Times New Roman"/>
          <w:sz w:val="24"/>
          <w:szCs w:val="24"/>
        </w:rPr>
        <w:t xml:space="preserve"> </w:t>
      </w:r>
      <w:r w:rsidR="00D023D3"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Primers and other reagents for mature miRNA assays were obtained from RiboBio (Guangzhou, China). Other primers for qPCR are listed in </w:t>
      </w:r>
      <w:r w:rsidR="00D023D3" w:rsidRPr="003519B9">
        <w:rPr>
          <w:rFonts w:ascii="Times New Roman" w:hAnsi="Times New Roman" w:cs="Times New Roman"/>
          <w:noProof w:val="0"/>
          <w:sz w:val="24"/>
          <w:szCs w:val="24"/>
        </w:rPr>
        <w:t>Table S</w:t>
      </w:r>
      <w:r w:rsidR="003519B9" w:rsidRPr="003519B9">
        <w:rPr>
          <w:rFonts w:ascii="Times New Roman" w:hAnsi="Times New Roman" w:cs="Times New Roman"/>
          <w:noProof w:val="0"/>
          <w:sz w:val="24"/>
          <w:szCs w:val="24"/>
        </w:rPr>
        <w:t>4</w:t>
      </w:r>
      <w:r w:rsidR="00D023D3" w:rsidRPr="003519B9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7826AAC7" w14:textId="77777777" w:rsidR="00852938" w:rsidRPr="007D6217" w:rsidRDefault="00852938" w:rsidP="00852938">
      <w:pPr>
        <w:pStyle w:val="EndNoteBibliography"/>
        <w:spacing w:line="480" w:lineRule="auto"/>
        <w:ind w:leftChars="50" w:left="105"/>
        <w:rPr>
          <w:rStyle w:val="fontstyle01"/>
          <w:rFonts w:asciiTheme="majorEastAsia" w:eastAsiaTheme="majorEastAsia" w:hAnsiTheme="majorEastAsia"/>
          <w:b/>
          <w:bCs/>
          <w:noProof w:val="0"/>
          <w:sz w:val="28"/>
          <w:szCs w:val="28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>Chemical reagents</w:t>
      </w:r>
      <w:r>
        <w:rPr>
          <w:rStyle w:val="fontstyle01"/>
          <w:rFonts w:asciiTheme="majorEastAsia" w:eastAsiaTheme="majorEastAsia" w:hAnsiTheme="majorEastAsia"/>
          <w:b/>
          <w:bCs/>
          <w:noProof w:val="0"/>
          <w:sz w:val="28"/>
          <w:szCs w:val="28"/>
        </w:rPr>
        <w:t xml:space="preserve"> </w:t>
      </w:r>
    </w:p>
    <w:p w14:paraId="75BF3F59" w14:textId="77777777" w:rsidR="002D3713" w:rsidRPr="007D6217" w:rsidRDefault="002D3713" w:rsidP="002D3713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Actinomycin D (Act D, S8964) was purchased from Selleck Chemicals (Houston, TX, USA). RNase R (Cat#RNR07250; UW-Madison, USA) was purchased from Epicentre® (an Illumina company).</w:t>
      </w:r>
    </w:p>
    <w:p w14:paraId="0390BA70" w14:textId="77777777" w:rsidR="00353133" w:rsidRPr="007D6217" w:rsidRDefault="00353133" w:rsidP="00353133">
      <w:pPr>
        <w:pStyle w:val="EndNoteBibliography"/>
        <w:spacing w:line="480" w:lineRule="auto"/>
        <w:ind w:leftChars="50" w:left="105"/>
        <w:rPr>
          <w:rFonts w:ascii="Times New Roman" w:hAnsi="Times New Roman" w:cs="Times New Roman"/>
          <w:noProof w:val="0"/>
          <w:color w:val="000000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RNase R/Actinomycin D</w:t>
      </w:r>
      <w:r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776AD4CF" w14:textId="5FAFEB4D" w:rsidR="00520447" w:rsidRDefault="00520447" w:rsidP="00520447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Total RNA </w:t>
      </w:r>
      <w:r w:rsidRPr="008A6439">
        <w:rPr>
          <w:rFonts w:ascii="Times New Roman" w:hAnsi="Times New Roman" w:cs="Times New Roman"/>
          <w:noProof w:val="0"/>
          <w:color w:val="000000"/>
          <w:sz w:val="24"/>
          <w:szCs w:val="24"/>
        </w:rPr>
        <w:t>(2 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g) was incubated with </w:t>
      </w:r>
      <w:r w:rsidRPr="008A6439">
        <w:rPr>
          <w:rFonts w:ascii="Times New Roman" w:hAnsi="Times New Roman" w:cs="Times New Roman"/>
          <w:noProof w:val="0"/>
          <w:color w:val="000000"/>
          <w:sz w:val="24"/>
          <w:szCs w:val="24"/>
        </w:rPr>
        <w:t>3 U/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g RNase R (Epicentre Technologies, Madison, WI, USA) for </w:t>
      </w:r>
      <w:r w:rsidRPr="008A6439">
        <w:rPr>
          <w:rFonts w:ascii="Times New Roman" w:hAnsi="Times New Roman" w:cs="Times New Roman"/>
          <w:noProof w:val="0"/>
          <w:color w:val="000000"/>
          <w:sz w:val="24"/>
          <w:szCs w:val="24"/>
        </w:rPr>
        <w:t>15 min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at </w:t>
      </w:r>
      <w:r w:rsidRPr="008A6439">
        <w:rPr>
          <w:rFonts w:ascii="Times New Roman" w:hAnsi="Times New Roman" w:cs="Times New Roman"/>
          <w:noProof w:val="0"/>
          <w:color w:val="000000"/>
          <w:sz w:val="24"/>
          <w:szCs w:val="24"/>
        </w:rPr>
        <w:t>37 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°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C. OC cells were transferred into six-well plates at 9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10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 xml:space="preserve">5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cells per well and treated with actinomycin D </w:t>
      </w:r>
      <w:r w:rsidRPr="008A6439">
        <w:rPr>
          <w:rFonts w:ascii="Times New Roman" w:hAnsi="Times New Roman" w:cs="Times New Roman"/>
          <w:noProof w:val="0"/>
          <w:color w:val="000000"/>
          <w:sz w:val="24"/>
          <w:szCs w:val="24"/>
        </w:rPr>
        <w:t>(5 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g/ml); cells were collected at the indicated times. The expression of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and its linear counterpart mRNA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(encoding phospholipid phosphatase 4) were </w:t>
      </w:r>
      <w:r w:rsidRPr="00000956">
        <w:rPr>
          <w:rFonts w:ascii="Times New Roman" w:hAnsi="Times New Roman" w:cs="Times New Roman"/>
          <w:noProof w:val="0"/>
          <w:color w:val="000000"/>
          <w:sz w:val="24"/>
          <w:szCs w:val="24"/>
        </w:rPr>
        <w:t>analyzed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using qRT-PCR.</w:t>
      </w:r>
    </w:p>
    <w:p w14:paraId="566ACD14" w14:textId="77777777" w:rsidR="00D64234" w:rsidRDefault="00D64234" w:rsidP="00BE214B">
      <w:pPr>
        <w:pStyle w:val="EndNoteBibliography"/>
        <w:spacing w:line="480" w:lineRule="auto"/>
        <w:ind w:leftChars="50" w:left="105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</w:p>
    <w:p w14:paraId="28B7E8DF" w14:textId="03EA8130" w:rsidR="00BE214B" w:rsidRDefault="00BE214B" w:rsidP="00BE214B">
      <w:pPr>
        <w:pStyle w:val="EndNoteBibliography"/>
        <w:spacing w:line="480" w:lineRule="auto"/>
        <w:ind w:leftChars="50" w:left="105"/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lastRenderedPageBreak/>
        <w:t>Colony formation assays</w:t>
      </w:r>
      <w:r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52F08AD2" w14:textId="13E8693D" w:rsidR="00BE214B" w:rsidRPr="007D6217" w:rsidRDefault="00BE214B" w:rsidP="00BE214B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Indicated OC Cells were seeded in 6-well plates (1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10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  <w:vertAlign w:val="superscript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cells</w:t>
      </w:r>
      <w:r w:rsidR="00103600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per plate) and cultured for two weeks.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 colonies were stained with 1% crystal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violet for 30 minutes after fixation with 4% formaldehyde for 30 min.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 number of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colonies (defined as cell clusters consisting of at least 50 cells) was quantified using Analysis software (Olympus Biosystems, Tokyo, Japan).</w:t>
      </w:r>
    </w:p>
    <w:p w14:paraId="2203FD24" w14:textId="3D75A073" w:rsidR="00BE214B" w:rsidRPr="00BE214B" w:rsidRDefault="00702CAC" w:rsidP="00BE214B">
      <w:pPr>
        <w:pStyle w:val="EndNoteBibliography"/>
        <w:spacing w:line="480" w:lineRule="auto"/>
        <w:ind w:leftChars="50" w:left="105"/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Luciferase reporter assay</w:t>
      </w:r>
    </w:p>
    <w:p w14:paraId="7B0CC2D9" w14:textId="59DE8B15" w:rsidR="003A58B6" w:rsidRPr="007D6217" w:rsidRDefault="00077E34" w:rsidP="003A58B6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According to a previouly published method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color w:val="000000"/>
          <w:sz w:val="24"/>
          <w:szCs w:val="24"/>
        </w:rPr>
        <w:instrText xml:space="preserve"> ADDIN EN.CITE </w:instrText>
      </w:r>
      <w:r w:rsidR="000E6C89">
        <w:rPr>
          <w:rFonts w:ascii="Times New Roman" w:hAnsi="Times New Roman" w:cs="Times New Roman"/>
          <w:noProof w:val="0"/>
          <w:color w:val="00000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color w:val="000000"/>
          <w:sz w:val="24"/>
          <w:szCs w:val="24"/>
        </w:rPr>
        <w:instrText xml:space="preserve"> ADDIN EN.CITE.DATA </w:instrText>
      </w:r>
      <w:r w:rsidR="000E6C89">
        <w:rPr>
          <w:rFonts w:ascii="Times New Roman" w:hAnsi="Times New Roman" w:cs="Times New Roman"/>
          <w:noProof w:val="0"/>
          <w:color w:val="00000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color w:val="000000"/>
          <w:sz w:val="24"/>
          <w:szCs w:val="24"/>
        </w:rPr>
        <w:fldChar w:fldCharType="end"/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fldChar w:fldCharType="separate"/>
      </w:r>
      <w:r w:rsidR="000E6C89">
        <w:rPr>
          <w:rFonts w:ascii="Times New Roman" w:hAnsi="Times New Roman" w:cs="Times New Roman"/>
          <w:color w:val="000000"/>
          <w:sz w:val="24"/>
          <w:szCs w:val="24"/>
        </w:rPr>
        <w:t>[1]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fldChar w:fldCharType="end"/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, OC cells were cultured in 48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noBreakHyphen/>
        <w:t>well plates and allowed to settle for 24 h. The luciferase reporter plasmids or the</w:t>
      </w:r>
      <w:r w:rsidR="003A58B6" w:rsidRPr="003A58B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3A58B6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control-luciferase plasmid (100 ng each), plus 5 ng of pRL-TK renilla plasmid (Promega), were transfected into the indicated cells using the Lipofectamine 3000 reagent (Invitrogen, Carlsbad, CA, USA) following the manufacturer</w:t>
      </w:r>
      <w:r w:rsidR="0017470B">
        <w:rPr>
          <w:rFonts w:ascii="Times New Roman" w:hAnsi="Times New Roman" w:cs="Times New Roman"/>
          <w:noProof w:val="0"/>
          <w:color w:val="000000"/>
          <w:sz w:val="24"/>
          <w:szCs w:val="24"/>
        </w:rPr>
        <w:t>’</w:t>
      </w:r>
      <w:r w:rsidR="003A58B6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 instructions. Luciferase and renilla signals were measured at 48 h after transfection using a Dual Luciferase Reporter Assay Kit (Promega) according to the manufacturer</w:t>
      </w:r>
      <w:proofErr w:type="gramStart"/>
      <w:r w:rsidR="003A58B6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="003A58B6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 instructions.</w:t>
      </w:r>
    </w:p>
    <w:p w14:paraId="7AE2DADC" w14:textId="64BF81E9" w:rsidR="00BE214B" w:rsidRDefault="000D2A9A" w:rsidP="000D2A9A">
      <w:pPr>
        <w:pStyle w:val="EndNoteBibliography"/>
        <w:spacing w:line="480" w:lineRule="auto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RNA fluorescence</w:t>
      </w:r>
      <w:r w:rsidRPr="008A6439">
        <w:rPr>
          <w:rFonts w:ascii="Times New Roman" w:hAnsi="Times New Roman" w:cs="Times New Roman" w:hint="eastAsia"/>
          <w:b/>
          <w:i/>
          <w:iCs/>
          <w:noProof w:val="0"/>
          <w:color w:val="000000"/>
          <w:sz w:val="24"/>
          <w:szCs w:val="24"/>
        </w:rPr>
        <w:t xml:space="preserve"> in situ</w:t>
      </w: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 xml:space="preserve"> hybridization</w:t>
      </w:r>
    </w:p>
    <w:p w14:paraId="1DEDA70E" w14:textId="412E89D8" w:rsidR="00D5475B" w:rsidRPr="00D5475B" w:rsidRDefault="005A7D72" w:rsidP="00D5475B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Cy3-labelled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probes were designed and synthesized by RiboBio. A fluorescence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in situ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hybridization (FISH) kit (RiboBio) was used to detect the probe signals in OC cells according to the manufacturer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 protoc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ol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s. Nuclei were stained with 4,6-diamidino-2-phenylindole (DAPI). Images were acquired under a confocal microscope (Olympus FV1000).</w:t>
      </w:r>
    </w:p>
    <w:p w14:paraId="11F1BCCD" w14:textId="2D973C36" w:rsidR="00EF71CD" w:rsidRPr="007D6217" w:rsidRDefault="00EF71CD" w:rsidP="00EF71CD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Patient-derived xenograft (PDX) models and the Tumor model</w:t>
      </w:r>
      <w:r>
        <w:rPr>
          <w:rFonts w:ascii="Times New Roman" w:hAnsi="Times New Roman" w:cs="Times New Roman"/>
          <w:noProof w:val="0"/>
          <w:color w:val="000000"/>
        </w:rPr>
        <w:t xml:space="preserve"> </w:t>
      </w:r>
    </w:p>
    <w:p w14:paraId="06063AA7" w14:textId="4FEDC803" w:rsidR="001D2534" w:rsidRPr="007D6217" w:rsidRDefault="00D5475B" w:rsidP="001D2534">
      <w:pPr>
        <w:pStyle w:val="EndNoteBibliography"/>
        <w:spacing w:line="480" w:lineRule="auto"/>
        <w:ind w:leftChars="50" w:left="105" w:firstLineChars="200" w:firstLine="480"/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lastRenderedPageBreak/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To establish PDX models, fresh OC tumor samples from patients were inoculated immediately and subcutaneously into both flanks of NOD/ShiLtJGpt-Prkdc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 xml:space="preserve"> 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Il2rg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/Gpt mice (GemPharmatech Co.,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Ltd.,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GuangDong, China). When the successfully established PDX tumors (P1) reached ~500 mm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, the tumors were transplanted into other mice (P2). Eventually, the mice bearing P3 grafts were used to evaluate the therapeutic effects of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inhibitor (antisen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s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e oligonucleotides (ASOs)</w:t>
      </w:r>
      <w:r w:rsidRPr="007D6217" w:rsidDel="007D621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517FB1">
        <w:rPr>
          <w:rFonts w:ascii="Times New Roman" w:hAnsi="Times New Roman" w:cs="Times New Roman"/>
          <w:noProof w:val="0"/>
          <w:color w:val="000000"/>
          <w:sz w:val="24"/>
          <w:szCs w:val="24"/>
        </w:rPr>
        <w:t>targeting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). Three weeks after transplantation, tail vein injection of scrambled or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in vivo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-optimized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ASO (10 nmol per injection) was performed twice a week. The tumor volume and</w:t>
      </w:r>
      <w:r w:rsidR="00E00E7A" w:rsidRPr="00E00E7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E00E7A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weight were measured after the mice were anesthetized at the end of the study. All tissues from the cell-based xenografts or PDXs underwent further pathological analysis. The subcutaneous tumor size was measured and recorded every 2 days using Vernier calipers as follows: 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tumor volume (mm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) = (L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W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2</w:t>
      </w:r>
      <w:r w:rsidR="00336529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)/2, </w:t>
      </w:r>
      <w:r w:rsidR="001D2534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where L is the long axis and W the short axis.</w:t>
      </w:r>
      <w:r w:rsidR="001D2534" w:rsidRPr="008A6439"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1F490527" w14:textId="2A1E8559" w:rsidR="00B742C5" w:rsidRPr="007D6217" w:rsidRDefault="00A91778" w:rsidP="00B742C5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For the intraperitoneal tumor model, the indicated luciferase expressing cells (1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10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) were injected intraperitoneally into female nude mice. When the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luminescence signal reached 2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10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7</w:t>
      </w:r>
      <w:r w:rsidRPr="008A6439">
        <w:rPr>
          <w:rFonts w:ascii="Times New Roman" w:hAnsi="Times New Roman" w:cs="Times New Roman" w:hint="eastAsia"/>
          <w:noProof w:val="0"/>
          <w:color w:val="000000"/>
          <w:sz w:val="16"/>
          <w:szCs w:val="16"/>
          <w:vertAlign w:val="superscript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p/sec/cm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2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/sr, mice were treated intraperitoneally with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vehicle (control), CDDP (5 mg/kg), or a combination of CDDP (5 mg/kg) three times every week (as per cycle) and the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inhibitor (10 nmol per injection) twice a week. Mice were sacrificed when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moribund, as determined by an observer blinded to the treatment, and tumors were excised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and paraffin-embedded.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For the subcutaneous cell derived xenograft (CDX) model, subcutaneous injections of 5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×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10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A2780 cells/100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L in phosphate-buffered saline (PBS) and Matrigel (1:1) were performed into the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lastRenderedPageBreak/>
        <w:t>axilla of 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–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6 week-old female NOD/ShiLtJGpt-Prkdc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 xml:space="preserve"> 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Il2rg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/Gpt mice (GemPharmatech Co.,Ltd, GuangDong, China). When the xenografts reached approximately 100 mm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, all the mice were treated with CDDP (5 mg/kg/ mice; three times per week). Twelve weeks later, the most resistant xenografts were isolated and mechanically disaggregated into approximately 1 mm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tissue blocks to sub-transplant into the axilla of 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–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6 week-old female NOD/ShiLtJGpt-Prkdc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 xml:space="preserve"> 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Il2rg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em26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/Gpt mice for the second CDX</w:t>
      </w:r>
      <w:r w:rsidR="00B742C5" w:rsidRPr="00B742C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generation. When the xenografts reached approximately 100 mm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  <w:vertAlign w:val="superscript"/>
        </w:rPr>
        <w:t>3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, the mice were randomized into two groups (five mice in each group): 1) negative control and 2) ASOs-targetting </w:t>
      </w:r>
      <w:r w:rsidR="00B742C5"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circPLPP4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. All the mice were treated with CDDP (5 mg/kg/mouse; three times per week) and each tumor was injected via tail vein with ASOs-targetting </w:t>
      </w:r>
      <w:r w:rsidR="00B742C5"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 xml:space="preserve">circPLPP4 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or its negative control twice a week. Mice were euthanized when the study was finished and tumors were isolated for further study. All the animal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procedures were approved by the Sun Yat-sen University Animal Care Committee</w:t>
      </w:r>
      <w:r w:rsidR="00E57C74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(</w:t>
      </w:r>
      <w:r w:rsidR="00E57C74" w:rsidRPr="00E57C74">
        <w:rPr>
          <w:rFonts w:ascii="Times New Roman" w:hAnsi="Times New Roman" w:cs="Times New Roman"/>
          <w:noProof w:val="0"/>
          <w:color w:val="000000"/>
          <w:sz w:val="24"/>
          <w:szCs w:val="24"/>
        </w:rPr>
        <w:t>L102012021100F</w:t>
      </w:r>
      <w:r w:rsidR="00E57C74">
        <w:rPr>
          <w:rFonts w:ascii="Times New Roman" w:hAnsi="Times New Roman" w:cs="Times New Roman"/>
          <w:noProof w:val="0"/>
          <w:color w:val="000000"/>
          <w:sz w:val="24"/>
          <w:szCs w:val="24"/>
        </w:rPr>
        <w:t>)</w:t>
      </w:r>
      <w:r w:rsidR="00B742C5"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.</w:t>
      </w:r>
    </w:p>
    <w:p w14:paraId="38929F6D" w14:textId="77777777" w:rsidR="001460C2" w:rsidRPr="007D6217" w:rsidRDefault="001460C2" w:rsidP="001460C2">
      <w:pPr>
        <w:pStyle w:val="EndNoteBibliography"/>
        <w:spacing w:line="480" w:lineRule="auto"/>
        <w:ind w:leftChars="50" w:left="105"/>
        <w:rPr>
          <w:rStyle w:val="fontstyle01"/>
          <w:rFonts w:ascii="Arial" w:hAnsi="Arial" w:cs="Arial"/>
          <w:b/>
          <w:bCs/>
          <w:noProof w:val="0"/>
          <w:sz w:val="24"/>
          <w:szCs w:val="24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 xml:space="preserve">Plasmids, Lentiviral infection, and transfection </w:t>
      </w:r>
      <w:r>
        <w:rPr>
          <w:rStyle w:val="fontstyle01"/>
          <w:rFonts w:ascii="Arial" w:hAnsi="Arial" w:cs="Arial"/>
          <w:b/>
          <w:bCs/>
          <w:noProof w:val="0"/>
          <w:sz w:val="24"/>
          <w:szCs w:val="24"/>
        </w:rPr>
        <w:t xml:space="preserve"> </w:t>
      </w:r>
    </w:p>
    <w:p w14:paraId="54CAB512" w14:textId="0AE60CF1" w:rsidR="002B56DD" w:rsidRPr="007D6217" w:rsidRDefault="002B56DD" w:rsidP="002B56DD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Small interfering RNAs (siRNAs) targeting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METTL3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(targeting sequences: #1:</w:t>
      </w:r>
      <w:r w:rsidRPr="008A6439">
        <w:rPr>
          <w:rFonts w:ascii="Arial" w:hAnsi="Arial" w:cs="Arial"/>
          <w:noProof w:val="0"/>
          <w:sz w:val="24"/>
          <w:szCs w:val="28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GCACTTGGATCTACGGAAT, #2: CGACTACAGTAGCTGCCTT) and </w:t>
      </w:r>
      <w:r w:rsidRPr="006F7E78">
        <w:rPr>
          <w:rFonts w:ascii="Times New Roman" w:hAnsi="Times New Roman" w:cs="Times New Roman"/>
          <w:i/>
          <w:iCs/>
          <w:noProof w:val="0"/>
          <w:sz w:val="24"/>
          <w:szCs w:val="24"/>
        </w:rPr>
        <w:t>IGF2BP</w:t>
      </w:r>
      <w:r w:rsidR="00E35F5D" w:rsidRPr="006F7E78">
        <w:rPr>
          <w:rFonts w:ascii="Times New Roman" w:hAnsi="Times New Roman" w:cs="Times New Roman"/>
          <w:i/>
          <w:iCs/>
          <w:noProof w:val="0"/>
          <w:sz w:val="24"/>
          <w:szCs w:val="24"/>
        </w:rPr>
        <w:t>1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(targeting sequences: #1:</w:t>
      </w:r>
      <w:r w:rsidR="00C43BA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0555E1" w:rsidRPr="006F7E78">
        <w:rPr>
          <w:rFonts w:ascii="Times New Roman" w:hAnsi="Times New Roman" w:cs="Times New Roman"/>
          <w:noProof w:val="0"/>
          <w:sz w:val="24"/>
          <w:szCs w:val="24"/>
        </w:rPr>
        <w:t>GCTGGCTCAGTATGGTACAGT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, #2:</w:t>
      </w:r>
      <w:r w:rsidR="00AB7946" w:rsidRPr="00AB7946">
        <w:rPr>
          <w:rFonts w:ascii="Courier New" w:hAnsi="Courier New" w:cs="Courier New"/>
          <w:color w:val="003399"/>
          <w:sz w:val="27"/>
          <w:szCs w:val="27"/>
          <w:shd w:val="clear" w:color="auto" w:fill="F5F5F5"/>
        </w:rPr>
        <w:t xml:space="preserve"> </w:t>
      </w:r>
      <w:r w:rsidR="00AB7946" w:rsidRPr="006F7E78">
        <w:rPr>
          <w:rFonts w:ascii="Times New Roman" w:hAnsi="Times New Roman" w:cs="Times New Roman"/>
          <w:noProof w:val="0"/>
          <w:sz w:val="24"/>
          <w:szCs w:val="24"/>
        </w:rPr>
        <w:t>GGCTCAGTATGGTACAGTAGA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) were synthesized by RiboBio. Lipofectamine 3000 (Thermo Fisher, Waltham, MA, USA) was used for transfection following the manufacturer’s instructions. Stable cell lines expressing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circPLPP4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were generated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lastRenderedPageBreak/>
        <w:t>via Lentiviral infection and selected for 10 days using 0.5 µg/ml puromycin at 48 h after infection.</w:t>
      </w:r>
    </w:p>
    <w:p w14:paraId="1E71A0A0" w14:textId="77777777" w:rsidR="00A979D6" w:rsidRPr="007D6217" w:rsidRDefault="00A979D6" w:rsidP="00A979D6">
      <w:pPr>
        <w:pStyle w:val="EndNoteBibliography"/>
        <w:spacing w:line="480" w:lineRule="auto"/>
        <w:ind w:leftChars="50" w:left="105"/>
        <w:rPr>
          <w:rStyle w:val="fontstyle01"/>
          <w:rFonts w:ascii="Arial" w:hAnsi="Arial" w:cs="Arial"/>
          <w:b/>
          <w:bCs/>
          <w:noProof w:val="0"/>
          <w:sz w:val="24"/>
          <w:szCs w:val="24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>Immunofluorescence (IF) staining</w:t>
      </w:r>
      <w:r>
        <w:rPr>
          <w:rStyle w:val="fontstyle01"/>
          <w:rFonts w:ascii="Arial" w:hAnsi="Arial" w:cs="Arial"/>
          <w:b/>
          <w:bCs/>
          <w:noProof w:val="0"/>
          <w:sz w:val="24"/>
          <w:szCs w:val="24"/>
        </w:rPr>
        <w:t xml:space="preserve"> </w:t>
      </w:r>
    </w:p>
    <w:p w14:paraId="07127DE0" w14:textId="48EAB320" w:rsidR="002D67C3" w:rsidRPr="007D6217" w:rsidRDefault="002C4FB7" w:rsidP="002D67C3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OC cells were seeded on confocal dishes (Corning Inc., Corning, NY, USA), fixed with 4% paraformaldehyde solution, and permeabilized with or without 0.1% Triton X-100 on ice. After washing the cells with PBS three times, the cells were blocked with 5% bovine serum albumin (BSA) at 37°C for 30 minutes, and then incubated with primary antibodies overnight at 4 °C. After washing with PBS, the</w:t>
      </w:r>
      <w:r w:rsidR="002D67C3" w:rsidRPr="002D67C3">
        <w:rPr>
          <w:rFonts w:ascii="Times New Roman" w:hAnsi="Times New Roman" w:cs="Times New Roman"/>
          <w:sz w:val="24"/>
          <w:szCs w:val="24"/>
        </w:rPr>
        <w:t xml:space="preserve"> </w:t>
      </w:r>
      <w:r w:rsidR="002D67C3"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cells were incubated with the appropriate secondary antibody conjugated with a fluorescent dye for 1 h and then stained with antifade Mountant with DAPI (Thermo Fisher Scientific) for nuclear staining. Images were obtained </w:t>
      </w:r>
      <w:r w:rsidR="002D67C3">
        <w:rPr>
          <w:rFonts w:ascii="Times New Roman" w:hAnsi="Times New Roman" w:cs="Times New Roman"/>
          <w:noProof w:val="0"/>
          <w:sz w:val="24"/>
          <w:szCs w:val="24"/>
        </w:rPr>
        <w:t>via</w:t>
      </w:r>
      <w:r w:rsidR="002D67C3"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confocal microscopy (Olympus FV1000).</w:t>
      </w:r>
    </w:p>
    <w:p w14:paraId="41179CB7" w14:textId="77777777" w:rsidR="00065A85" w:rsidRPr="007D6217" w:rsidRDefault="00065A85" w:rsidP="00065A85">
      <w:pPr>
        <w:pStyle w:val="EndNoteBibliography"/>
        <w:spacing w:line="480" w:lineRule="auto"/>
        <w:ind w:leftChars="50" w:left="105"/>
        <w:rPr>
          <w:rFonts w:ascii="Times New Roman" w:hAnsi="Times New Roman" w:cs="Times New Roman"/>
          <w:noProof w:val="0"/>
        </w:rPr>
      </w:pPr>
      <w:r w:rsidRPr="008A6439">
        <w:rPr>
          <w:rFonts w:ascii="Times New Roman" w:hAnsi="Times New Roman" w:cs="Times New Roman" w:hint="eastAsia"/>
          <w:b/>
          <w:i/>
          <w:iCs/>
          <w:noProof w:val="0"/>
          <w:color w:val="000000"/>
          <w:sz w:val="24"/>
          <w:szCs w:val="24"/>
        </w:rPr>
        <w:t>In Situ</w:t>
      </w: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 xml:space="preserve"> Hybridization (ISH)</w:t>
      </w:r>
      <w:r w:rsidRPr="008A6439"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14:paraId="20DEC3A9" w14:textId="2545D1FA" w:rsidR="00BD4879" w:rsidRPr="007D6217" w:rsidRDefault="00BD4879" w:rsidP="00BD4879">
      <w:pPr>
        <w:pStyle w:val="EndNoteBibliography"/>
        <w:spacing w:line="480" w:lineRule="auto"/>
        <w:ind w:leftChars="50" w:left="105" w:firstLineChars="250" w:firstLine="600"/>
        <w:rPr>
          <w:rStyle w:val="fontstyle01"/>
          <w:rFonts w:ascii="Times New Roman" w:hAnsi="Times New Roman" w:cs="Times New Roman"/>
          <w:noProof w:val="0"/>
          <w:color w:val="auto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A B-D circRNA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in situ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hybridization Detection Kit (Exon Biotechnology, Guangzhou, China) was used</w:t>
      </w:r>
      <w:r w:rsidRPr="007D6217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CA135D">
        <w:rPr>
          <w:rFonts w:ascii="Times New Roman" w:hAnsi="Times New Roman" w:cs="Times New Roman"/>
          <w:noProof w:val="0"/>
          <w:sz w:val="24"/>
          <w:szCs w:val="24"/>
        </w:rPr>
        <w:t>for ISH staining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, following the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manufacturer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 guidelines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. A biotin-labeled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circPLPP4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probe (sequence: 5</w:t>
      </w:r>
      <w:r>
        <w:rPr>
          <w:rFonts w:ascii="Times New Roman" w:hAnsi="Times New Roman" w:cs="Times New Roman"/>
          <w:noProof w:val="0"/>
          <w:sz w:val="24"/>
          <w:szCs w:val="24"/>
        </w:rPr>
        <w:t>’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TGTGAGGAAAGAAATTGCAGGAGGAATGG-3</w:t>
      </w:r>
      <w:r>
        <w:rPr>
          <w:rFonts w:ascii="Times New Roman" w:hAnsi="Times New Roman" w:cs="Times New Roman"/>
          <w:noProof w:val="0"/>
          <w:sz w:val="24"/>
          <w:szCs w:val="24"/>
        </w:rPr>
        <w:t>’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; Exon Biotechnology) was used to examine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circPLPP4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expression by ISH staining in paraffin-embedded and frozen OC tissues. The slides were stained with 3,3'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 xml:space="preserve">diaminobenzidine (DAB) Enhanced Liquid Substrate System (Sigma, St. Louis, MO, USA). The staining score (SI) was determined by two experienced pathologists for comparative assessment of the expression of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circPLPP4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. Specimens with SI values </w:t>
      </w:r>
      <w:r w:rsidRPr="008A6439">
        <w:rPr>
          <w:rFonts w:ascii="Times New Roman" w:hAnsi="Times New Roman" w:cs="Times New Roman" w:hint="eastAsia"/>
          <w:noProof w:val="0"/>
          <w:sz w:val="24"/>
          <w:szCs w:val="24"/>
        </w:rPr>
        <w:lastRenderedPageBreak/>
        <w:t>≥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6 were determined as high expression, while samples with SI values &lt; 6 were determined as low </w:t>
      </w:r>
      <w:r>
        <w:rPr>
          <w:rStyle w:val="fontstyle01"/>
          <w:rFonts w:ascii="Times New Roman" w:hAnsi="Times New Roman" w:cs="Times New Roman"/>
          <w:noProof w:val="0"/>
          <w:color w:val="auto"/>
          <w:sz w:val="24"/>
          <w:szCs w:val="24"/>
        </w:rPr>
        <w:t xml:space="preserve">expression. </w:t>
      </w:r>
    </w:p>
    <w:p w14:paraId="1F6812DE" w14:textId="77777777" w:rsidR="00CD314B" w:rsidRPr="007D6217" w:rsidRDefault="00CD314B" w:rsidP="00CD314B">
      <w:pPr>
        <w:pStyle w:val="EndNoteBibliography"/>
        <w:spacing w:line="480" w:lineRule="auto"/>
        <w:rPr>
          <w:rFonts w:ascii="Times New Roman" w:hAnsi="Times New Roman" w:cs="Times New Roman"/>
          <w:noProof w:val="0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>Methylated RNA Immunoprecipitation (MeRIP) assays</w:t>
      </w:r>
      <w:r>
        <w:rPr>
          <w:rStyle w:val="fontstyle01"/>
          <w:rFonts w:ascii="Arial" w:hAnsi="Arial" w:cs="Arial"/>
          <w:b/>
          <w:bCs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</w:rPr>
        <w:t xml:space="preserve"> </w:t>
      </w:r>
    </w:p>
    <w:p w14:paraId="227E2E14" w14:textId="2971BE83" w:rsidR="0058270F" w:rsidRPr="007D6217" w:rsidRDefault="000E5EB5" w:rsidP="006F7E78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RNA immunoprecipitation was conducted using Protein A/G Agarose Beads (Santa Cruz Biotechnology, Santa Cruz, CA, USA) following the manufacturer’s instructions. Briefly, Protein A/G Agarose Beads coated with 5 mg of normal antibodies against rabbit immunoglobulin G (Thermo Scientific) or m</w:t>
      </w:r>
      <w:r w:rsidRPr="008A6439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6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A (Abcam, Cambridge, MA, USA) were incubated with pre-frozen cell lysates or nuclear</w:t>
      </w:r>
      <w:r w:rsidR="0058270F" w:rsidRPr="0058270F">
        <w:rPr>
          <w:rFonts w:ascii="Times New Roman" w:hAnsi="Times New Roman" w:cs="Times New Roman"/>
          <w:sz w:val="24"/>
          <w:szCs w:val="24"/>
        </w:rPr>
        <w:t xml:space="preserve"> </w:t>
      </w:r>
      <w:r w:rsidR="0058270F"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extracts overnight at 4 </w:t>
      </w:r>
      <w:r w:rsidR="0058270F" w:rsidRPr="008A6439">
        <w:rPr>
          <w:rFonts w:ascii="Times New Roman" w:hAnsi="Times New Roman" w:cs="Times New Roman" w:hint="eastAsia"/>
          <w:noProof w:val="0"/>
          <w:sz w:val="24"/>
          <w:szCs w:val="24"/>
        </w:rPr>
        <w:t>℃</w:t>
      </w:r>
      <w:r w:rsidR="0058270F" w:rsidRPr="008A6439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58270F" w:rsidRPr="008A6439">
        <w:rPr>
          <w:rFonts w:ascii="Arial" w:hAnsi="Arial" w:cs="Arial"/>
          <w:noProof w:val="0"/>
          <w:sz w:val="22"/>
        </w:rPr>
        <w:t xml:space="preserve"> </w:t>
      </w:r>
      <w:r w:rsidR="0058270F" w:rsidRPr="008A6439">
        <w:rPr>
          <w:rFonts w:ascii="Times New Roman" w:hAnsi="Times New Roman" w:cs="Times New Roman"/>
          <w:noProof w:val="0"/>
          <w:sz w:val="24"/>
          <w:szCs w:val="24"/>
        </w:rPr>
        <w:t>Associated RNA-protein complexes were collected and washed six times and then subjected to RNA extraction using TRIzol. The relative interaction between the protein and RNA was determined by qRT-PCR and normalized to the input.</w:t>
      </w:r>
    </w:p>
    <w:p w14:paraId="7DB401D0" w14:textId="77777777" w:rsidR="00F417F0" w:rsidRPr="007D6217" w:rsidRDefault="00F417F0" w:rsidP="00F417F0">
      <w:pPr>
        <w:pStyle w:val="EndNoteBibliography"/>
        <w:spacing w:line="480" w:lineRule="auto"/>
        <w:ind w:firstLineChars="50" w:firstLine="120"/>
        <w:rPr>
          <w:rFonts w:ascii="Times New Roman" w:hAnsi="Times New Roman" w:cs="Times New Roman"/>
          <w:noProof w:val="0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>RNA pulldown assay</w:t>
      </w:r>
      <w:r>
        <w:rPr>
          <w:rStyle w:val="fontstyle01"/>
          <w:rFonts w:ascii="Arial" w:hAnsi="Arial" w:cs="Arial"/>
          <w:b/>
          <w:bCs/>
          <w:noProof w:val="0"/>
          <w:sz w:val="24"/>
          <w:szCs w:val="24"/>
        </w:rPr>
        <w:t xml:space="preserve"> </w:t>
      </w:r>
    </w:p>
    <w:p w14:paraId="6A263B5D" w14:textId="01869B33" w:rsidR="00974E61" w:rsidRPr="007D6217" w:rsidRDefault="00974E61" w:rsidP="00974E61">
      <w:pPr>
        <w:pStyle w:val="EndNoteBibliography"/>
        <w:spacing w:line="480" w:lineRule="auto"/>
        <w:ind w:leftChars="50" w:left="105" w:firstLineChars="150" w:firstLine="36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Biotin-labeled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circPLPP4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and oligonucleotide probes were purchased from Exon Biotechnology. The probes were incubated with magnetic beads for 2 h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at 25 °C. The indicated OC cell lysates were incubated overnight with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magnetic bead mixture at 4 °C. After purification, the enriched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circPLPP4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and miRNAs were quantified using qRT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 xml:space="preserve">PCR. The </w:t>
      </w:r>
      <w:r w:rsidR="001C20EE"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</w:t>
      </w:r>
      <w:proofErr w:type="gramStart"/>
      <w:r w:rsidR="001C20EE"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4</w:t>
      </w:r>
      <w:r w:rsidR="00AE22C3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 </w:t>
      </w:r>
      <w:r w:rsidR="00AE22C3">
        <w:rPr>
          <w:rFonts w:ascii="Times New Roman" w:hAnsi="Times New Roman" w:cs="Times New Roman"/>
          <w:noProof w:val="0"/>
          <w:sz w:val="24"/>
          <w:szCs w:val="24"/>
        </w:rPr>
        <w:t>p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ull</w:t>
      </w:r>
      <w:proofErr w:type="gramEnd"/>
      <w:r w:rsidRPr="008A6439">
        <w:rPr>
          <w:rFonts w:ascii="Times New Roman" w:hAnsi="Times New Roman" w:cs="Times New Roman"/>
          <w:noProof w:val="0"/>
          <w:sz w:val="24"/>
          <w:szCs w:val="24"/>
        </w:rPr>
        <w:t> down Probe was Biotin 5’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noBreakHyphen/>
        <w:t>TGTGAGGAAAGAAATTGCAGGAGGAATGG-3’.</w:t>
      </w:r>
    </w:p>
    <w:p w14:paraId="6D60585D" w14:textId="77777777" w:rsidR="00F3464D" w:rsidRPr="007D6217" w:rsidRDefault="00F3464D" w:rsidP="00F3464D">
      <w:pPr>
        <w:pStyle w:val="EndNoteBibliography"/>
        <w:spacing w:line="480" w:lineRule="auto"/>
        <w:ind w:leftChars="50" w:left="105"/>
        <w:rPr>
          <w:rFonts w:ascii="Times New Roman" w:hAnsi="Times New Roman" w:cs="Times New Roman"/>
          <w:noProof w:val="0"/>
        </w:rPr>
      </w:pPr>
      <w:r>
        <w:rPr>
          <w:rFonts w:ascii="Times-Bold" w:hAnsi="Times-Bold" w:hint="eastAsia"/>
          <w:b/>
          <w:noProof w:val="0"/>
          <w:color w:val="000000"/>
          <w:sz w:val="24"/>
          <w:szCs w:val="24"/>
        </w:rPr>
        <w:t>Annexin V Assay</w:t>
      </w:r>
      <w:r>
        <w:rPr>
          <w:rStyle w:val="fontstyle01"/>
          <w:rFonts w:ascii="Arial" w:hAnsi="Arial" w:cs="Arial"/>
          <w:b/>
          <w:bCs/>
          <w:noProof w:val="0"/>
          <w:sz w:val="24"/>
          <w:szCs w:val="24"/>
        </w:rPr>
        <w:t xml:space="preserve"> </w:t>
      </w:r>
    </w:p>
    <w:p w14:paraId="370F116F" w14:textId="44EBDDEE" w:rsidR="00FB062E" w:rsidRPr="007D6217" w:rsidRDefault="00FB062E" w:rsidP="00FB062E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 w:rsidRPr="008A6439">
        <w:rPr>
          <w:rFonts w:ascii="Times New Roman" w:hAnsi="Times New Roman" w:cs="Times New Roman"/>
          <w:noProof w:val="0"/>
          <w:sz w:val="24"/>
          <w:szCs w:val="24"/>
        </w:rPr>
        <w:t>To quantif</w:t>
      </w:r>
      <w:r>
        <w:rPr>
          <w:rFonts w:ascii="Times New Roman" w:hAnsi="Times New Roman" w:cs="Times New Roman"/>
          <w:noProof w:val="0"/>
          <w:sz w:val="24"/>
          <w:szCs w:val="24"/>
        </w:rPr>
        <w:t>y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apoptotic cells,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an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Annexin V/</w:t>
      </w:r>
      <w:r>
        <w:rPr>
          <w:rFonts w:ascii="Times New Roman" w:hAnsi="Times New Roman" w:cs="Times New Roman"/>
          <w:noProof w:val="0"/>
          <w:sz w:val="24"/>
          <w:szCs w:val="24"/>
        </w:rPr>
        <w:t>propidium iodide (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PI</w:t>
      </w:r>
      <w:r>
        <w:rPr>
          <w:rFonts w:ascii="Times New Roman" w:hAnsi="Times New Roman" w:cs="Times New Roman"/>
          <w:noProof w:val="0"/>
          <w:sz w:val="24"/>
          <w:szCs w:val="24"/>
        </w:rPr>
        <w:t>)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Apoptosis Detection Kit (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BD biosciences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Pr="007D6217">
        <w:rPr>
          <w:rFonts w:ascii="Times New Roman" w:hAnsi="Times New Roman" w:cs="Times New Roman"/>
          <w:noProof w:val="0"/>
          <w:sz w:val="24"/>
          <w:szCs w:val="24"/>
        </w:rPr>
        <w:t>San Jose, CA, USA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was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used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follow</w:t>
      </w:r>
      <w:r>
        <w:rPr>
          <w:rFonts w:ascii="Times New Roman" w:hAnsi="Times New Roman" w:cs="Times New Roman"/>
          <w:noProof w:val="0"/>
          <w:sz w:val="24"/>
          <w:szCs w:val="24"/>
        </w:rPr>
        <w:t>ing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the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lastRenderedPageBreak/>
        <w:t>manufacturer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 guidelines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. Briefly,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indicated OC cells were washed twice with PBS and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suspended in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binding solution,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to which was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added 5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l of an Annexin-V antibody and 5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μ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l of PI (for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1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×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10</w:t>
      </w:r>
      <w:r w:rsidRPr="008A6439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noProof w:val="0"/>
          <w:sz w:val="24"/>
          <w:szCs w:val="24"/>
        </w:rPr>
        <w:t>cells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) in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binding buffer and incubated for 15 min in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dark.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A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poptotic cells were examined </w:t>
      </w:r>
      <w:r>
        <w:rPr>
          <w:rFonts w:ascii="Times New Roman" w:hAnsi="Times New Roman" w:cs="Times New Roman"/>
          <w:noProof w:val="0"/>
          <w:sz w:val="24"/>
          <w:szCs w:val="24"/>
        </w:rPr>
        <w:t>using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 flow cytometry</w:t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 </w:instrText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EN.CITE.DATA </w:instrText>
      </w:r>
      <w:r w:rsidR="00C131D1">
        <w:rPr>
          <w:rFonts w:ascii="Times New Roman" w:hAnsi="Times New Roman" w:cs="Times New Roman"/>
          <w:noProof w:val="0"/>
          <w:sz w:val="24"/>
          <w:szCs w:val="24"/>
        </w:rPr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="00C131D1">
        <w:rPr>
          <w:rFonts w:ascii="Times New Roman" w:hAnsi="Times New Roman" w:cs="Times New Roman"/>
          <w:noProof w:val="0"/>
          <w:sz w:val="24"/>
          <w:szCs w:val="24"/>
        </w:rPr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fldChar w:fldCharType="separate"/>
      </w:r>
      <w:r w:rsidR="00C131D1">
        <w:rPr>
          <w:rFonts w:ascii="Times New Roman" w:hAnsi="Times New Roman" w:cs="Times New Roman"/>
          <w:sz w:val="24"/>
          <w:szCs w:val="24"/>
        </w:rPr>
        <w:t>[1]</w:t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="00C131D1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6C455BF2" w14:textId="77777777" w:rsidR="001540BA" w:rsidRPr="007D6217" w:rsidRDefault="001540BA" w:rsidP="001540BA">
      <w:pPr>
        <w:pStyle w:val="EndNoteBibliography"/>
        <w:spacing w:line="480" w:lineRule="auto"/>
        <w:ind w:leftChars="50" w:left="105"/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7D6217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t>3-(4,5-dimethylthiazol-2-yl)-2,5-diphenyltetrazolium bromide (MTT)</w:t>
      </w: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 xml:space="preserve"> cell viability assay</w:t>
      </w:r>
      <w:r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538AC782" w14:textId="77AD695E" w:rsidR="000017F2" w:rsidRPr="007D6217" w:rsidRDefault="000017F2" w:rsidP="000017F2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MTT assay was conducted according to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a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previous stud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y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begin">
          <w:fldData xml:space="preserve">PEVuZE5vdGU+PENpdGU+PEF1dGhvcj5MaTwvQXV0aG9yPjxZZWFyPjIwMTk8L1llYXI+PFJlY051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==
</w:fldData>
        </w:fldCha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instrText xml:space="preserve"> ADDIN EN.CITE.DATA </w:instrText>
      </w:r>
      <w:r w:rsidR="000E6C89">
        <w:rPr>
          <w:rFonts w:ascii="Times New Roman" w:hAnsi="Times New Roman" w:cs="Times New Roman"/>
          <w:noProof w:val="0"/>
          <w:sz w:val="24"/>
          <w:szCs w:val="24"/>
        </w:rPr>
      </w:r>
      <w:r w:rsidR="000E6C8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separate"/>
      </w:r>
      <w:r w:rsidR="000E6C89">
        <w:rPr>
          <w:rFonts w:ascii="Times New Roman" w:hAnsi="Times New Roman" w:cs="Times New Roman"/>
          <w:sz w:val="24"/>
          <w:szCs w:val="24"/>
        </w:rPr>
        <w:t>[1]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fldChar w:fldCharType="end"/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. Briefly, the indicated OC cells (2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×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10</w:t>
      </w:r>
      <w:r w:rsidRPr="008A6439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3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) were treated for 24 h with CDDP (5 μM), stained with</w:t>
      </w:r>
      <w:r w:rsidRPr="000017F2">
        <w:rPr>
          <w:rFonts w:ascii="Times New Roman" w:hAnsi="Times New Roman" w:cs="Times New Roman"/>
          <w:sz w:val="24"/>
          <w:szCs w:val="24"/>
        </w:rPr>
        <w:t xml:space="preserve">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sterile MTT dye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(0.5 mg/ml, Sigma) for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4 h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at 37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CA135D">
        <w:rPr>
          <w:rFonts w:ascii="Times New Roman" w:hAnsi="Times New Roman" w:cs="Times New Roman"/>
          <w:noProof w:val="0"/>
          <w:sz w:val="24"/>
          <w:szCs w:val="24"/>
        </w:rPr>
        <w:t>°C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after which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the culture medium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was removed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and dimethyl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sulphoxide (DMSO)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added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(Sigma-Aldrich).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 absorbance was measured at 570 nm,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with 655 nm as the reference wavelength. Dose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noBreakHyphen/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response curves were plotted on a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semilog scale as the percentage of the control cell number, which was obtained from</w:t>
      </w:r>
      <w:r w:rsidRPr="008A6439">
        <w:rPr>
          <w:rFonts w:ascii="Times New Roman" w:hAnsi="Times New Roman" w:cs="Times New Roman" w:hint="eastAsia"/>
          <w:noProof w:val="0"/>
          <w:color w:val="00000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 sample with no drug treatment.</w:t>
      </w:r>
      <w:r w:rsidRPr="008A6439">
        <w:rPr>
          <w:rStyle w:val="fontstyle01"/>
          <w:rFonts w:ascii="Times New Roman" w:hAnsi="Times New Roman" w:cs="Times New Roman" w:hint="eastAsia"/>
          <w:noProof w:val="0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The IC50 values were calculated using GraphPad Prism® 8 (Version 8.01, GraphPad Inc.,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La Jolla, CA,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USA).</w:t>
      </w:r>
    </w:p>
    <w:p w14:paraId="4642F33B" w14:textId="77777777" w:rsidR="002514D5" w:rsidRPr="007D6217" w:rsidRDefault="002514D5" w:rsidP="002514D5">
      <w:pPr>
        <w:pStyle w:val="EndNoteBibliography"/>
        <w:spacing w:line="480" w:lineRule="auto"/>
        <w:ind w:leftChars="50" w:left="105"/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Terminal deoxynucleotidyl transferase-mediated dUTP Nick end labeling (TUNEL) staining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30DAD42B" w14:textId="77777777" w:rsidR="00243407" w:rsidRPr="007D6217" w:rsidRDefault="00243407" w:rsidP="00243407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A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One Step TUNEL Apoptosis Assay Kit (Beyotime C1090, Shanghai, China) was used to detect the TUNEL+ cells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according to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the manufacturer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s guidelines. Briefly, the indicated OC cells were fixed and permeabilized after CDDP treatment. Then, the apoptotic cells were observed and photographed under a fluorescence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lastRenderedPageBreak/>
        <w:t xml:space="preserve">microscope.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 xml:space="preserve">Finally, TUNEL+ cells and total cells were analyzed 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using 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ImageJ software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(NIH, Bethesda, MD, USA)</w:t>
      </w:r>
      <w:r w:rsidRPr="008A6439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44F32855" w14:textId="77777777" w:rsidR="00584CE3" w:rsidRPr="007D6217" w:rsidRDefault="00584CE3" w:rsidP="00584CE3">
      <w:pPr>
        <w:pStyle w:val="EndNoteBibliography"/>
        <w:spacing w:line="480" w:lineRule="auto"/>
        <w:ind w:leftChars="50" w:left="105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ASO</w:t>
      </w: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noBreakHyphen/>
        <w:t xml:space="preserve">mediated knockdown and ASO </w:t>
      </w:r>
      <w:r w:rsidRPr="008A6439">
        <w:rPr>
          <w:rFonts w:ascii="Times New Roman" w:hAnsi="Times New Roman" w:cs="Times New Roman" w:hint="eastAsia"/>
          <w:b/>
          <w:i/>
          <w:iCs/>
          <w:noProof w:val="0"/>
          <w:color w:val="000000"/>
          <w:sz w:val="24"/>
          <w:szCs w:val="24"/>
        </w:rPr>
        <w:t>in vivo</w:t>
      </w: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 xml:space="preserve"> treatment</w:t>
      </w:r>
    </w:p>
    <w:p w14:paraId="1EB3C849" w14:textId="77777777" w:rsidR="00E32456" w:rsidRPr="007D6217" w:rsidRDefault="00E32456" w:rsidP="00E32456">
      <w:pPr>
        <w:pStyle w:val="EndNoteBibliography"/>
        <w:spacing w:line="480" w:lineRule="auto"/>
        <w:ind w:leftChars="50" w:left="105" w:firstLineChars="200" w:firstLine="48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The ASOs targeting </w:t>
      </w:r>
      <w:r w:rsidRPr="008A6439">
        <w:rPr>
          <w:rFonts w:ascii="Times New Roman" w:hAnsi="Times New Roman" w:cs="Times New Roman"/>
          <w:i/>
          <w:iCs/>
          <w:noProof w:val="0"/>
          <w:sz w:val="24"/>
          <w:szCs w:val="24"/>
        </w:rPr>
        <w:t>circPLPP4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were obtained from RiboBio (Guangzhou, China). Transfections with ASOs (50 nM) were performed follow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ing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the manufacturer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s guidelines. After transfection, we collected RNA and protein for further experiments. For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Pr="008A6439">
        <w:rPr>
          <w:rFonts w:ascii="Times New Roman" w:hAnsi="Times New Roman" w:cs="Times New Roman" w:hint="eastAsia"/>
          <w:i/>
          <w:iCs/>
          <w:noProof w:val="0"/>
          <w:color w:val="000000"/>
          <w:sz w:val="24"/>
          <w:szCs w:val="24"/>
        </w:rPr>
        <w:t>in vivo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experiment, 10 nmol ASOs were delivered into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the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mice through tail vein injection twice a week.</w:t>
      </w:r>
    </w:p>
    <w:p w14:paraId="7BC51765" w14:textId="77777777" w:rsidR="00C774C8" w:rsidRPr="007D6217" w:rsidRDefault="00C774C8" w:rsidP="00C774C8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b/>
          <w:noProof w:val="0"/>
          <w:color w:val="000000"/>
          <w:sz w:val="24"/>
          <w:szCs w:val="24"/>
        </w:rPr>
        <w:t>Statistical analysis</w:t>
      </w:r>
      <w:r w:rsidRPr="008A6439">
        <w:rPr>
          <w:rStyle w:val="fontstyle01"/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14:paraId="05419EB9" w14:textId="77777777" w:rsidR="007F23A8" w:rsidRPr="007D6217" w:rsidRDefault="007F23A8" w:rsidP="007F23A8">
      <w:pPr>
        <w:pStyle w:val="EndNoteBibliography"/>
        <w:spacing w:line="480" w:lineRule="auto"/>
        <w:ind w:leftChars="50" w:left="105" w:firstLineChars="150" w:firstLine="360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Statistical analysis was conducted using the Student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s two-tailed t-test and One-way analysis of variance (ANOVA). Bivariate correlations between study variables were calculated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using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Spearman</w:t>
      </w:r>
      <w:proofErr w:type="gramStart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’</w:t>
      </w:r>
      <w:proofErr w:type="gramEnd"/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s rank correlation </w:t>
      </w:r>
      <w:r w:rsidRPr="00517FB1">
        <w:rPr>
          <w:rFonts w:ascii="Times New Roman" w:hAnsi="Times New Roman" w:cs="Times New Roman"/>
          <w:noProof w:val="0"/>
          <w:color w:val="000000"/>
          <w:sz w:val="24"/>
          <w:szCs w:val="24"/>
        </w:rPr>
        <w:t>coefficients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. Survival curves were plotted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using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the Kaplan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–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Meier method and compared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using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the log-rank test. The </w:t>
      </w:r>
      <w:r w:rsidRPr="00DE6984">
        <w:rPr>
          <w:rFonts w:ascii="Times New Roman" w:hAnsi="Times New Roman" w:cs="Times New Roman"/>
          <w:noProof w:val="0"/>
          <w:color w:val="000000"/>
          <w:sz w:val="24"/>
          <w:szCs w:val="24"/>
        </w:rPr>
        <w:t>significance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of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survival-related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variables was analyzed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using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univariate and multivariate Cox regression analyses. P-values &lt;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0.05 was considered statistically </w:t>
      </w:r>
      <w:r w:rsidRPr="00DE6984">
        <w:rPr>
          <w:rFonts w:ascii="Times New Roman" w:hAnsi="Times New Roman" w:cs="Times New Roman"/>
          <w:noProof w:val="0"/>
          <w:color w:val="000000"/>
          <w:sz w:val="24"/>
          <w:szCs w:val="24"/>
        </w:rPr>
        <w:t>significant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D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ata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are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presented as the mean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±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standard deviation (SD). Statistical analysis was performed using GraphPad 19.0 statistical software.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In the figures,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the P-values </w:t>
      </w:r>
      <w:r>
        <w:rPr>
          <w:rFonts w:ascii="Times New Roman" w:hAnsi="Times New Roman" w:cs="Times New Roman"/>
          <w:noProof w:val="0"/>
          <w:color w:val="000000"/>
          <w:sz w:val="24"/>
          <w:szCs w:val="24"/>
        </w:rPr>
        <w:t>are shown as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 xml:space="preserve"> *P &lt; 0.05, **P &lt; 0.01, ***P &lt; 0.001, and ns: not </w:t>
      </w:r>
      <w:r w:rsidRPr="00DE6984">
        <w:rPr>
          <w:rFonts w:ascii="Times New Roman" w:hAnsi="Times New Roman" w:cs="Times New Roman"/>
          <w:noProof w:val="0"/>
          <w:color w:val="000000"/>
          <w:sz w:val="24"/>
          <w:szCs w:val="24"/>
        </w:rPr>
        <w:t>significant</w:t>
      </w:r>
      <w:r w:rsidRPr="008A6439">
        <w:rPr>
          <w:rFonts w:ascii="Times New Roman" w:hAnsi="Times New Roman" w:cs="Times New Roman" w:hint="eastAsia"/>
          <w:noProof w:val="0"/>
          <w:color w:val="000000"/>
          <w:sz w:val="24"/>
          <w:szCs w:val="24"/>
        </w:rPr>
        <w:t>.</w:t>
      </w:r>
    </w:p>
    <w:p w14:paraId="3149A4A6" w14:textId="0E14B19A" w:rsidR="00336529" w:rsidRPr="007F23A8" w:rsidRDefault="00336529" w:rsidP="002514D5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21E7BAF6" w14:textId="7248E4B5" w:rsidR="005A7D72" w:rsidRPr="00E00E7A" w:rsidRDefault="005A7D72" w:rsidP="000D2A9A">
      <w:pPr>
        <w:pStyle w:val="EndNoteBibliography"/>
        <w:spacing w:line="480" w:lineRule="auto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4C972C3D" w14:textId="77777777" w:rsidR="000E6C89" w:rsidRDefault="000E6C89" w:rsidP="008529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E2AD0A" w14:textId="77777777" w:rsidR="000E6C89" w:rsidRDefault="000E6C89" w:rsidP="008529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9F4231" w14:textId="0DBB0E45" w:rsidR="00EE3705" w:rsidRDefault="00EE3705" w:rsidP="000E6C89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3E6651" w14:textId="0947EC6A" w:rsidR="00EE3705" w:rsidRPr="00EE3705" w:rsidRDefault="00EE3705" w:rsidP="00EE3705">
      <w:pPr>
        <w:pStyle w:val="EndNoteBibliography"/>
        <w:spacing w:line="480" w:lineRule="auto"/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</w:pPr>
      <w:r w:rsidRPr="00EE3705">
        <w:rPr>
          <w:rFonts w:ascii="Times New Roman" w:hAnsi="Times New Roman" w:cs="Times New Roman"/>
          <w:b/>
          <w:noProof w:val="0"/>
          <w:color w:val="000000"/>
          <w:sz w:val="24"/>
          <w:szCs w:val="24"/>
        </w:rPr>
        <w:lastRenderedPageBreak/>
        <w:t>References</w:t>
      </w:r>
    </w:p>
    <w:p w14:paraId="27454420" w14:textId="77777777" w:rsidR="00EE3705" w:rsidRDefault="00EE3705" w:rsidP="00EE3705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14:paraId="78EC3ED6" w14:textId="77777777" w:rsidR="00C131D1" w:rsidRPr="00C131D1" w:rsidRDefault="000E6C89" w:rsidP="00C131D1">
      <w:pPr>
        <w:pStyle w:val="EndNoteBibliography"/>
        <w:ind w:left="720" w:hanging="720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131D1" w:rsidRPr="00C131D1">
        <w:t>1.</w:t>
      </w:r>
      <w:r w:rsidR="00C131D1" w:rsidRPr="00C131D1">
        <w:tab/>
        <w:t>Li H, Zhang W, Niu C, Lin C, Wu X, Jian Y, Li Y, Ye L, Dai Y, Ouyang Y</w:t>
      </w:r>
      <w:r w:rsidR="00C131D1" w:rsidRPr="00C131D1">
        <w:rPr>
          <w:i/>
        </w:rPr>
        <w:t xml:space="preserve"> et al</w:t>
      </w:r>
      <w:r w:rsidR="00C131D1" w:rsidRPr="00C131D1">
        <w:t xml:space="preserve">: </w:t>
      </w:r>
      <w:r w:rsidR="00C131D1" w:rsidRPr="00C131D1">
        <w:rPr>
          <w:b/>
        </w:rPr>
        <w:t>Nuclear orphan receptor NR2F6 confers cisplatin resistance in epithelial ovarian cancer cells by activating the Notch3 signaling pathway</w:t>
      </w:r>
      <w:r w:rsidR="00C131D1" w:rsidRPr="00C131D1">
        <w:t xml:space="preserve">. </w:t>
      </w:r>
      <w:r w:rsidR="00C131D1" w:rsidRPr="00C131D1">
        <w:rPr>
          <w:i/>
        </w:rPr>
        <w:t xml:space="preserve">Int J Cancer </w:t>
      </w:r>
      <w:r w:rsidR="00C131D1" w:rsidRPr="00C131D1">
        <w:t>2019.</w:t>
      </w:r>
    </w:p>
    <w:p w14:paraId="752180BA" w14:textId="542DB7AD" w:rsidR="001D1D2E" w:rsidRPr="00520447" w:rsidRDefault="000E6C89" w:rsidP="008529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1D1D2E" w:rsidRPr="0052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46FE" w14:textId="77777777" w:rsidR="00E2387B" w:rsidRDefault="00E2387B" w:rsidP="0061214E">
      <w:r>
        <w:separator/>
      </w:r>
    </w:p>
  </w:endnote>
  <w:endnote w:type="continuationSeparator" w:id="0">
    <w:p w14:paraId="64CEF169" w14:textId="77777777" w:rsidR="00E2387B" w:rsidRDefault="00E2387B" w:rsidP="0061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npbsfAdvTTe45e47d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25E0" w14:textId="77777777" w:rsidR="00E2387B" w:rsidRDefault="00E2387B" w:rsidP="0061214E">
      <w:r>
        <w:separator/>
      </w:r>
    </w:p>
  </w:footnote>
  <w:footnote w:type="continuationSeparator" w:id="0">
    <w:p w14:paraId="3EA79530" w14:textId="77777777" w:rsidR="00E2387B" w:rsidRDefault="00E2387B" w:rsidP="0061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zNTc2NDIyt7QwN7FQ0lEKTi0uzszPAykwqQUAxQyHM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Canc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rw55ae52pazued99r5spxgt9ewxfspf0xs&quot;&gt;My EndNote Library&lt;record-ids&gt;&lt;item&gt;404&lt;/item&gt;&lt;/record-ids&gt;&lt;/item&gt;&lt;/Libraries&gt;"/>
  </w:docVars>
  <w:rsids>
    <w:rsidRoot w:val="00DB6E8C"/>
    <w:rsid w:val="000017F2"/>
    <w:rsid w:val="00046854"/>
    <w:rsid w:val="000555E1"/>
    <w:rsid w:val="00065A85"/>
    <w:rsid w:val="00077E34"/>
    <w:rsid w:val="000C1A93"/>
    <w:rsid w:val="000D2A9A"/>
    <w:rsid w:val="000E5EB5"/>
    <w:rsid w:val="000E6C89"/>
    <w:rsid w:val="00103600"/>
    <w:rsid w:val="0012526D"/>
    <w:rsid w:val="00143CE9"/>
    <w:rsid w:val="001460C2"/>
    <w:rsid w:val="001540BA"/>
    <w:rsid w:val="0017470B"/>
    <w:rsid w:val="001A603C"/>
    <w:rsid w:val="001C20EE"/>
    <w:rsid w:val="001D1D2E"/>
    <w:rsid w:val="001D2534"/>
    <w:rsid w:val="001E6D9E"/>
    <w:rsid w:val="00243407"/>
    <w:rsid w:val="002514D5"/>
    <w:rsid w:val="002B56DD"/>
    <w:rsid w:val="002C4FB7"/>
    <w:rsid w:val="002D3713"/>
    <w:rsid w:val="002D67C3"/>
    <w:rsid w:val="00336529"/>
    <w:rsid w:val="003519B9"/>
    <w:rsid w:val="00353133"/>
    <w:rsid w:val="003874EC"/>
    <w:rsid w:val="003A58B6"/>
    <w:rsid w:val="003C381E"/>
    <w:rsid w:val="00461C1D"/>
    <w:rsid w:val="00517F9D"/>
    <w:rsid w:val="00520447"/>
    <w:rsid w:val="0058270F"/>
    <w:rsid w:val="00584CE3"/>
    <w:rsid w:val="005A7D72"/>
    <w:rsid w:val="0061214E"/>
    <w:rsid w:val="00641F34"/>
    <w:rsid w:val="006856A7"/>
    <w:rsid w:val="006F7E78"/>
    <w:rsid w:val="00702CAC"/>
    <w:rsid w:val="007F23A8"/>
    <w:rsid w:val="008360C9"/>
    <w:rsid w:val="00852938"/>
    <w:rsid w:val="008C748B"/>
    <w:rsid w:val="00974E61"/>
    <w:rsid w:val="00A91778"/>
    <w:rsid w:val="00A979D6"/>
    <w:rsid w:val="00AB04CC"/>
    <w:rsid w:val="00AB29A2"/>
    <w:rsid w:val="00AB7946"/>
    <w:rsid w:val="00AE22C3"/>
    <w:rsid w:val="00B229D4"/>
    <w:rsid w:val="00B742C5"/>
    <w:rsid w:val="00BD4879"/>
    <w:rsid w:val="00BE214B"/>
    <w:rsid w:val="00C131D1"/>
    <w:rsid w:val="00C22C8A"/>
    <w:rsid w:val="00C43BAE"/>
    <w:rsid w:val="00C774C8"/>
    <w:rsid w:val="00C85447"/>
    <w:rsid w:val="00CA75D3"/>
    <w:rsid w:val="00CD314B"/>
    <w:rsid w:val="00CF0535"/>
    <w:rsid w:val="00D023D3"/>
    <w:rsid w:val="00D4115D"/>
    <w:rsid w:val="00D5475B"/>
    <w:rsid w:val="00D64234"/>
    <w:rsid w:val="00DB6E8C"/>
    <w:rsid w:val="00E00E7A"/>
    <w:rsid w:val="00E2387B"/>
    <w:rsid w:val="00E32456"/>
    <w:rsid w:val="00E35F5D"/>
    <w:rsid w:val="00E57C74"/>
    <w:rsid w:val="00EE3705"/>
    <w:rsid w:val="00EF71CD"/>
    <w:rsid w:val="00F3464D"/>
    <w:rsid w:val="00F417F0"/>
    <w:rsid w:val="00F566B1"/>
    <w:rsid w:val="00F604D7"/>
    <w:rsid w:val="00FB062E"/>
    <w:rsid w:val="00FB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81BE7"/>
  <w15:chartTrackingRefBased/>
  <w15:docId w15:val="{603A9520-D69A-45CF-99A9-AA4B492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D2E"/>
    <w:rPr>
      <w:rFonts w:ascii="JnpbsfAdvTTe45e47d2" w:hAnsi="JnpbsfAdvTTe45e47d2" w:hint="default"/>
      <w:b w:val="0"/>
      <w:bCs w:val="0"/>
      <w:i w:val="0"/>
      <w:iCs w:val="0"/>
      <w:color w:val="131413"/>
      <w:sz w:val="48"/>
      <w:szCs w:val="48"/>
    </w:rPr>
  </w:style>
  <w:style w:type="paragraph" w:customStyle="1" w:styleId="EndNoteBibliography">
    <w:name w:val="EndNote Bibliography"/>
    <w:basedOn w:val="a"/>
    <w:link w:val="EndNoteBibliography0"/>
    <w:rsid w:val="001D1D2E"/>
    <w:pPr>
      <w:widowControl/>
    </w:pPr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1D1D2E"/>
    <w:rPr>
      <w:rFonts w:ascii="等线" w:eastAsia="等线" w:hAnsi="等线"/>
      <w:noProof/>
      <w:sz w:val="20"/>
    </w:rPr>
  </w:style>
  <w:style w:type="character" w:styleId="a3">
    <w:name w:val="annotation reference"/>
    <w:basedOn w:val="a0"/>
    <w:uiPriority w:val="99"/>
    <w:semiHidden/>
    <w:unhideWhenUsed/>
    <w:rsid w:val="001D1D2E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1D1D2E"/>
    <w:pPr>
      <w:widowControl/>
      <w:spacing w:line="360" w:lineRule="auto"/>
      <w:jc w:val="left"/>
    </w:pPr>
  </w:style>
  <w:style w:type="character" w:customStyle="1" w:styleId="a5">
    <w:name w:val="批注文字 字符"/>
    <w:basedOn w:val="a0"/>
    <w:link w:val="a4"/>
    <w:uiPriority w:val="99"/>
    <w:rsid w:val="001D1D2E"/>
  </w:style>
  <w:style w:type="paragraph" w:styleId="a6">
    <w:name w:val="header"/>
    <w:basedOn w:val="a"/>
    <w:link w:val="a7"/>
    <w:uiPriority w:val="99"/>
    <w:unhideWhenUsed/>
    <w:rsid w:val="0061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214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214E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E6C8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EndNoteBibliography0"/>
    <w:link w:val="EndNoteBibliographyTitle"/>
    <w:rsid w:val="000E6C89"/>
    <w:rPr>
      <w:rFonts w:ascii="等线" w:eastAsia="等线" w:hAnsi="等线"/>
      <w:noProof/>
      <w:sz w:val="20"/>
    </w:rPr>
  </w:style>
  <w:style w:type="paragraph" w:styleId="aa">
    <w:name w:val="Revision"/>
    <w:hidden/>
    <w:uiPriority w:val="99"/>
    <w:semiHidden/>
    <w:rsid w:val="00E3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2033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涵</dc:creator>
  <cp:keywords/>
  <dc:description/>
  <cp:lastModifiedBy>李 涵</cp:lastModifiedBy>
  <cp:revision>78</cp:revision>
  <dcterms:created xsi:type="dcterms:W3CDTF">2022-03-13T15:01:00Z</dcterms:created>
  <dcterms:modified xsi:type="dcterms:W3CDTF">2022-04-02T11:15:00Z</dcterms:modified>
</cp:coreProperties>
</file>