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158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3"/>
        <w:gridCol w:w="1994"/>
        <w:gridCol w:w="851"/>
        <w:gridCol w:w="2268"/>
        <w:gridCol w:w="1276"/>
        <w:gridCol w:w="1842"/>
        <w:gridCol w:w="993"/>
        <w:gridCol w:w="2262"/>
        <w:gridCol w:w="992"/>
      </w:tblGrid>
      <w:tr w:rsidR="00555719" w:rsidRPr="005163B5" w14:paraId="388A9994" w14:textId="12915DC6" w:rsidTr="00F02D63">
        <w:trPr>
          <w:jc w:val="center"/>
        </w:trPr>
        <w:tc>
          <w:tcPr>
            <w:tcW w:w="15871" w:type="dxa"/>
            <w:gridSpan w:val="9"/>
            <w:tcBorders>
              <w:bottom w:val="single" w:sz="12" w:space="0" w:color="auto"/>
            </w:tcBorders>
          </w:tcPr>
          <w:p w14:paraId="6DC7348B" w14:textId="7A9B60BF" w:rsidR="00555719" w:rsidRPr="00930F88" w:rsidRDefault="00555719" w:rsidP="00473AD3">
            <w:pPr>
              <w:spacing w:before="40" w:after="4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Table 3 - Predictive Accuracy of </w:t>
            </w:r>
            <w:r w:rsidRPr="00930F88">
              <w:rPr>
                <w:rFonts w:ascii="Arial" w:eastAsia="Arial" w:hAnsi="Arial" w:cs="Arial"/>
                <w:b/>
                <w:bCs/>
                <w:color w:val="111111"/>
                <w:sz w:val="24"/>
                <w:szCs w:val="24"/>
                <w:lang w:val="en-US"/>
              </w:rPr>
              <w:t>Lung-Specific Physiological Variables</w:t>
            </w:r>
          </w:p>
        </w:tc>
      </w:tr>
      <w:tr w:rsidR="00B73F67" w:rsidRPr="00930F88" w14:paraId="648356B6" w14:textId="0E379A81" w:rsidTr="00F02D63">
        <w:trPr>
          <w:jc w:val="center"/>
        </w:trPr>
        <w:tc>
          <w:tcPr>
            <w:tcW w:w="3393" w:type="dxa"/>
            <w:tcBorders>
              <w:top w:val="single" w:sz="12" w:space="0" w:color="auto"/>
            </w:tcBorders>
            <w:vAlign w:val="center"/>
          </w:tcPr>
          <w:p w14:paraId="38328946" w14:textId="77777777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94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07DEDD1" w14:textId="6C9C21B0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Odds Ratio*</w:t>
            </w:r>
          </w:p>
          <w:p w14:paraId="4AE701A3" w14:textId="4A191D21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(95% 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2E957F2D" w14:textId="407F494A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value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FEC6EB2" w14:textId="518320FE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AUC</w:t>
            </w:r>
          </w:p>
          <w:p w14:paraId="05C9195A" w14:textId="5B3E8E39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(95% CI)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8DBDD1C" w14:textId="0263FF12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Brier Score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A34CF6F" w14:textId="1E06E069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NRI</w:t>
            </w:r>
          </w:p>
          <w:p w14:paraId="7E5B8E4F" w14:textId="078EBEA7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(95% CI)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60522B25" w14:textId="5563C9C7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value</w:t>
            </w:r>
          </w:p>
        </w:tc>
        <w:tc>
          <w:tcPr>
            <w:tcW w:w="226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3CF0543F" w14:textId="23E34170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IDI</w:t>
            </w:r>
          </w:p>
          <w:p w14:paraId="196F790B" w14:textId="287899CE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(95% CI)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62F10D2" w14:textId="0B48B6E8" w:rsidR="00B73F67" w:rsidRPr="00930F88" w:rsidRDefault="00B73F67" w:rsidP="00646A9F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  <w:r w:rsidRPr="00930F8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value</w:t>
            </w:r>
          </w:p>
        </w:tc>
      </w:tr>
      <w:tr w:rsidR="00B73F67" w:rsidRPr="00930F88" w14:paraId="1CBC66D6" w14:textId="56A5067A" w:rsidTr="00F02D63">
        <w:trPr>
          <w:jc w:val="center"/>
        </w:trPr>
        <w:tc>
          <w:tcPr>
            <w:tcW w:w="3393" w:type="dxa"/>
          </w:tcPr>
          <w:p w14:paraId="1DA27B68" w14:textId="748CD4CA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Base model</w:t>
            </w:r>
          </w:p>
        </w:tc>
        <w:tc>
          <w:tcPr>
            <w:tcW w:w="1994" w:type="dxa"/>
            <w:tcBorders>
              <w:top w:val="single" w:sz="2" w:space="0" w:color="auto"/>
            </w:tcBorders>
          </w:tcPr>
          <w:p w14:paraId="17F61925" w14:textId="129E033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---</w:t>
            </w:r>
          </w:p>
        </w:tc>
        <w:tc>
          <w:tcPr>
            <w:tcW w:w="851" w:type="dxa"/>
            <w:tcBorders>
              <w:top w:val="single" w:sz="2" w:space="0" w:color="auto"/>
            </w:tcBorders>
          </w:tcPr>
          <w:p w14:paraId="08B0029C" w14:textId="0B732803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---</w:t>
            </w:r>
          </w:p>
        </w:tc>
        <w:tc>
          <w:tcPr>
            <w:tcW w:w="2268" w:type="dxa"/>
            <w:tcBorders>
              <w:top w:val="single" w:sz="2" w:space="0" w:color="auto"/>
            </w:tcBorders>
          </w:tcPr>
          <w:p w14:paraId="7D64FED9" w14:textId="1F7FF46F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0.751 (0.715 to 0.788)</w:t>
            </w:r>
          </w:p>
        </w:tc>
        <w:tc>
          <w:tcPr>
            <w:tcW w:w="1276" w:type="dxa"/>
            <w:tcBorders>
              <w:top w:val="single" w:sz="2" w:space="0" w:color="auto"/>
            </w:tcBorders>
          </w:tcPr>
          <w:p w14:paraId="1ED66809" w14:textId="061A938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1842" w:type="dxa"/>
            <w:tcBorders>
              <w:top w:val="single" w:sz="2" w:space="0" w:color="auto"/>
            </w:tcBorders>
          </w:tcPr>
          <w:p w14:paraId="40D69939" w14:textId="0BFBF3B1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---</w:t>
            </w:r>
          </w:p>
        </w:tc>
        <w:tc>
          <w:tcPr>
            <w:tcW w:w="993" w:type="dxa"/>
            <w:tcBorders>
              <w:top w:val="single" w:sz="2" w:space="0" w:color="auto"/>
            </w:tcBorders>
          </w:tcPr>
          <w:p w14:paraId="0D37969D" w14:textId="33AB3E0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---</w:t>
            </w:r>
          </w:p>
        </w:tc>
        <w:tc>
          <w:tcPr>
            <w:tcW w:w="2262" w:type="dxa"/>
            <w:tcBorders>
              <w:top w:val="single" w:sz="2" w:space="0" w:color="auto"/>
            </w:tcBorders>
          </w:tcPr>
          <w:p w14:paraId="03C0F67A" w14:textId="7947AC95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---</w:t>
            </w:r>
          </w:p>
        </w:tc>
        <w:tc>
          <w:tcPr>
            <w:tcW w:w="992" w:type="dxa"/>
            <w:tcBorders>
              <w:top w:val="single" w:sz="2" w:space="0" w:color="auto"/>
            </w:tcBorders>
          </w:tcPr>
          <w:p w14:paraId="13F66D62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73F67" w:rsidRPr="00930F88" w14:paraId="20B5247B" w14:textId="6FCF1420" w:rsidTr="00F02D63">
        <w:trPr>
          <w:jc w:val="center"/>
        </w:trPr>
        <w:tc>
          <w:tcPr>
            <w:tcW w:w="3393" w:type="dxa"/>
          </w:tcPr>
          <w:p w14:paraId="02C1E248" w14:textId="66FAA9C7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At start of ventilation</w:t>
            </w:r>
          </w:p>
        </w:tc>
        <w:tc>
          <w:tcPr>
            <w:tcW w:w="1994" w:type="dxa"/>
          </w:tcPr>
          <w:p w14:paraId="4D237682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1560E781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6312A305" w14:textId="6360D890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20CC16CC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</w:tcPr>
          <w:p w14:paraId="1F0D2B75" w14:textId="2261E648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14:paraId="2C84A88C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2" w:type="dxa"/>
          </w:tcPr>
          <w:p w14:paraId="5748D8E1" w14:textId="2899BA1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7644136C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73F67" w:rsidRPr="00930F88" w14:paraId="7946AF25" w14:textId="2CAA038E" w:rsidTr="00F02D63">
        <w:trPr>
          <w:jc w:val="center"/>
        </w:trPr>
        <w:tc>
          <w:tcPr>
            <w:tcW w:w="3393" w:type="dxa"/>
          </w:tcPr>
          <w:p w14:paraId="60453602" w14:textId="0631388B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</w:t>
            </w:r>
            <w:r w:rsidRPr="00930F88">
              <w:rPr>
                <w:rFonts w:ascii="Arial" w:eastAsia="Arial" w:hAnsi="Arial" w:cs="Arial"/>
                <w:color w:val="111111"/>
                <w:sz w:val="18"/>
                <w:szCs w:val="18"/>
                <w:lang w:val="en-US"/>
              </w:rPr>
              <w:t>Dead space fraction by HB</w:t>
            </w:r>
          </w:p>
        </w:tc>
        <w:tc>
          <w:tcPr>
            <w:tcW w:w="1994" w:type="dxa"/>
          </w:tcPr>
          <w:p w14:paraId="0D72CD0E" w14:textId="7349694B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0.91 (0.74 to 1.11)</w:t>
            </w:r>
          </w:p>
        </w:tc>
        <w:tc>
          <w:tcPr>
            <w:tcW w:w="851" w:type="dxa"/>
          </w:tcPr>
          <w:p w14:paraId="63E07E86" w14:textId="760C4B45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0.356</w:t>
            </w:r>
          </w:p>
        </w:tc>
        <w:tc>
          <w:tcPr>
            <w:tcW w:w="2268" w:type="dxa"/>
          </w:tcPr>
          <w:p w14:paraId="5A35D4D3" w14:textId="3F39333E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0.751 (0.715 to 0.788)</w:t>
            </w:r>
          </w:p>
        </w:tc>
        <w:tc>
          <w:tcPr>
            <w:tcW w:w="1276" w:type="dxa"/>
          </w:tcPr>
          <w:p w14:paraId="4179EAC7" w14:textId="6F837B3D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1842" w:type="dxa"/>
          </w:tcPr>
          <w:p w14:paraId="5309B1FF" w14:textId="60E4D510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0.08 (-0.07 to 0.23)</w:t>
            </w:r>
          </w:p>
        </w:tc>
        <w:tc>
          <w:tcPr>
            <w:tcW w:w="993" w:type="dxa"/>
          </w:tcPr>
          <w:p w14:paraId="368FC26B" w14:textId="0AC42B78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0.280</w:t>
            </w:r>
          </w:p>
        </w:tc>
        <w:tc>
          <w:tcPr>
            <w:tcW w:w="2262" w:type="dxa"/>
          </w:tcPr>
          <w:p w14:paraId="35FE566F" w14:textId="24E364C0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0.001 (-0.000 to 0.003)</w:t>
            </w:r>
          </w:p>
        </w:tc>
        <w:tc>
          <w:tcPr>
            <w:tcW w:w="992" w:type="dxa"/>
          </w:tcPr>
          <w:p w14:paraId="11573907" w14:textId="3EBA1533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0.165</w:t>
            </w:r>
          </w:p>
        </w:tc>
      </w:tr>
      <w:tr w:rsidR="00B73F67" w:rsidRPr="00930F88" w14:paraId="0488B6E3" w14:textId="5A337E3C" w:rsidTr="00F02D63">
        <w:trPr>
          <w:jc w:val="center"/>
        </w:trPr>
        <w:tc>
          <w:tcPr>
            <w:tcW w:w="3393" w:type="dxa"/>
          </w:tcPr>
          <w:p w14:paraId="27BA21F1" w14:textId="2E978B58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Dead space fraction direct</w:t>
            </w:r>
          </w:p>
        </w:tc>
        <w:tc>
          <w:tcPr>
            <w:tcW w:w="1994" w:type="dxa"/>
          </w:tcPr>
          <w:p w14:paraId="668E283D" w14:textId="27625C30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0.83 (0.67 to 1.02)</w:t>
            </w:r>
          </w:p>
        </w:tc>
        <w:tc>
          <w:tcPr>
            <w:tcW w:w="851" w:type="dxa"/>
          </w:tcPr>
          <w:p w14:paraId="08B90A2F" w14:textId="60ACEAAB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0.082</w:t>
            </w:r>
          </w:p>
        </w:tc>
        <w:tc>
          <w:tcPr>
            <w:tcW w:w="2268" w:type="dxa"/>
          </w:tcPr>
          <w:p w14:paraId="2AB4EC00" w14:textId="339C2FD5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0.754 (0.718 to 0.790)</w:t>
            </w:r>
          </w:p>
        </w:tc>
        <w:tc>
          <w:tcPr>
            <w:tcW w:w="1276" w:type="dxa"/>
          </w:tcPr>
          <w:p w14:paraId="507555EF" w14:textId="4C35BBF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1842" w:type="dxa"/>
          </w:tcPr>
          <w:p w14:paraId="0223EFA4" w14:textId="5F8D9242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0.13 (-0.02 to 0.28)</w:t>
            </w:r>
          </w:p>
        </w:tc>
        <w:tc>
          <w:tcPr>
            <w:tcW w:w="993" w:type="dxa"/>
          </w:tcPr>
          <w:p w14:paraId="739C572F" w14:textId="42DE123D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0.081</w:t>
            </w:r>
          </w:p>
        </w:tc>
        <w:tc>
          <w:tcPr>
            <w:tcW w:w="2262" w:type="dxa"/>
          </w:tcPr>
          <w:p w14:paraId="37AD0AEB" w14:textId="076246F5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0.005 (-0.000 to 0.009)</w:t>
            </w:r>
          </w:p>
        </w:tc>
        <w:tc>
          <w:tcPr>
            <w:tcW w:w="992" w:type="dxa"/>
          </w:tcPr>
          <w:p w14:paraId="047EA296" w14:textId="38E312B5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0.025</w:t>
            </w:r>
          </w:p>
        </w:tc>
      </w:tr>
      <w:tr w:rsidR="00B73F67" w:rsidRPr="00930F88" w14:paraId="33716C5E" w14:textId="092FFF5B" w:rsidTr="00F02D63">
        <w:trPr>
          <w:jc w:val="center"/>
        </w:trPr>
        <w:tc>
          <w:tcPr>
            <w:tcW w:w="3393" w:type="dxa"/>
          </w:tcPr>
          <w:p w14:paraId="0BDCE0F5" w14:textId="19B9CCF6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Ventilatory ratio</w:t>
            </w:r>
          </w:p>
        </w:tc>
        <w:tc>
          <w:tcPr>
            <w:tcW w:w="1994" w:type="dxa"/>
          </w:tcPr>
          <w:p w14:paraId="0B27CE88" w14:textId="02F70F8F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0.90 (0.71 to 1.14)</w:t>
            </w:r>
          </w:p>
        </w:tc>
        <w:tc>
          <w:tcPr>
            <w:tcW w:w="851" w:type="dxa"/>
          </w:tcPr>
          <w:p w14:paraId="4B01B4D6" w14:textId="3315EA73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0.394</w:t>
            </w:r>
          </w:p>
        </w:tc>
        <w:tc>
          <w:tcPr>
            <w:tcW w:w="2268" w:type="dxa"/>
          </w:tcPr>
          <w:p w14:paraId="33AEDD36" w14:textId="0CFC2B11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0.752 (0.</w:t>
            </w:r>
            <w:r w:rsidR="005163B5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16 to 0.788)</w:t>
            </w:r>
          </w:p>
        </w:tc>
        <w:tc>
          <w:tcPr>
            <w:tcW w:w="1276" w:type="dxa"/>
          </w:tcPr>
          <w:p w14:paraId="6F71A214" w14:textId="251A0FF9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1842" w:type="dxa"/>
          </w:tcPr>
          <w:p w14:paraId="1F16BF1E" w14:textId="4138BD08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0.07 (-0.08 to 0.22)</w:t>
            </w:r>
          </w:p>
        </w:tc>
        <w:tc>
          <w:tcPr>
            <w:tcW w:w="993" w:type="dxa"/>
          </w:tcPr>
          <w:p w14:paraId="06923CD2" w14:textId="21BAC4F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0.350</w:t>
            </w:r>
          </w:p>
        </w:tc>
        <w:tc>
          <w:tcPr>
            <w:tcW w:w="2262" w:type="dxa"/>
          </w:tcPr>
          <w:p w14:paraId="46AE9AB2" w14:textId="095B2DA3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0.001 (-0.000 to 0.004)</w:t>
            </w:r>
          </w:p>
        </w:tc>
        <w:tc>
          <w:tcPr>
            <w:tcW w:w="992" w:type="dxa"/>
          </w:tcPr>
          <w:p w14:paraId="1163F5A4" w14:textId="04A25D5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0.067</w:t>
            </w:r>
          </w:p>
        </w:tc>
      </w:tr>
      <w:tr w:rsidR="00B73F67" w:rsidRPr="00930F88" w14:paraId="67B403D2" w14:textId="42D3552B" w:rsidTr="00F02D63">
        <w:trPr>
          <w:jc w:val="center"/>
        </w:trPr>
        <w:tc>
          <w:tcPr>
            <w:tcW w:w="3393" w:type="dxa"/>
          </w:tcPr>
          <w:p w14:paraId="2157137D" w14:textId="620CC527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</w:t>
            </w:r>
            <w:bookmarkStart w:id="0" w:name="_Hlk51772904"/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end-tidal-to-arterial PCO</w:t>
            </w:r>
            <w:r w:rsidRPr="00930F88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2</w:t>
            </w: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ratio</w:t>
            </w:r>
            <w:bookmarkEnd w:id="0"/>
          </w:p>
        </w:tc>
        <w:tc>
          <w:tcPr>
            <w:tcW w:w="1994" w:type="dxa"/>
          </w:tcPr>
          <w:p w14:paraId="377EA665" w14:textId="15AF791E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0.93 (0.76 to 1.15)</w:t>
            </w:r>
          </w:p>
        </w:tc>
        <w:tc>
          <w:tcPr>
            <w:tcW w:w="851" w:type="dxa"/>
          </w:tcPr>
          <w:p w14:paraId="15439351" w14:textId="23EE96B0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0.521</w:t>
            </w:r>
          </w:p>
        </w:tc>
        <w:tc>
          <w:tcPr>
            <w:tcW w:w="2268" w:type="dxa"/>
          </w:tcPr>
          <w:p w14:paraId="249364E0" w14:textId="4BF0161C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0.739 (0.701 to 0.778)</w:t>
            </w:r>
          </w:p>
        </w:tc>
        <w:tc>
          <w:tcPr>
            <w:tcW w:w="1276" w:type="dxa"/>
          </w:tcPr>
          <w:p w14:paraId="0F928543" w14:textId="13241D95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0.168</w:t>
            </w:r>
          </w:p>
        </w:tc>
        <w:tc>
          <w:tcPr>
            <w:tcW w:w="1842" w:type="dxa"/>
          </w:tcPr>
          <w:p w14:paraId="7E4B4D3C" w14:textId="067B2506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-0.13 (-0.28 to 0.03)</w:t>
            </w:r>
          </w:p>
        </w:tc>
        <w:tc>
          <w:tcPr>
            <w:tcW w:w="993" w:type="dxa"/>
          </w:tcPr>
          <w:p w14:paraId="6950A76B" w14:textId="283ECDCA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0.106</w:t>
            </w:r>
          </w:p>
        </w:tc>
        <w:tc>
          <w:tcPr>
            <w:tcW w:w="2262" w:type="dxa"/>
          </w:tcPr>
          <w:p w14:paraId="29DEE997" w14:textId="3A9AA2C7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-0.009 (-0.015 to -0.003)</w:t>
            </w:r>
          </w:p>
        </w:tc>
        <w:tc>
          <w:tcPr>
            <w:tcW w:w="992" w:type="dxa"/>
          </w:tcPr>
          <w:p w14:paraId="40771C20" w14:textId="6C7E9677" w:rsidR="00B73F67" w:rsidRPr="00930F88" w:rsidRDefault="00646A9F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0.001</w:t>
            </w:r>
          </w:p>
        </w:tc>
      </w:tr>
      <w:tr w:rsidR="00B73F67" w:rsidRPr="00930F88" w14:paraId="153B6811" w14:textId="347ED8BC" w:rsidTr="00F02D63">
        <w:trPr>
          <w:jc w:val="center"/>
        </w:trPr>
        <w:tc>
          <w:tcPr>
            <w:tcW w:w="3393" w:type="dxa"/>
          </w:tcPr>
          <w:p w14:paraId="00037173" w14:textId="4DE19955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Day 01</w:t>
            </w:r>
          </w:p>
        </w:tc>
        <w:tc>
          <w:tcPr>
            <w:tcW w:w="1994" w:type="dxa"/>
          </w:tcPr>
          <w:p w14:paraId="0605F3DD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659CF7F1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1F23FA4F" w14:textId="5C773E46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74BAEDF5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</w:tcPr>
          <w:p w14:paraId="20A9E594" w14:textId="030F1590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14:paraId="17CF773E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2" w:type="dxa"/>
          </w:tcPr>
          <w:p w14:paraId="30D923B3" w14:textId="5633AF0D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014D675D" w14:textId="77777777" w:rsidR="00B73F67" w:rsidRPr="00930F88" w:rsidRDefault="00B73F67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73F67" w:rsidRPr="00930F88" w14:paraId="36A43193" w14:textId="1182FDB4" w:rsidTr="00F02D63">
        <w:trPr>
          <w:jc w:val="center"/>
        </w:trPr>
        <w:tc>
          <w:tcPr>
            <w:tcW w:w="3393" w:type="dxa"/>
          </w:tcPr>
          <w:p w14:paraId="23140615" w14:textId="4139B78A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</w:t>
            </w:r>
            <w:r w:rsidRPr="00930F88">
              <w:rPr>
                <w:rFonts w:ascii="Arial" w:eastAsia="Arial" w:hAnsi="Arial" w:cs="Arial"/>
                <w:color w:val="111111"/>
                <w:sz w:val="18"/>
                <w:szCs w:val="18"/>
                <w:lang w:val="en-US"/>
              </w:rPr>
              <w:t>Dead space fraction by HB</w:t>
            </w:r>
          </w:p>
        </w:tc>
        <w:tc>
          <w:tcPr>
            <w:tcW w:w="1994" w:type="dxa"/>
          </w:tcPr>
          <w:p w14:paraId="31586000" w14:textId="3BAC57CA" w:rsidR="00B73F67" w:rsidRPr="00930F88" w:rsidRDefault="00E062B3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1.05 (0.86 to 1.29)</w:t>
            </w:r>
          </w:p>
        </w:tc>
        <w:tc>
          <w:tcPr>
            <w:tcW w:w="851" w:type="dxa"/>
          </w:tcPr>
          <w:p w14:paraId="36C07A20" w14:textId="34AE8251" w:rsidR="00B73F67" w:rsidRPr="00930F88" w:rsidRDefault="00E062B3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0.619</w:t>
            </w:r>
          </w:p>
        </w:tc>
        <w:tc>
          <w:tcPr>
            <w:tcW w:w="2268" w:type="dxa"/>
          </w:tcPr>
          <w:p w14:paraId="523A060E" w14:textId="1B6A690D" w:rsidR="00B73F67" w:rsidRPr="00930F88" w:rsidRDefault="00E062B3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0.749 (0.712 to 0.786)</w:t>
            </w:r>
          </w:p>
        </w:tc>
        <w:tc>
          <w:tcPr>
            <w:tcW w:w="1276" w:type="dxa"/>
          </w:tcPr>
          <w:p w14:paraId="542316EF" w14:textId="6FF1C0CE" w:rsidR="00B73F67" w:rsidRPr="00930F88" w:rsidRDefault="00E062B3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0.170</w:t>
            </w:r>
          </w:p>
        </w:tc>
        <w:tc>
          <w:tcPr>
            <w:tcW w:w="1842" w:type="dxa"/>
          </w:tcPr>
          <w:p w14:paraId="08EE459C" w14:textId="42C7B5E2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-0.07 (-0.22 to 0.08)</w:t>
            </w:r>
          </w:p>
        </w:tc>
        <w:tc>
          <w:tcPr>
            <w:tcW w:w="993" w:type="dxa"/>
          </w:tcPr>
          <w:p w14:paraId="5C8E9A62" w14:textId="7A44BBCE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0.362</w:t>
            </w:r>
          </w:p>
        </w:tc>
        <w:tc>
          <w:tcPr>
            <w:tcW w:w="2262" w:type="dxa"/>
          </w:tcPr>
          <w:p w14:paraId="37F1144A" w14:textId="0AD55B67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-0.000 (-0.003 to 0.004)</w:t>
            </w:r>
          </w:p>
        </w:tc>
        <w:tc>
          <w:tcPr>
            <w:tcW w:w="992" w:type="dxa"/>
          </w:tcPr>
          <w:p w14:paraId="694BAE97" w14:textId="4AABF8CF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0.864</w:t>
            </w:r>
          </w:p>
        </w:tc>
      </w:tr>
      <w:tr w:rsidR="00B73F67" w:rsidRPr="00930F88" w14:paraId="0B67F7D5" w14:textId="1775D826" w:rsidTr="00F02D63">
        <w:trPr>
          <w:jc w:val="center"/>
        </w:trPr>
        <w:tc>
          <w:tcPr>
            <w:tcW w:w="3393" w:type="dxa"/>
          </w:tcPr>
          <w:p w14:paraId="540EB44F" w14:textId="5E42F808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Dead space fraction direct</w:t>
            </w:r>
          </w:p>
        </w:tc>
        <w:tc>
          <w:tcPr>
            <w:tcW w:w="1994" w:type="dxa"/>
          </w:tcPr>
          <w:p w14:paraId="7154A12D" w14:textId="1BF1A519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0.90 (0.74 to 1.11)</w:t>
            </w:r>
          </w:p>
        </w:tc>
        <w:tc>
          <w:tcPr>
            <w:tcW w:w="851" w:type="dxa"/>
          </w:tcPr>
          <w:p w14:paraId="2D373665" w14:textId="51AA540B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0.326</w:t>
            </w:r>
          </w:p>
        </w:tc>
        <w:tc>
          <w:tcPr>
            <w:tcW w:w="2268" w:type="dxa"/>
          </w:tcPr>
          <w:p w14:paraId="532827B8" w14:textId="746E9F4B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0.750 (0.713 to 0.787)</w:t>
            </w:r>
          </w:p>
        </w:tc>
        <w:tc>
          <w:tcPr>
            <w:tcW w:w="1276" w:type="dxa"/>
          </w:tcPr>
          <w:p w14:paraId="16A0AA82" w14:textId="6E83E3D1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0.170</w:t>
            </w:r>
          </w:p>
        </w:tc>
        <w:tc>
          <w:tcPr>
            <w:tcW w:w="1842" w:type="dxa"/>
          </w:tcPr>
          <w:p w14:paraId="02D6733D" w14:textId="2E5BA166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0.05 (-0.10 to 0.20)</w:t>
            </w:r>
          </w:p>
        </w:tc>
        <w:tc>
          <w:tcPr>
            <w:tcW w:w="993" w:type="dxa"/>
          </w:tcPr>
          <w:p w14:paraId="689E1BDC" w14:textId="323B5467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0.495</w:t>
            </w:r>
          </w:p>
        </w:tc>
        <w:tc>
          <w:tcPr>
            <w:tcW w:w="2262" w:type="dxa"/>
          </w:tcPr>
          <w:p w14:paraId="780FA633" w14:textId="188B2BF5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0.001 (-0.003 to 0.006)</w:t>
            </w:r>
          </w:p>
        </w:tc>
        <w:tc>
          <w:tcPr>
            <w:tcW w:w="992" w:type="dxa"/>
          </w:tcPr>
          <w:p w14:paraId="1EF1DA36" w14:textId="1F60D0D8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0.606</w:t>
            </w:r>
          </w:p>
        </w:tc>
      </w:tr>
      <w:tr w:rsidR="00B73F67" w:rsidRPr="00930F88" w14:paraId="617DF349" w14:textId="3F4D0A21" w:rsidTr="00F02D63">
        <w:trPr>
          <w:jc w:val="center"/>
        </w:trPr>
        <w:tc>
          <w:tcPr>
            <w:tcW w:w="3393" w:type="dxa"/>
          </w:tcPr>
          <w:p w14:paraId="2E9B4FD1" w14:textId="4A322F03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Ventilatory ratio</w:t>
            </w:r>
          </w:p>
        </w:tc>
        <w:tc>
          <w:tcPr>
            <w:tcW w:w="1994" w:type="dxa"/>
          </w:tcPr>
          <w:p w14:paraId="724D7EF0" w14:textId="13E5BD39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0.99 (0.78 to 1.25)</w:t>
            </w:r>
          </w:p>
        </w:tc>
        <w:tc>
          <w:tcPr>
            <w:tcW w:w="851" w:type="dxa"/>
          </w:tcPr>
          <w:p w14:paraId="25A0EAF9" w14:textId="30C20AA7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0.938</w:t>
            </w:r>
          </w:p>
        </w:tc>
        <w:tc>
          <w:tcPr>
            <w:tcW w:w="2268" w:type="dxa"/>
          </w:tcPr>
          <w:p w14:paraId="1751C990" w14:textId="7925A3B1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0.749 (0.712 to 0.786)</w:t>
            </w:r>
          </w:p>
        </w:tc>
        <w:tc>
          <w:tcPr>
            <w:tcW w:w="1276" w:type="dxa"/>
          </w:tcPr>
          <w:p w14:paraId="77A3F4E9" w14:textId="42D7BDD7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0.170</w:t>
            </w:r>
          </w:p>
        </w:tc>
        <w:tc>
          <w:tcPr>
            <w:tcW w:w="1842" w:type="dxa"/>
          </w:tcPr>
          <w:p w14:paraId="36F819B5" w14:textId="0BB74D0D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-0.00 (-0.15 to 0.15)</w:t>
            </w:r>
          </w:p>
        </w:tc>
        <w:tc>
          <w:tcPr>
            <w:tcW w:w="993" w:type="dxa"/>
          </w:tcPr>
          <w:p w14:paraId="50258E1E" w14:textId="39D97E52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0.996</w:t>
            </w:r>
          </w:p>
        </w:tc>
        <w:tc>
          <w:tcPr>
            <w:tcW w:w="2262" w:type="dxa"/>
          </w:tcPr>
          <w:p w14:paraId="66FF0C0B" w14:textId="4E41FC9D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0.000 (-0.003 to 0.003)</w:t>
            </w:r>
          </w:p>
        </w:tc>
        <w:tc>
          <w:tcPr>
            <w:tcW w:w="992" w:type="dxa"/>
          </w:tcPr>
          <w:p w14:paraId="098A7CE4" w14:textId="5430DAC9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0.994</w:t>
            </w:r>
          </w:p>
        </w:tc>
      </w:tr>
      <w:tr w:rsidR="00B73F67" w:rsidRPr="00930F88" w14:paraId="2E485091" w14:textId="20E5F5B2" w:rsidTr="00F02D63">
        <w:trPr>
          <w:jc w:val="center"/>
        </w:trPr>
        <w:tc>
          <w:tcPr>
            <w:tcW w:w="3393" w:type="dxa"/>
            <w:tcBorders>
              <w:bottom w:val="single" w:sz="12" w:space="0" w:color="auto"/>
            </w:tcBorders>
          </w:tcPr>
          <w:p w14:paraId="37EB29F0" w14:textId="02425358" w:rsidR="00B73F67" w:rsidRPr="00930F88" w:rsidRDefault="00B73F67" w:rsidP="00473AD3">
            <w:pPr>
              <w:spacing w:before="40" w:after="4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  + end-tidal-to-arterial PCO</w:t>
            </w:r>
            <w:r w:rsidRPr="00930F88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2</w:t>
            </w: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 xml:space="preserve"> ratio</w:t>
            </w:r>
          </w:p>
        </w:tc>
        <w:tc>
          <w:tcPr>
            <w:tcW w:w="1994" w:type="dxa"/>
            <w:tcBorders>
              <w:bottom w:val="single" w:sz="12" w:space="0" w:color="auto"/>
            </w:tcBorders>
          </w:tcPr>
          <w:p w14:paraId="3303C9FA" w14:textId="6A7C78BD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0.87 (0.71 to 1.08)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5990B4D8" w14:textId="2B48DBB5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0.206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53B49DAD" w14:textId="759C2851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0.743 (0.703 to 0.782)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1B27FAEF" w14:textId="2E8D6C04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0.170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6BEF34E7" w14:textId="65C4D932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-0.09 (-0.25 to 0.07)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1BD3061A" w14:textId="47630654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0.257</w:t>
            </w:r>
          </w:p>
        </w:tc>
        <w:tc>
          <w:tcPr>
            <w:tcW w:w="2262" w:type="dxa"/>
            <w:tcBorders>
              <w:bottom w:val="single" w:sz="12" w:space="0" w:color="auto"/>
            </w:tcBorders>
          </w:tcPr>
          <w:p w14:paraId="52CD6FD6" w14:textId="2933A2E0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-0.006 (-0.012 to -0.000)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10F705A" w14:textId="0F47ED1F" w:rsidR="00B73F67" w:rsidRPr="00930F88" w:rsidRDefault="00485A3D" w:rsidP="00473AD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30F88">
              <w:rPr>
                <w:rFonts w:ascii="Arial" w:hAnsi="Arial" w:cs="Arial"/>
                <w:sz w:val="18"/>
                <w:szCs w:val="18"/>
                <w:lang w:val="en-US"/>
              </w:rPr>
              <w:t>0.038</w:t>
            </w:r>
          </w:p>
        </w:tc>
      </w:tr>
      <w:tr w:rsidR="00555719" w:rsidRPr="005163B5" w14:paraId="2898628C" w14:textId="3855F97F" w:rsidTr="00F02D63">
        <w:trPr>
          <w:jc w:val="center"/>
        </w:trPr>
        <w:tc>
          <w:tcPr>
            <w:tcW w:w="15871" w:type="dxa"/>
            <w:gridSpan w:val="9"/>
            <w:tcBorders>
              <w:top w:val="single" w:sz="12" w:space="0" w:color="auto"/>
            </w:tcBorders>
          </w:tcPr>
          <w:p w14:paraId="2F3F3B5B" w14:textId="77777777" w:rsidR="00555719" w:rsidRPr="00930F88" w:rsidRDefault="00555719" w:rsidP="00473AD3">
            <w:pPr>
              <w:spacing w:before="40" w:after="40"/>
              <w:ind w:right="102"/>
              <w:jc w:val="both"/>
              <w:rPr>
                <w:rFonts w:ascii="Arial" w:eastAsia="Arial" w:hAnsi="Arial" w:cs="Arial"/>
                <w:i/>
                <w:iCs/>
                <w:color w:val="111111"/>
                <w:sz w:val="16"/>
                <w:szCs w:val="16"/>
                <w:lang w:val="en-US"/>
              </w:rPr>
            </w:pPr>
            <w:r w:rsidRPr="00930F88">
              <w:rPr>
                <w:rFonts w:ascii="Arial" w:eastAsia="Arial" w:hAnsi="Arial" w:cs="Arial"/>
                <w:i/>
                <w:iCs/>
                <w:color w:val="111111"/>
                <w:sz w:val="16"/>
                <w:szCs w:val="16"/>
                <w:lang w:val="en-US"/>
              </w:rPr>
              <w:t>HB: Harris-Benedict; CI: confidence interval; AUC: area under the curve; NRI: net reclassification index; IDI: integrated discrimination index</w:t>
            </w:r>
          </w:p>
          <w:p w14:paraId="27D4CCBB" w14:textId="77777777" w:rsidR="00555719" w:rsidRPr="00930F88" w:rsidRDefault="00555719" w:rsidP="00473AD3">
            <w:pPr>
              <w:spacing w:before="40" w:after="40"/>
              <w:ind w:right="102"/>
              <w:jc w:val="both"/>
              <w:rPr>
                <w:rFonts w:ascii="Arial" w:eastAsia="Arial" w:hAnsi="Arial" w:cs="Arial"/>
                <w:color w:val="111111"/>
                <w:sz w:val="16"/>
                <w:szCs w:val="16"/>
                <w:lang w:val="en-US"/>
              </w:rPr>
            </w:pPr>
            <w:r w:rsidRPr="00930F88">
              <w:rPr>
                <w:rFonts w:ascii="Arial" w:eastAsia="Arial" w:hAnsi="Arial" w:cs="Arial"/>
                <w:color w:val="111111"/>
                <w:sz w:val="16"/>
                <w:szCs w:val="16"/>
                <w:lang w:val="en-US"/>
              </w:rPr>
              <w:t>* represents the odds ratio for the lung-specific physiological variables in the multivariable model</w:t>
            </w:r>
          </w:p>
          <w:p w14:paraId="29BEDE07" w14:textId="77777777" w:rsidR="00555719" w:rsidRPr="00930F88" w:rsidRDefault="00555719" w:rsidP="00473AD3">
            <w:pPr>
              <w:spacing w:before="40" w:after="40"/>
              <w:ind w:right="102"/>
              <w:jc w:val="both"/>
              <w:rPr>
                <w:rFonts w:ascii="Arial" w:eastAsia="Arial" w:hAnsi="Arial" w:cs="Arial"/>
                <w:color w:val="111111"/>
                <w:sz w:val="16"/>
                <w:szCs w:val="16"/>
                <w:lang w:val="en-US"/>
              </w:rPr>
            </w:pPr>
            <w:r w:rsidRPr="00930F88">
              <w:rPr>
                <w:rFonts w:ascii="Arial" w:eastAsia="Arial" w:hAnsi="Arial" w:cs="Arial"/>
                <w:color w:val="111111"/>
                <w:sz w:val="16"/>
                <w:szCs w:val="16"/>
                <w:lang w:val="en-US"/>
              </w:rPr>
              <w:t>All models are mixed-effect models with centers as random effect and considering a binomial distribution</w:t>
            </w:r>
          </w:p>
          <w:p w14:paraId="55515DF1" w14:textId="1A587FF2" w:rsidR="00555719" w:rsidRPr="00930F88" w:rsidRDefault="00555719" w:rsidP="00473AD3">
            <w:pPr>
              <w:spacing w:before="40" w:after="40"/>
              <w:ind w:right="102"/>
              <w:jc w:val="both"/>
              <w:rPr>
                <w:rFonts w:ascii="Arial" w:eastAsia="Arial" w:hAnsi="Arial" w:cs="Arial"/>
                <w:i/>
                <w:iCs/>
                <w:color w:val="111111"/>
                <w:sz w:val="16"/>
                <w:szCs w:val="16"/>
                <w:lang w:val="en-US"/>
              </w:rPr>
            </w:pPr>
            <w:r w:rsidRPr="00930F88">
              <w:rPr>
                <w:rFonts w:ascii="Arial" w:eastAsia="Arial" w:hAnsi="Arial" w:cs="Arial"/>
                <w:color w:val="111111"/>
                <w:sz w:val="16"/>
                <w:szCs w:val="16"/>
                <w:lang w:val="en-US"/>
              </w:rPr>
              <w:t>All continuous variables were entered after standardization to improve convergence of the model, and odds ratio represent the increase in one standard deviation of the variable.</w:t>
            </w:r>
          </w:p>
        </w:tc>
      </w:tr>
    </w:tbl>
    <w:p w14:paraId="673ED111" w14:textId="08B1E8F8" w:rsidR="00482E78" w:rsidRDefault="00482E78">
      <w:pPr>
        <w:rPr>
          <w:rFonts w:ascii="Arial" w:hAnsi="Arial" w:cs="Arial"/>
          <w:sz w:val="20"/>
          <w:szCs w:val="20"/>
          <w:lang w:val="en-US"/>
        </w:rPr>
      </w:pPr>
    </w:p>
    <w:p w14:paraId="2C433681" w14:textId="298EC67C" w:rsidR="00892316" w:rsidRDefault="00892316">
      <w:pPr>
        <w:rPr>
          <w:rFonts w:ascii="Arial" w:hAnsi="Arial" w:cs="Arial"/>
          <w:sz w:val="20"/>
          <w:szCs w:val="20"/>
          <w:lang w:val="en-US"/>
        </w:rPr>
      </w:pPr>
    </w:p>
    <w:p w14:paraId="656151CB" w14:textId="77777777" w:rsidR="00892316" w:rsidRPr="00473AD3" w:rsidRDefault="00892316">
      <w:pPr>
        <w:rPr>
          <w:rFonts w:ascii="Arial" w:hAnsi="Arial" w:cs="Arial"/>
          <w:sz w:val="20"/>
          <w:szCs w:val="20"/>
          <w:lang w:val="en-US"/>
        </w:rPr>
      </w:pPr>
    </w:p>
    <w:sectPr w:rsidR="00892316" w:rsidRPr="00473AD3" w:rsidSect="0089231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B415E2"/>
    <w:multiLevelType w:val="hybridMultilevel"/>
    <w:tmpl w:val="30F6DDD8"/>
    <w:lvl w:ilvl="0" w:tplc="2EA03C28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D3"/>
    <w:rsid w:val="00473AD3"/>
    <w:rsid w:val="00482E78"/>
    <w:rsid w:val="00485A3D"/>
    <w:rsid w:val="005163B5"/>
    <w:rsid w:val="00555719"/>
    <w:rsid w:val="00646A9F"/>
    <w:rsid w:val="00892316"/>
    <w:rsid w:val="00930F88"/>
    <w:rsid w:val="009D32FF"/>
    <w:rsid w:val="00A31B1D"/>
    <w:rsid w:val="00B73F67"/>
    <w:rsid w:val="00BF7646"/>
    <w:rsid w:val="00E062B3"/>
    <w:rsid w:val="00F0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58098"/>
  <w15:chartTrackingRefBased/>
  <w15:docId w15:val="{D30D837B-EEEF-4FEC-9C7B-0F7E16A1E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73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73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308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 Serpa Neto</dc:creator>
  <cp:keywords/>
  <dc:description/>
  <cp:lastModifiedBy>Ary Serpa Neto</cp:lastModifiedBy>
  <cp:revision>8</cp:revision>
  <dcterms:created xsi:type="dcterms:W3CDTF">2020-09-23T05:26:00Z</dcterms:created>
  <dcterms:modified xsi:type="dcterms:W3CDTF">2020-09-24T04:19:00Z</dcterms:modified>
</cp:coreProperties>
</file>