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6118D" w14:textId="35A66DDA" w:rsidR="005A4B5A" w:rsidRDefault="00EA224B">
      <w:r>
        <w:rPr>
          <w:noProof/>
        </w:rPr>
        <w:drawing>
          <wp:inline distT="0" distB="0" distL="0" distR="0" wp14:anchorId="5DD95622" wp14:editId="1FC2C9F8">
            <wp:extent cx="5270500" cy="440055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440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7D3623" w14:textId="77777777" w:rsidR="00EA224B" w:rsidRDefault="00EA224B" w:rsidP="00EA224B">
      <w:pPr>
        <w:rPr>
          <w:rFonts w:ascii="Arial" w:hAnsi="Arial" w:cs="Arial"/>
        </w:rPr>
      </w:pPr>
      <w:r>
        <w:rPr>
          <w:rFonts w:ascii="Arial" w:hAnsi="Arial" w:cs="Arial" w:hint="eastAsia"/>
        </w:rPr>
        <w:t>Su</w:t>
      </w:r>
      <w:r>
        <w:rPr>
          <w:rFonts w:ascii="Arial" w:hAnsi="Arial" w:cs="Arial"/>
        </w:rPr>
        <w:t>pplementary Figure 1</w:t>
      </w:r>
    </w:p>
    <w:p w14:paraId="4CD11185" w14:textId="2CFD6BC1" w:rsidR="00EA224B" w:rsidRDefault="00EA224B">
      <w:pPr>
        <w:rPr>
          <w:rFonts w:ascii="Arial" w:hAnsi="Arial" w:cs="Arial"/>
        </w:rPr>
      </w:pPr>
      <w:r>
        <w:rPr>
          <w:rFonts w:ascii="Arial" w:hAnsi="Arial" w:cs="Arial" w:hint="eastAsia"/>
        </w:rPr>
        <w:t>A</w:t>
      </w:r>
      <w:r>
        <w:rPr>
          <w:rFonts w:ascii="Arial" w:hAnsi="Arial" w:cs="Arial"/>
        </w:rPr>
        <w:t xml:space="preserve"> The IC50 for TMZ and expression of PDIA3P1 </w:t>
      </w:r>
      <w:r>
        <w:rPr>
          <w:rFonts w:ascii="Arial" w:hAnsi="Arial" w:cs="Arial" w:hint="eastAsia"/>
        </w:rPr>
        <w:t>o</w:t>
      </w:r>
      <w:r>
        <w:rPr>
          <w:rFonts w:ascii="Arial" w:hAnsi="Arial" w:cs="Arial"/>
        </w:rPr>
        <w:t>f 10 glioma cell lines (TMZ sensitive and TMZ resistant cell lines). B Patients with high PDIA3P1 expression exhibited shorten progress disease survival time. C The PDIA3P1 expression in 4 glioblastoma cell lines. D PDIA31P</w:t>
      </w:r>
      <w:r w:rsidRPr="00A924C5">
        <w:rPr>
          <w:rFonts w:ascii="Arial" w:hAnsi="Arial" w:cs="Arial"/>
        </w:rPr>
        <w:t xml:space="preserve"> was </w:t>
      </w:r>
      <w:r>
        <w:rPr>
          <w:rFonts w:ascii="Arial" w:hAnsi="Arial" w:cs="Arial"/>
        </w:rPr>
        <w:t>knocked down</w:t>
      </w:r>
      <w:r w:rsidRPr="00A924C5">
        <w:rPr>
          <w:rFonts w:ascii="Arial" w:hAnsi="Arial" w:cs="Arial"/>
        </w:rPr>
        <w:t xml:space="preserve"> in </w:t>
      </w:r>
      <w:r>
        <w:rPr>
          <w:rFonts w:ascii="Arial" w:hAnsi="Arial" w:cs="Arial"/>
        </w:rPr>
        <w:t>U118MG</w:t>
      </w:r>
      <w:r w:rsidRPr="00A924C5">
        <w:rPr>
          <w:rFonts w:ascii="Arial" w:hAnsi="Arial" w:cs="Arial"/>
        </w:rPr>
        <w:t xml:space="preserve"> and </w:t>
      </w:r>
      <w:r>
        <w:rPr>
          <w:rFonts w:ascii="Arial" w:hAnsi="Arial" w:cs="Arial"/>
        </w:rPr>
        <w:t>U87MG</w:t>
      </w:r>
      <w:r w:rsidRPr="00A924C5">
        <w:rPr>
          <w:rFonts w:ascii="Arial" w:hAnsi="Arial" w:cs="Arial"/>
        </w:rPr>
        <w:t xml:space="preserve"> cells by two</w:t>
      </w:r>
      <w:r>
        <w:rPr>
          <w:rFonts w:ascii="Arial" w:hAnsi="Arial" w:cs="Arial" w:hint="eastAsia"/>
        </w:rPr>
        <w:t xml:space="preserve"> </w:t>
      </w:r>
      <w:r w:rsidRPr="00A924C5">
        <w:rPr>
          <w:rFonts w:ascii="Arial" w:hAnsi="Arial" w:cs="Arial"/>
        </w:rPr>
        <w:t xml:space="preserve">different shRNA and overexpressed in </w:t>
      </w:r>
      <w:r>
        <w:rPr>
          <w:rFonts w:ascii="Arial" w:hAnsi="Arial" w:cs="Arial"/>
        </w:rPr>
        <w:t>LN229 and U251</w:t>
      </w:r>
      <w:r w:rsidRPr="00A924C5">
        <w:rPr>
          <w:rFonts w:ascii="Arial" w:hAnsi="Arial" w:cs="Arial"/>
        </w:rPr>
        <w:t xml:space="preserve"> cells.</w:t>
      </w:r>
      <w:r>
        <w:rPr>
          <w:rFonts w:ascii="Arial" w:hAnsi="Arial" w:cs="Arial"/>
        </w:rPr>
        <w:t xml:space="preserve"> E </w:t>
      </w:r>
      <w:r w:rsidRPr="00992548">
        <w:rPr>
          <w:rFonts w:ascii="Arial" w:hAnsi="Arial" w:cs="Arial"/>
        </w:rPr>
        <w:t>Cell</w:t>
      </w:r>
      <w:r>
        <w:rPr>
          <w:rFonts w:ascii="Arial" w:hAnsi="Arial" w:cs="Arial" w:hint="eastAsia"/>
        </w:rPr>
        <w:t xml:space="preserve"> </w:t>
      </w:r>
      <w:r w:rsidRPr="00992548">
        <w:rPr>
          <w:rFonts w:ascii="Arial" w:hAnsi="Arial" w:cs="Arial"/>
        </w:rPr>
        <w:t>proliferation was assessed by CCK-8</w:t>
      </w:r>
      <w:r>
        <w:rPr>
          <w:rFonts w:ascii="Arial" w:hAnsi="Arial" w:cs="Arial"/>
        </w:rPr>
        <w:t xml:space="preserve"> assay.</w:t>
      </w:r>
    </w:p>
    <w:p w14:paraId="111BA302" w14:textId="6C4939AC" w:rsidR="00E7119D" w:rsidRDefault="00E7119D">
      <w:pPr>
        <w:rPr>
          <w:rFonts w:ascii="Arial" w:hAnsi="Arial" w:cs="Arial"/>
        </w:rPr>
      </w:pPr>
    </w:p>
    <w:p w14:paraId="5036734B" w14:textId="77777777" w:rsidR="00E7119D" w:rsidRPr="00EA224B" w:rsidRDefault="00E7119D">
      <w:pPr>
        <w:rPr>
          <w:rFonts w:ascii="Arial" w:hAnsi="Arial" w:cs="Arial" w:hint="eastAsia"/>
        </w:rPr>
      </w:pPr>
    </w:p>
    <w:p w14:paraId="3F299003" w14:textId="3B6D23A6" w:rsidR="00EA224B" w:rsidRDefault="00EA224B">
      <w:r>
        <w:rPr>
          <w:noProof/>
        </w:rPr>
        <w:lastRenderedPageBreak/>
        <w:drawing>
          <wp:inline distT="0" distB="0" distL="0" distR="0" wp14:anchorId="2E46E650" wp14:editId="615DCE6D">
            <wp:extent cx="5270500" cy="694055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694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02A4B3" w14:textId="77777777" w:rsidR="00EA224B" w:rsidRDefault="00EA224B" w:rsidP="00EA224B">
      <w:pPr>
        <w:rPr>
          <w:rFonts w:ascii="Arial" w:hAnsi="Arial" w:cs="Arial"/>
        </w:rPr>
      </w:pPr>
      <w:r>
        <w:rPr>
          <w:rFonts w:ascii="Arial" w:hAnsi="Arial" w:cs="Arial" w:hint="eastAsia"/>
        </w:rPr>
        <w:t>Su</w:t>
      </w:r>
      <w:r>
        <w:rPr>
          <w:rFonts w:ascii="Arial" w:hAnsi="Arial" w:cs="Arial"/>
        </w:rPr>
        <w:t>pplementary Figure 2</w:t>
      </w:r>
    </w:p>
    <w:p w14:paraId="01756270" w14:textId="33CD0CEE" w:rsidR="00EA224B" w:rsidRDefault="00EA224B" w:rsidP="00EA224B">
      <w:pPr>
        <w:rPr>
          <w:rFonts w:ascii="Arial" w:hAnsi="Arial" w:cs="Arial"/>
        </w:rPr>
      </w:pPr>
      <w:r>
        <w:rPr>
          <w:rFonts w:ascii="Arial" w:hAnsi="Arial" w:cs="Arial"/>
        </w:rPr>
        <w:t xml:space="preserve">A B </w:t>
      </w:r>
      <w:r w:rsidRPr="00AA7FDC">
        <w:rPr>
          <w:rFonts w:ascii="Arial" w:hAnsi="Arial" w:cs="Arial"/>
        </w:rPr>
        <w:t>Bioluminescence imaging of tumor growth on day five in U118MG</w:t>
      </w:r>
      <w:r>
        <w:rPr>
          <w:rFonts w:ascii="Arial" w:hAnsi="Arial" w:cs="Arial"/>
        </w:rPr>
        <w:t xml:space="preserve"> (A) and U251 (B)</w:t>
      </w:r>
      <w:r w:rsidRPr="00AA7FDC">
        <w:rPr>
          <w:rFonts w:ascii="Arial" w:hAnsi="Arial" w:cs="Arial"/>
        </w:rPr>
        <w:t xml:space="preserve"> xenograft nude mice.</w:t>
      </w:r>
      <w:r>
        <w:rPr>
          <w:rFonts w:ascii="Arial" w:hAnsi="Arial" w:cs="Arial"/>
        </w:rPr>
        <w:t xml:space="preserve"> C D </w:t>
      </w:r>
      <w:r w:rsidRPr="006F5C4D">
        <w:rPr>
          <w:rFonts w:ascii="Arial" w:hAnsi="Arial" w:cs="Arial"/>
        </w:rPr>
        <w:t>Kaplan–Meier visualize</w:t>
      </w:r>
      <w:r>
        <w:rPr>
          <w:rFonts w:ascii="Arial" w:hAnsi="Arial" w:cs="Arial"/>
        </w:rPr>
        <w:t xml:space="preserve">d survival time </w:t>
      </w:r>
      <w:r w:rsidRPr="006F5C4D">
        <w:rPr>
          <w:rFonts w:ascii="Arial" w:hAnsi="Arial" w:cs="Arial"/>
        </w:rPr>
        <w:t>for animals in different groups</w:t>
      </w:r>
      <w:r>
        <w:rPr>
          <w:rFonts w:ascii="Arial" w:hAnsi="Arial" w:cs="Arial"/>
        </w:rPr>
        <w:t xml:space="preserve"> for U118MG (C) and U251 (D).</w:t>
      </w: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 xml:space="preserve">E F </w:t>
      </w:r>
      <w:r w:rsidRPr="00233E05">
        <w:rPr>
          <w:rFonts w:ascii="Arial" w:hAnsi="Arial" w:cs="Arial"/>
        </w:rPr>
        <w:t xml:space="preserve">Representative images of hematoxylin and eosin (H&amp;E) staining in sections from </w:t>
      </w:r>
      <w:r>
        <w:rPr>
          <w:rFonts w:ascii="Arial" w:hAnsi="Arial" w:cs="Arial"/>
        </w:rPr>
        <w:t>U118MG (E) and U251 (F)</w:t>
      </w:r>
      <w:r w:rsidRPr="00233E05">
        <w:rPr>
          <w:rFonts w:ascii="Arial" w:hAnsi="Arial" w:cs="Arial"/>
        </w:rPr>
        <w:t xml:space="preserve"> xenografts.</w:t>
      </w:r>
      <w:r>
        <w:rPr>
          <w:rFonts w:ascii="Arial" w:hAnsi="Arial" w:cs="Arial"/>
        </w:rPr>
        <w:t xml:space="preserve"> </w:t>
      </w:r>
      <w:r w:rsidRPr="00EA224B">
        <w:rPr>
          <w:rFonts w:ascii="Arial" w:hAnsi="Arial" w:cs="Arial"/>
        </w:rPr>
        <w:t>Scale bar, 400μm.</w:t>
      </w:r>
    </w:p>
    <w:p w14:paraId="5C75C46D" w14:textId="77777777" w:rsidR="00E7119D" w:rsidRDefault="00E7119D" w:rsidP="00EA224B">
      <w:pPr>
        <w:rPr>
          <w:rFonts w:ascii="Arial" w:hAnsi="Arial" w:cs="Arial" w:hint="eastAsia"/>
        </w:rPr>
      </w:pPr>
    </w:p>
    <w:p w14:paraId="64FD79C2" w14:textId="77777777" w:rsidR="00EA224B" w:rsidRPr="00EA224B" w:rsidRDefault="00EA224B">
      <w:pPr>
        <w:rPr>
          <w:rFonts w:hint="eastAsia"/>
        </w:rPr>
      </w:pPr>
    </w:p>
    <w:p w14:paraId="29E97872" w14:textId="65F8C8F1" w:rsidR="00EA224B" w:rsidRDefault="00EA224B">
      <w:r>
        <w:rPr>
          <w:noProof/>
        </w:rPr>
        <w:lastRenderedPageBreak/>
        <w:drawing>
          <wp:inline distT="0" distB="0" distL="0" distR="0" wp14:anchorId="79BB75CE" wp14:editId="301DD62D">
            <wp:extent cx="5270500" cy="8248650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AB067D" w14:textId="77777777" w:rsidR="00EA224B" w:rsidRDefault="00EA224B" w:rsidP="00EA224B">
      <w:pPr>
        <w:rPr>
          <w:rFonts w:ascii="Arial" w:hAnsi="Arial" w:cs="Arial"/>
        </w:rPr>
      </w:pPr>
      <w:r>
        <w:rPr>
          <w:rFonts w:ascii="Arial" w:hAnsi="Arial" w:cs="Arial" w:hint="eastAsia"/>
        </w:rPr>
        <w:t>Su</w:t>
      </w:r>
      <w:r>
        <w:rPr>
          <w:rFonts w:ascii="Arial" w:hAnsi="Arial" w:cs="Arial"/>
        </w:rPr>
        <w:t>pplementary Figure 3</w:t>
      </w:r>
    </w:p>
    <w:p w14:paraId="0424C593" w14:textId="378A8565" w:rsidR="00EA224B" w:rsidRDefault="00EA224B" w:rsidP="00EA224B">
      <w:pPr>
        <w:rPr>
          <w:rFonts w:ascii="Arial" w:hAnsi="Arial" w:cs="Arial"/>
        </w:rPr>
      </w:pPr>
      <w:r>
        <w:rPr>
          <w:rFonts w:ascii="Arial" w:hAnsi="Arial" w:cs="Arial"/>
        </w:rPr>
        <w:t xml:space="preserve">A </w:t>
      </w:r>
      <w:r w:rsidRPr="00170354">
        <w:rPr>
          <w:rFonts w:ascii="Arial" w:hAnsi="Arial" w:cs="Arial"/>
        </w:rPr>
        <w:t xml:space="preserve">Patients were divided into high and low </w:t>
      </w:r>
      <w:r>
        <w:rPr>
          <w:rFonts w:ascii="Arial" w:hAnsi="Arial" w:cs="Arial"/>
        </w:rPr>
        <w:t xml:space="preserve">PDIA3P1 </w:t>
      </w:r>
      <w:r w:rsidRPr="00170354">
        <w:rPr>
          <w:rFonts w:ascii="Arial" w:hAnsi="Arial" w:cs="Arial"/>
        </w:rPr>
        <w:t>expression</w:t>
      </w:r>
      <w:r>
        <w:rPr>
          <w:rFonts w:ascii="Arial" w:hAnsi="Arial" w:cs="Arial"/>
        </w:rPr>
        <w:t xml:space="preserve"> groups</w:t>
      </w:r>
      <w:r w:rsidRPr="00170354">
        <w:rPr>
          <w:rFonts w:ascii="Arial" w:hAnsi="Arial" w:cs="Arial"/>
        </w:rPr>
        <w:t xml:space="preserve"> according to </w:t>
      </w:r>
      <w:r w:rsidRPr="00170354">
        <w:rPr>
          <w:rFonts w:ascii="Arial" w:hAnsi="Arial" w:cs="Arial"/>
        </w:rPr>
        <w:lastRenderedPageBreak/>
        <w:t xml:space="preserve">PDIA3P1 expression, and GSVA analysis was performed, and the results were presented </w:t>
      </w:r>
      <w:r>
        <w:rPr>
          <w:rFonts w:ascii="Arial" w:hAnsi="Arial" w:cs="Arial"/>
        </w:rPr>
        <w:t>using heatmap. B Heatmap visualized immune infiltration using ssGSEA, and t</w:t>
      </w:r>
      <w:r w:rsidRPr="0060528E">
        <w:rPr>
          <w:rFonts w:ascii="Arial" w:hAnsi="Arial" w:cs="Arial"/>
        </w:rPr>
        <w:t>he correlation between PDIA3P1</w:t>
      </w:r>
      <w:r>
        <w:rPr>
          <w:rFonts w:ascii="Arial" w:hAnsi="Arial" w:cs="Arial"/>
        </w:rPr>
        <w:t xml:space="preserve"> expression</w:t>
      </w:r>
      <w:r w:rsidRPr="0060528E">
        <w:rPr>
          <w:rFonts w:ascii="Arial" w:hAnsi="Arial" w:cs="Arial"/>
        </w:rPr>
        <w:t xml:space="preserve"> and immune infiltration was analyzed using the chi-square test</w:t>
      </w:r>
      <w:r>
        <w:rPr>
          <w:rFonts w:ascii="Arial" w:hAnsi="Arial" w:cs="Arial"/>
        </w:rPr>
        <w:t xml:space="preserve"> (lower panel). C </w:t>
      </w:r>
      <w:r w:rsidRPr="0060528E">
        <w:rPr>
          <w:rFonts w:ascii="Arial" w:hAnsi="Arial" w:cs="Arial"/>
        </w:rPr>
        <w:t xml:space="preserve">Waterfall plot showing tumor somatic cell mutations in </w:t>
      </w:r>
      <w:r>
        <w:rPr>
          <w:rFonts w:ascii="Arial" w:hAnsi="Arial" w:cs="Arial"/>
        </w:rPr>
        <w:t>low</w:t>
      </w:r>
      <w:r w:rsidRPr="0060528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(left panel) </w:t>
      </w:r>
      <w:r w:rsidRPr="0060528E">
        <w:rPr>
          <w:rFonts w:ascii="Arial" w:hAnsi="Arial" w:cs="Arial"/>
        </w:rPr>
        <w:t xml:space="preserve">and </w:t>
      </w:r>
      <w:r>
        <w:rPr>
          <w:rFonts w:ascii="Arial" w:hAnsi="Arial" w:cs="Arial"/>
        </w:rPr>
        <w:t>high (right panel)</w:t>
      </w:r>
      <w:r w:rsidRPr="0060528E">
        <w:rPr>
          <w:rFonts w:ascii="Arial" w:hAnsi="Arial" w:cs="Arial"/>
        </w:rPr>
        <w:t xml:space="preserve"> PDIA3P1 expression groups.</w:t>
      </w:r>
    </w:p>
    <w:p w14:paraId="582C3A7F" w14:textId="77777777" w:rsidR="00E7119D" w:rsidRPr="00840276" w:rsidRDefault="00E7119D" w:rsidP="00EA224B">
      <w:pPr>
        <w:rPr>
          <w:rFonts w:ascii="Arial" w:hAnsi="Arial" w:cs="Arial"/>
        </w:rPr>
      </w:pPr>
    </w:p>
    <w:p w14:paraId="1441B26D" w14:textId="77777777" w:rsidR="00EA224B" w:rsidRPr="00EA224B" w:rsidRDefault="00EA224B">
      <w:pPr>
        <w:rPr>
          <w:rFonts w:hint="eastAsia"/>
        </w:rPr>
      </w:pPr>
    </w:p>
    <w:p w14:paraId="72463A0A" w14:textId="776CC222" w:rsidR="00EA224B" w:rsidRDefault="00EA224B">
      <w:r>
        <w:rPr>
          <w:noProof/>
        </w:rPr>
        <w:lastRenderedPageBreak/>
        <w:drawing>
          <wp:inline distT="0" distB="0" distL="0" distR="0" wp14:anchorId="1F52EF96" wp14:editId="24039B0A">
            <wp:extent cx="5270500" cy="7848600"/>
            <wp:effectExtent l="0" t="0" r="635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784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4D6675" w14:textId="77777777" w:rsidR="00EA224B" w:rsidRDefault="00EA224B" w:rsidP="00EA224B">
      <w:pPr>
        <w:rPr>
          <w:rFonts w:ascii="Arial" w:hAnsi="Arial" w:cs="Arial"/>
        </w:rPr>
      </w:pPr>
      <w:r>
        <w:rPr>
          <w:rFonts w:ascii="Arial" w:hAnsi="Arial" w:cs="Arial" w:hint="eastAsia"/>
        </w:rPr>
        <w:t>Su</w:t>
      </w:r>
      <w:r>
        <w:rPr>
          <w:rFonts w:ascii="Arial" w:hAnsi="Arial" w:cs="Arial"/>
        </w:rPr>
        <w:t>pplementary Figure 4</w:t>
      </w:r>
    </w:p>
    <w:p w14:paraId="1D609403" w14:textId="3EB98833" w:rsidR="00EA224B" w:rsidRDefault="00EA224B" w:rsidP="00EA224B">
      <w:pPr>
        <w:rPr>
          <w:rFonts w:ascii="Arial" w:hAnsi="Arial" w:cs="Arial"/>
        </w:rPr>
      </w:pPr>
      <w:r>
        <w:rPr>
          <w:rFonts w:ascii="Arial" w:hAnsi="Arial" w:cs="Arial" w:hint="eastAsia"/>
        </w:rPr>
        <w:t>A</w:t>
      </w:r>
      <w:r>
        <w:rPr>
          <w:rFonts w:ascii="Arial" w:hAnsi="Arial" w:cs="Arial"/>
        </w:rPr>
        <w:t xml:space="preserve"> B DNA </w:t>
      </w:r>
      <w:r>
        <w:rPr>
          <w:rFonts w:ascii="Arial" w:hAnsi="Arial" w:cs="Arial" w:hint="eastAsia"/>
        </w:rPr>
        <w:t>damage</w:t>
      </w:r>
      <w:r w:rsidRPr="00C04A87">
        <w:rPr>
          <w:rFonts w:ascii="Arial" w:hAnsi="Arial" w:cs="Arial"/>
        </w:rPr>
        <w:t xml:space="preserve"> was assessed by</w:t>
      </w:r>
      <w:r>
        <w:rPr>
          <w:rFonts w:ascii="Arial" w:hAnsi="Arial" w:cs="Arial"/>
        </w:rPr>
        <w:t xml:space="preserve"> comet (A</w:t>
      </w:r>
      <w:r>
        <w:rPr>
          <w:rFonts w:ascii="Arial" w:hAnsi="Arial" w:cs="Arial"/>
        </w:rPr>
        <w:t xml:space="preserve">. </w:t>
      </w:r>
      <w:r w:rsidRPr="00EA224B">
        <w:rPr>
          <w:rFonts w:ascii="Arial" w:hAnsi="Arial" w:cs="Arial"/>
        </w:rPr>
        <w:t>Scale bar, 100μm</w:t>
      </w:r>
      <w:r>
        <w:rPr>
          <w:rFonts w:ascii="Arial" w:hAnsi="Arial" w:cs="Arial"/>
        </w:rPr>
        <w:t xml:space="preserve">) </w:t>
      </w:r>
      <w:r w:rsidRPr="00C04A87">
        <w:rPr>
          <w:rFonts w:ascii="Arial" w:hAnsi="Arial" w:cs="Arial"/>
        </w:rPr>
        <w:t>and γ-H2AX IF staining</w:t>
      </w:r>
      <w:r>
        <w:rPr>
          <w:rFonts w:ascii="Arial" w:hAnsi="Arial" w:cs="Arial"/>
        </w:rPr>
        <w:t xml:space="preserve"> (B</w:t>
      </w:r>
      <w:r>
        <w:rPr>
          <w:rFonts w:ascii="Arial" w:hAnsi="Arial" w:cs="Arial" w:hint="eastAsia"/>
        </w:rPr>
        <w:t>.</w:t>
      </w:r>
      <w:r>
        <w:rPr>
          <w:rFonts w:ascii="Arial" w:hAnsi="Arial" w:cs="Arial"/>
        </w:rPr>
        <w:t xml:space="preserve"> </w:t>
      </w:r>
      <w:r w:rsidRPr="00EA224B">
        <w:rPr>
          <w:rFonts w:ascii="Arial" w:hAnsi="Arial" w:cs="Arial"/>
        </w:rPr>
        <w:t>Scale bar, 10μm</w:t>
      </w:r>
      <w:r>
        <w:rPr>
          <w:rFonts w:ascii="Arial" w:hAnsi="Arial" w:cs="Arial"/>
        </w:rPr>
        <w:t xml:space="preserve">) </w:t>
      </w:r>
      <w:r>
        <w:rPr>
          <w:rFonts w:ascii="Arial" w:hAnsi="Arial" w:cs="Arial" w:hint="eastAsia"/>
        </w:rPr>
        <w:t>assay</w:t>
      </w:r>
      <w:r>
        <w:rPr>
          <w:rFonts w:ascii="Arial" w:hAnsi="Arial" w:cs="Arial"/>
        </w:rPr>
        <w:t xml:space="preserve">s. </w:t>
      </w:r>
      <w:r w:rsidRPr="006F7C49">
        <w:rPr>
          <w:rFonts w:ascii="Arial" w:hAnsi="Arial" w:cs="Arial"/>
        </w:rPr>
        <w:t>Knockdown of PDIA3P1 significantly promote</w:t>
      </w:r>
      <w:r>
        <w:rPr>
          <w:rFonts w:ascii="Arial" w:hAnsi="Arial" w:cs="Arial"/>
        </w:rPr>
        <w:t>d</w:t>
      </w:r>
      <w:r w:rsidRPr="006F7C49">
        <w:rPr>
          <w:rFonts w:ascii="Arial" w:hAnsi="Arial" w:cs="Arial"/>
        </w:rPr>
        <w:t xml:space="preserve"> TMZ treatment-induced DNA damage.</w:t>
      </w:r>
      <w:r>
        <w:rPr>
          <w:rFonts w:ascii="Arial" w:hAnsi="Arial" w:cs="Arial"/>
        </w:rPr>
        <w:t xml:space="preserve"> C D Cell proliferation was assessed by EdU (C</w:t>
      </w:r>
      <w:r w:rsidR="00E7119D">
        <w:rPr>
          <w:rFonts w:ascii="Arial" w:hAnsi="Arial" w:cs="Arial"/>
        </w:rPr>
        <w:t xml:space="preserve">. </w:t>
      </w:r>
      <w:r w:rsidR="00E7119D" w:rsidRPr="00EA224B">
        <w:rPr>
          <w:rFonts w:ascii="Arial" w:hAnsi="Arial" w:cs="Arial"/>
        </w:rPr>
        <w:t xml:space="preserve">Scale </w:t>
      </w:r>
      <w:r w:rsidR="00E7119D" w:rsidRPr="00EA224B">
        <w:rPr>
          <w:rFonts w:ascii="Arial" w:hAnsi="Arial" w:cs="Arial"/>
        </w:rPr>
        <w:lastRenderedPageBreak/>
        <w:t xml:space="preserve">bar, </w:t>
      </w:r>
      <w:r w:rsidR="00E7119D">
        <w:rPr>
          <w:rFonts w:ascii="Arial" w:hAnsi="Arial" w:cs="Arial"/>
        </w:rPr>
        <w:t>2</w:t>
      </w:r>
      <w:r w:rsidR="00E7119D" w:rsidRPr="00EA224B">
        <w:rPr>
          <w:rFonts w:ascii="Arial" w:hAnsi="Arial" w:cs="Arial"/>
        </w:rPr>
        <w:t>00μm</w:t>
      </w:r>
      <w:r>
        <w:rPr>
          <w:rFonts w:ascii="Arial" w:hAnsi="Arial" w:cs="Arial"/>
        </w:rPr>
        <w:t>) and colony formation (D</w:t>
      </w:r>
      <w:r w:rsidR="00E7119D">
        <w:rPr>
          <w:rFonts w:ascii="Arial" w:hAnsi="Arial" w:cs="Arial"/>
        </w:rPr>
        <w:t xml:space="preserve">. </w:t>
      </w:r>
      <w:r w:rsidR="00E7119D" w:rsidRPr="00EA224B">
        <w:rPr>
          <w:rFonts w:ascii="Arial" w:hAnsi="Arial" w:cs="Arial"/>
        </w:rPr>
        <w:t xml:space="preserve">Scale bar, </w:t>
      </w:r>
      <w:r w:rsidR="00E7119D">
        <w:rPr>
          <w:rFonts w:ascii="Arial" w:hAnsi="Arial" w:cs="Arial"/>
        </w:rPr>
        <w:t>2</w:t>
      </w:r>
      <w:r w:rsidR="00E7119D" w:rsidRPr="00EA224B">
        <w:rPr>
          <w:rFonts w:ascii="Arial" w:hAnsi="Arial" w:cs="Arial"/>
        </w:rPr>
        <w:t>00μm</w:t>
      </w:r>
      <w:r>
        <w:rPr>
          <w:rFonts w:ascii="Arial" w:hAnsi="Arial" w:cs="Arial"/>
        </w:rPr>
        <w:t xml:space="preserve">) assays. </w:t>
      </w:r>
      <w:r w:rsidRPr="001954D7">
        <w:rPr>
          <w:rFonts w:ascii="Arial" w:hAnsi="Arial" w:cs="Arial"/>
        </w:rPr>
        <w:t>Knockdown of PDIA3P1 further significantly increased the proliferation inhibitory effect caused by TMZ</w:t>
      </w:r>
      <w:r>
        <w:rPr>
          <w:rFonts w:ascii="Arial" w:hAnsi="Arial" w:cs="Arial"/>
        </w:rPr>
        <w:t>.</w:t>
      </w:r>
      <w:r w:rsidRPr="001954D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The lower panel exhibited the quantification of EdU and colony formation assays. E F </w:t>
      </w:r>
      <w:r w:rsidRPr="001954D7">
        <w:rPr>
          <w:rFonts w:ascii="Arial" w:hAnsi="Arial" w:cs="Arial"/>
        </w:rPr>
        <w:t>Representative images</w:t>
      </w:r>
      <w:r>
        <w:rPr>
          <w:rFonts w:ascii="Arial" w:hAnsi="Arial" w:cs="Arial"/>
        </w:rPr>
        <w:t xml:space="preserve"> of comet (E</w:t>
      </w:r>
      <w:r w:rsidR="00E7119D">
        <w:rPr>
          <w:rFonts w:ascii="Arial" w:hAnsi="Arial" w:cs="Arial"/>
        </w:rPr>
        <w:t xml:space="preserve">. </w:t>
      </w:r>
      <w:r w:rsidR="00E7119D" w:rsidRPr="00EA224B">
        <w:rPr>
          <w:rFonts w:ascii="Arial" w:hAnsi="Arial" w:cs="Arial"/>
        </w:rPr>
        <w:t>Scale bar, 100μm</w:t>
      </w:r>
      <w:r>
        <w:rPr>
          <w:rFonts w:ascii="Arial" w:hAnsi="Arial" w:cs="Arial"/>
        </w:rPr>
        <w:t xml:space="preserve">) </w:t>
      </w:r>
      <w:r w:rsidRPr="00C04A87">
        <w:rPr>
          <w:rFonts w:ascii="Arial" w:hAnsi="Arial" w:cs="Arial"/>
        </w:rPr>
        <w:t>and γ-H2AX IF staining</w:t>
      </w:r>
      <w:r>
        <w:rPr>
          <w:rFonts w:ascii="Arial" w:hAnsi="Arial" w:cs="Arial"/>
        </w:rPr>
        <w:t xml:space="preserve"> (F</w:t>
      </w:r>
      <w:r w:rsidR="00E7119D">
        <w:rPr>
          <w:rFonts w:ascii="Arial" w:hAnsi="Arial" w:cs="Arial"/>
        </w:rPr>
        <w:t xml:space="preserve">. </w:t>
      </w:r>
      <w:r w:rsidR="00E7119D" w:rsidRPr="00EA224B">
        <w:rPr>
          <w:rFonts w:ascii="Arial" w:hAnsi="Arial" w:cs="Arial"/>
        </w:rPr>
        <w:t>Scale bar, 10μm</w:t>
      </w:r>
      <w:r>
        <w:rPr>
          <w:rFonts w:ascii="Arial" w:hAnsi="Arial" w:cs="Arial"/>
        </w:rPr>
        <w:t xml:space="preserve">) </w:t>
      </w:r>
      <w:r>
        <w:rPr>
          <w:rFonts w:ascii="Arial" w:hAnsi="Arial" w:cs="Arial" w:hint="eastAsia"/>
        </w:rPr>
        <w:t>assay</w:t>
      </w:r>
      <w:r>
        <w:rPr>
          <w:rFonts w:ascii="Arial" w:hAnsi="Arial" w:cs="Arial"/>
        </w:rPr>
        <w:t>s for LN229 cells. Overexpression of PDIA3P1 remarkedly reduced TMZ treatment-induced DNA damage.</w:t>
      </w:r>
    </w:p>
    <w:p w14:paraId="22608A64" w14:textId="77777777" w:rsidR="00EA224B" w:rsidRPr="00EA224B" w:rsidRDefault="00EA224B">
      <w:pPr>
        <w:rPr>
          <w:rFonts w:hint="eastAsia"/>
        </w:rPr>
      </w:pPr>
    </w:p>
    <w:p w14:paraId="7B2FE7BF" w14:textId="0EE696EE" w:rsidR="00EA224B" w:rsidRDefault="00EA224B"/>
    <w:p w14:paraId="3F38E2D5" w14:textId="6EAAEE88" w:rsidR="00EA224B" w:rsidRDefault="00EA224B">
      <w:r>
        <w:rPr>
          <w:noProof/>
        </w:rPr>
        <w:drawing>
          <wp:inline distT="0" distB="0" distL="0" distR="0" wp14:anchorId="760AD394" wp14:editId="0DF2DB73">
            <wp:extent cx="5270500" cy="5683250"/>
            <wp:effectExtent l="0" t="0" r="635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68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7B0F09" w14:textId="77777777" w:rsidR="00E7119D" w:rsidRDefault="00E7119D" w:rsidP="00E7119D">
      <w:pPr>
        <w:rPr>
          <w:rFonts w:ascii="Arial" w:hAnsi="Arial" w:cs="Arial"/>
        </w:rPr>
      </w:pPr>
      <w:r>
        <w:rPr>
          <w:rFonts w:ascii="Arial" w:hAnsi="Arial" w:cs="Arial" w:hint="eastAsia"/>
        </w:rPr>
        <w:t>Su</w:t>
      </w:r>
      <w:r>
        <w:rPr>
          <w:rFonts w:ascii="Arial" w:hAnsi="Arial" w:cs="Arial"/>
        </w:rPr>
        <w:t>pplementary Figure 5</w:t>
      </w:r>
    </w:p>
    <w:p w14:paraId="5AFC8FA1" w14:textId="125D80F2" w:rsidR="00E7119D" w:rsidRDefault="00E7119D" w:rsidP="00E7119D">
      <w:pPr>
        <w:rPr>
          <w:rFonts w:ascii="Arial" w:hAnsi="Arial" w:cs="Arial"/>
        </w:rPr>
      </w:pPr>
      <w:r>
        <w:rPr>
          <w:rFonts w:ascii="Arial" w:hAnsi="Arial" w:cs="Arial" w:hint="eastAsia"/>
        </w:rPr>
        <w:t>A</w:t>
      </w:r>
      <w:r>
        <w:rPr>
          <w:rFonts w:ascii="Arial" w:hAnsi="Arial" w:cs="Arial"/>
        </w:rPr>
        <w:t xml:space="preserve"> The expression of </w:t>
      </w:r>
      <w:r w:rsidRPr="00C75BA9">
        <w:rPr>
          <w:rFonts w:ascii="Arial" w:hAnsi="Arial" w:cs="Arial"/>
        </w:rPr>
        <w:t xml:space="preserve">PDIA3P1 in </w:t>
      </w:r>
      <w:r>
        <w:rPr>
          <w:rFonts w:ascii="Arial" w:hAnsi="Arial" w:cs="Arial"/>
        </w:rPr>
        <w:t>classical</w:t>
      </w:r>
      <w:r w:rsidRPr="00C75BA9">
        <w:rPr>
          <w:rFonts w:ascii="Arial" w:hAnsi="Arial" w:cs="Arial"/>
        </w:rPr>
        <w:t xml:space="preserve">, proneural and mesenchymal tissues in the </w:t>
      </w:r>
      <w:r>
        <w:rPr>
          <w:rFonts w:ascii="Arial" w:hAnsi="Arial" w:cs="Arial"/>
        </w:rPr>
        <w:t>C</w:t>
      </w:r>
      <w:r w:rsidRPr="00C75BA9">
        <w:rPr>
          <w:rFonts w:ascii="Arial" w:hAnsi="Arial" w:cs="Arial"/>
        </w:rPr>
        <w:t>CGA dataset</w:t>
      </w:r>
      <w:r>
        <w:rPr>
          <w:rFonts w:ascii="Arial" w:hAnsi="Arial" w:cs="Arial"/>
        </w:rPr>
        <w:t xml:space="preserve">. B </w:t>
      </w:r>
      <w:r w:rsidRPr="0045357C">
        <w:rPr>
          <w:rFonts w:ascii="Arial" w:hAnsi="Arial" w:cs="Arial"/>
        </w:rPr>
        <w:t xml:space="preserve">ROC curves of PDIA3P1 for MES-GBM subtype prediction in </w:t>
      </w:r>
      <w:r>
        <w:rPr>
          <w:rFonts w:ascii="Arial" w:hAnsi="Arial" w:cs="Arial"/>
        </w:rPr>
        <w:t>C</w:t>
      </w:r>
      <w:r w:rsidRPr="0045357C">
        <w:rPr>
          <w:rFonts w:ascii="Arial" w:hAnsi="Arial" w:cs="Arial"/>
        </w:rPr>
        <w:t>CGA</w:t>
      </w:r>
      <w:r>
        <w:rPr>
          <w:rFonts w:ascii="Arial" w:hAnsi="Arial" w:cs="Arial"/>
        </w:rPr>
        <w:t>. C Knockdown of PDIA3P1 in GSC20 and GSC267, overexpression of PDIA3P1 in GSC8-11.</w:t>
      </w: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>D N</w:t>
      </w:r>
      <w:r w:rsidRPr="00841C66">
        <w:rPr>
          <w:rFonts w:ascii="Arial" w:hAnsi="Arial" w:cs="Arial"/>
        </w:rPr>
        <w:t>eurospheres formation assay</w:t>
      </w:r>
      <w:r>
        <w:rPr>
          <w:rFonts w:ascii="Arial" w:hAnsi="Arial" w:cs="Arial"/>
        </w:rPr>
        <w:t xml:space="preserve"> revealed knockdown of PDIA3P1 reduced self-renewal capacity of GSC20 and GSC267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</w:t>
      </w:r>
      <w:r>
        <w:rPr>
          <w:rFonts w:ascii="Arial" w:hAnsi="Arial" w:cs="Arial"/>
        </w:rPr>
        <w:t>cale bar</w:t>
      </w:r>
      <w:r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2</w:t>
      </w:r>
      <w:r w:rsidRPr="00841C66">
        <w:rPr>
          <w:rFonts w:ascii="Arial" w:hAnsi="Arial" w:cs="Arial"/>
        </w:rPr>
        <w:t>00μ</w:t>
      </w:r>
      <w:r>
        <w:rPr>
          <w:rFonts w:ascii="Arial" w:hAnsi="Arial" w:cs="Arial" w:hint="eastAsia"/>
        </w:rPr>
        <w:t>m</w:t>
      </w:r>
      <w:r>
        <w:rPr>
          <w:rFonts w:ascii="Arial" w:hAnsi="Arial" w:cs="Arial"/>
        </w:rPr>
        <w:t xml:space="preserve">. The right panels were the quantification of sphere diameters. E The </w:t>
      </w:r>
      <w:r w:rsidRPr="00E14BC0">
        <w:rPr>
          <w:rFonts w:ascii="Arial" w:hAnsi="Arial" w:cs="Arial"/>
        </w:rPr>
        <w:t>quantification</w:t>
      </w:r>
      <w:r>
        <w:rPr>
          <w:rFonts w:ascii="Arial" w:hAnsi="Arial" w:cs="Arial"/>
        </w:rPr>
        <w:t xml:space="preserve"> of IF staining for SOX2 and CD44 </w:t>
      </w:r>
      <w:r>
        <w:rPr>
          <w:rFonts w:ascii="Arial" w:hAnsi="Arial" w:cs="Arial"/>
        </w:rPr>
        <w:lastRenderedPageBreak/>
        <w:t>in GSC20 (left panel) and GSC267 (right panel). Knockdown of PDIA3P1 resulted downregulation of CD44 and upregulation of SOX2 in GSC20 and GSC267.</w:t>
      </w:r>
    </w:p>
    <w:p w14:paraId="2E8DC7BA" w14:textId="77777777" w:rsidR="00E7119D" w:rsidRPr="00E7119D" w:rsidRDefault="00E7119D">
      <w:pPr>
        <w:rPr>
          <w:rFonts w:hint="eastAsia"/>
        </w:rPr>
      </w:pPr>
    </w:p>
    <w:p w14:paraId="2138605C" w14:textId="41075D67" w:rsidR="00EA224B" w:rsidRDefault="00EA224B"/>
    <w:p w14:paraId="52970B70" w14:textId="0CBC71BA" w:rsidR="00EA224B" w:rsidRDefault="00EA224B">
      <w:r>
        <w:rPr>
          <w:noProof/>
        </w:rPr>
        <w:drawing>
          <wp:inline distT="0" distB="0" distL="0" distR="0" wp14:anchorId="14163614" wp14:editId="7C58CD68">
            <wp:extent cx="5270500" cy="5264150"/>
            <wp:effectExtent l="0" t="0" r="635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26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1CDCA" w14:textId="77777777" w:rsidR="00E7119D" w:rsidRDefault="00E7119D" w:rsidP="00E7119D">
      <w:pPr>
        <w:rPr>
          <w:rFonts w:ascii="Arial" w:hAnsi="Arial" w:cs="Arial"/>
        </w:rPr>
      </w:pPr>
      <w:r>
        <w:rPr>
          <w:rFonts w:ascii="Arial" w:hAnsi="Arial" w:cs="Arial" w:hint="eastAsia"/>
        </w:rPr>
        <w:t>Su</w:t>
      </w:r>
      <w:r>
        <w:rPr>
          <w:rFonts w:ascii="Arial" w:hAnsi="Arial" w:cs="Arial"/>
        </w:rPr>
        <w:t>pplementary Figure 6</w:t>
      </w:r>
    </w:p>
    <w:p w14:paraId="3021D7A1" w14:textId="221F5E24" w:rsidR="00E7119D" w:rsidRDefault="00E7119D">
      <w:pPr>
        <w:rPr>
          <w:rFonts w:ascii="Arial" w:hAnsi="Arial" w:cs="Arial"/>
        </w:rPr>
      </w:pPr>
      <w:r>
        <w:rPr>
          <w:rFonts w:ascii="Arial" w:hAnsi="Arial" w:cs="Arial" w:hint="eastAsia"/>
        </w:rPr>
        <w:t>A</w:t>
      </w:r>
      <w:r>
        <w:rPr>
          <w:rFonts w:ascii="Arial" w:hAnsi="Arial" w:cs="Arial"/>
        </w:rPr>
        <w:t xml:space="preserve"> B </w:t>
      </w:r>
      <w:r w:rsidRPr="0045357C">
        <w:rPr>
          <w:rFonts w:ascii="Arial" w:hAnsi="Arial" w:cs="Arial"/>
        </w:rPr>
        <w:t xml:space="preserve">Representative images of γ-H2AX IF staining </w:t>
      </w:r>
      <w:r>
        <w:rPr>
          <w:rFonts w:ascii="Arial" w:hAnsi="Arial" w:cs="Arial"/>
        </w:rPr>
        <w:t>(A</w:t>
      </w:r>
      <w:r>
        <w:rPr>
          <w:rFonts w:ascii="Arial" w:hAnsi="Arial" w:cs="Arial"/>
        </w:rPr>
        <w:t>. S</w:t>
      </w:r>
      <w:r>
        <w:rPr>
          <w:rFonts w:ascii="Arial" w:hAnsi="Arial" w:cs="Arial"/>
        </w:rPr>
        <w:t xml:space="preserve">cale bar, </w:t>
      </w:r>
      <w:r>
        <w:rPr>
          <w:rFonts w:ascii="Arial" w:hAnsi="Arial" w:cs="Arial"/>
        </w:rPr>
        <w:t>10</w:t>
      </w:r>
      <w:r w:rsidRPr="00841C66">
        <w:rPr>
          <w:rFonts w:ascii="Arial" w:hAnsi="Arial" w:cs="Arial"/>
        </w:rPr>
        <w:t>μ</w:t>
      </w:r>
      <w:r>
        <w:rPr>
          <w:rFonts w:ascii="Arial" w:hAnsi="Arial" w:cs="Arial" w:hint="eastAsia"/>
        </w:rPr>
        <w:t>m</w:t>
      </w:r>
      <w:r>
        <w:rPr>
          <w:rFonts w:ascii="Arial" w:hAnsi="Arial" w:cs="Arial"/>
        </w:rPr>
        <w:t>)</w:t>
      </w:r>
      <w:r w:rsidRPr="0045357C">
        <w:rPr>
          <w:rFonts w:ascii="Arial" w:hAnsi="Arial" w:cs="Arial"/>
        </w:rPr>
        <w:t xml:space="preserve"> and comet </w:t>
      </w:r>
      <w:r>
        <w:rPr>
          <w:rFonts w:ascii="Arial" w:hAnsi="Arial" w:cs="Arial"/>
        </w:rPr>
        <w:t>(B</w:t>
      </w:r>
      <w:r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 xml:space="preserve">Scale bar, </w:t>
      </w:r>
      <w:r>
        <w:rPr>
          <w:rFonts w:ascii="Arial" w:hAnsi="Arial" w:cs="Arial"/>
        </w:rPr>
        <w:t>200</w:t>
      </w:r>
      <w:r w:rsidRPr="00841C66">
        <w:rPr>
          <w:rFonts w:ascii="Arial" w:hAnsi="Arial" w:cs="Arial"/>
        </w:rPr>
        <w:t>μ</w:t>
      </w:r>
      <w:r>
        <w:rPr>
          <w:rFonts w:ascii="Arial" w:hAnsi="Arial" w:cs="Arial" w:hint="eastAsia"/>
        </w:rPr>
        <w:t>m</w:t>
      </w:r>
      <w:r>
        <w:rPr>
          <w:rFonts w:ascii="Arial" w:hAnsi="Arial" w:cs="Arial"/>
        </w:rPr>
        <w:t>)</w:t>
      </w:r>
      <w:r w:rsidRPr="0045357C">
        <w:rPr>
          <w:rFonts w:ascii="Arial" w:hAnsi="Arial" w:cs="Arial"/>
        </w:rPr>
        <w:t xml:space="preserve"> assays revealed DNA damage</w:t>
      </w:r>
      <w:r>
        <w:rPr>
          <w:rFonts w:ascii="Arial" w:hAnsi="Arial" w:cs="Arial"/>
        </w:rPr>
        <w:t xml:space="preserve"> in GSC267. C D </w:t>
      </w:r>
      <w:r w:rsidRPr="0045357C">
        <w:rPr>
          <w:rFonts w:ascii="Arial" w:hAnsi="Arial" w:cs="Arial"/>
        </w:rPr>
        <w:t xml:space="preserve">Representative images of γ-H2AX IF staining </w:t>
      </w:r>
      <w:r>
        <w:rPr>
          <w:rFonts w:ascii="Arial" w:hAnsi="Arial" w:cs="Arial"/>
        </w:rPr>
        <w:t>(C</w:t>
      </w:r>
      <w:r>
        <w:rPr>
          <w:rFonts w:ascii="Arial" w:hAnsi="Arial" w:cs="Arial"/>
        </w:rPr>
        <w:t>.</w:t>
      </w:r>
      <w:r w:rsidRPr="00E7119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Scale bar, 10</w:t>
      </w:r>
      <w:r w:rsidRPr="00841C66">
        <w:rPr>
          <w:rFonts w:ascii="Arial" w:hAnsi="Arial" w:cs="Arial"/>
        </w:rPr>
        <w:t>μ</w:t>
      </w:r>
      <w:r>
        <w:rPr>
          <w:rFonts w:ascii="Arial" w:hAnsi="Arial" w:cs="Arial" w:hint="eastAsia"/>
        </w:rPr>
        <w:t>m</w:t>
      </w:r>
      <w:r>
        <w:rPr>
          <w:rFonts w:ascii="Arial" w:hAnsi="Arial" w:cs="Arial"/>
        </w:rPr>
        <w:t>)</w:t>
      </w:r>
      <w:r w:rsidRPr="0045357C">
        <w:rPr>
          <w:rFonts w:ascii="Arial" w:hAnsi="Arial" w:cs="Arial"/>
        </w:rPr>
        <w:t xml:space="preserve"> and comet</w:t>
      </w:r>
      <w:r>
        <w:rPr>
          <w:rFonts w:ascii="Arial" w:hAnsi="Arial" w:cs="Arial"/>
        </w:rPr>
        <w:t xml:space="preserve"> (D</w:t>
      </w:r>
      <w:r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Scale bar, 200</w:t>
      </w:r>
      <w:r w:rsidRPr="00841C66">
        <w:rPr>
          <w:rFonts w:ascii="Arial" w:hAnsi="Arial" w:cs="Arial"/>
        </w:rPr>
        <w:t>μ</w:t>
      </w:r>
      <w:r>
        <w:rPr>
          <w:rFonts w:ascii="Arial" w:hAnsi="Arial" w:cs="Arial" w:hint="eastAsia"/>
        </w:rPr>
        <w:t>m</w:t>
      </w:r>
      <w:r>
        <w:rPr>
          <w:rFonts w:ascii="Arial" w:hAnsi="Arial" w:cs="Arial"/>
        </w:rPr>
        <w:t xml:space="preserve">) </w:t>
      </w:r>
      <w:r w:rsidRPr="0045357C">
        <w:rPr>
          <w:rFonts w:ascii="Arial" w:hAnsi="Arial" w:cs="Arial"/>
        </w:rPr>
        <w:t>assays revealed DNA damage</w:t>
      </w:r>
      <w:r>
        <w:rPr>
          <w:rFonts w:ascii="Arial" w:hAnsi="Arial" w:cs="Arial"/>
        </w:rPr>
        <w:t xml:space="preserve"> in GSC8-11. E </w:t>
      </w:r>
      <w:r w:rsidRPr="000F55C1">
        <w:rPr>
          <w:rFonts w:ascii="Arial" w:hAnsi="Arial" w:cs="Arial"/>
        </w:rPr>
        <w:t xml:space="preserve">The expression of C/EBPβ mRNA </w:t>
      </w:r>
      <w:r>
        <w:rPr>
          <w:rFonts w:ascii="Arial" w:hAnsi="Arial" w:cs="Arial"/>
        </w:rPr>
        <w:t xml:space="preserve">detected by qPCR. F </w:t>
      </w:r>
      <w:r w:rsidRPr="000F55C1">
        <w:rPr>
          <w:rFonts w:ascii="Arial" w:hAnsi="Arial" w:cs="Arial"/>
        </w:rPr>
        <w:t>Western blotting analysis of C/EBPβ in GSC</w:t>
      </w:r>
      <w:r>
        <w:rPr>
          <w:rFonts w:ascii="Arial" w:hAnsi="Arial" w:cs="Arial"/>
        </w:rPr>
        <w:t>8-11</w:t>
      </w:r>
      <w:r w:rsidRPr="000F55C1">
        <w:rPr>
          <w:rFonts w:ascii="Arial" w:hAnsi="Arial" w:cs="Arial"/>
        </w:rPr>
        <w:t xml:space="preserve"> PDIA3P1 stable </w:t>
      </w:r>
      <w:r>
        <w:rPr>
          <w:rFonts w:ascii="Arial" w:hAnsi="Arial" w:cs="Arial"/>
        </w:rPr>
        <w:t>overexpressed</w:t>
      </w:r>
      <w:r w:rsidRPr="000F55C1">
        <w:rPr>
          <w:rFonts w:ascii="Arial" w:hAnsi="Arial" w:cs="Arial"/>
        </w:rPr>
        <w:t xml:space="preserve"> and control cells after treatment with CHX</w:t>
      </w:r>
      <w:r>
        <w:rPr>
          <w:rFonts w:ascii="Arial" w:hAnsi="Arial" w:cs="Arial"/>
        </w:rPr>
        <w:t xml:space="preserve"> (</w:t>
      </w:r>
      <w:r w:rsidRPr="00BA09BA">
        <w:rPr>
          <w:rFonts w:ascii="Arial" w:hAnsi="Arial" w:cs="Arial"/>
        </w:rPr>
        <w:t>100 μg/ml</w:t>
      </w:r>
      <w:r>
        <w:rPr>
          <w:rFonts w:ascii="Arial" w:hAnsi="Arial" w:cs="Arial"/>
        </w:rPr>
        <w:t>)</w:t>
      </w:r>
      <w:r w:rsidRPr="000F55C1">
        <w:rPr>
          <w:rFonts w:ascii="Arial" w:hAnsi="Arial" w:cs="Arial"/>
        </w:rPr>
        <w:t xml:space="preserve"> for indicated times</w:t>
      </w:r>
      <w:r>
        <w:rPr>
          <w:rFonts w:ascii="Arial" w:hAnsi="Arial" w:cs="Arial"/>
        </w:rPr>
        <w:t>.</w:t>
      </w:r>
    </w:p>
    <w:p w14:paraId="286B4D8B" w14:textId="77777777" w:rsidR="00E7119D" w:rsidRPr="00E7119D" w:rsidRDefault="00E7119D">
      <w:pPr>
        <w:rPr>
          <w:rFonts w:ascii="Arial" w:hAnsi="Arial" w:cs="Arial" w:hint="eastAsia"/>
        </w:rPr>
      </w:pPr>
    </w:p>
    <w:p w14:paraId="3A9D177C" w14:textId="7F083E8F" w:rsidR="00EA224B" w:rsidRDefault="00EA224B"/>
    <w:p w14:paraId="7A55005D" w14:textId="79DC39E4" w:rsidR="00EA224B" w:rsidRDefault="00EA224B">
      <w:r>
        <w:rPr>
          <w:noProof/>
        </w:rPr>
        <w:lastRenderedPageBreak/>
        <w:drawing>
          <wp:inline distT="0" distB="0" distL="0" distR="0" wp14:anchorId="1B937EFC" wp14:editId="5B2D7E74">
            <wp:extent cx="5276850" cy="8661400"/>
            <wp:effectExtent l="0" t="0" r="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866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A5D8D8" w14:textId="53F1EF2B" w:rsidR="00E7119D" w:rsidRDefault="00E7119D">
      <w:pPr>
        <w:rPr>
          <w:rFonts w:ascii="Arial" w:hAnsi="Arial" w:cs="Arial"/>
        </w:rPr>
      </w:pPr>
      <w:r>
        <w:rPr>
          <w:rFonts w:ascii="Arial" w:hAnsi="Arial" w:cs="Arial" w:hint="eastAsia"/>
        </w:rPr>
        <w:lastRenderedPageBreak/>
        <w:t>A</w:t>
      </w:r>
      <w:r>
        <w:rPr>
          <w:rFonts w:ascii="Arial" w:hAnsi="Arial" w:cs="Arial"/>
        </w:rPr>
        <w:t xml:space="preserve"> Visualization</w:t>
      </w:r>
      <w:r w:rsidRPr="00CF2145">
        <w:rPr>
          <w:rFonts w:ascii="Arial" w:hAnsi="Arial" w:cs="Arial"/>
        </w:rPr>
        <w:t xml:space="preserve"> of the </w:t>
      </w:r>
      <w:r w:rsidRPr="0033556E">
        <w:rPr>
          <w:rFonts w:ascii="Arial" w:hAnsi="Arial" w:cs="Arial"/>
        </w:rPr>
        <w:t>Fa-CI (fraction afected Combination Index)</w:t>
      </w:r>
      <w:r>
        <w:rPr>
          <w:rFonts w:ascii="Arial" w:hAnsi="Arial" w:cs="Arial"/>
        </w:rPr>
        <w:t xml:space="preserve"> results</w:t>
      </w:r>
      <w:r w:rsidRPr="00CF214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obtained form </w:t>
      </w:r>
      <w:r w:rsidRPr="0033556E">
        <w:rPr>
          <w:rFonts w:ascii="Arial" w:hAnsi="Arial" w:cs="Arial"/>
        </w:rPr>
        <w:t>CompuSyn</w:t>
      </w:r>
      <w:r>
        <w:rPr>
          <w:rFonts w:ascii="Arial" w:hAnsi="Arial" w:cs="Arial"/>
        </w:rPr>
        <w:t xml:space="preserve"> for U118MG, GSC20, GSC267, and U251. </w:t>
      </w:r>
      <w:r>
        <w:rPr>
          <w:rFonts w:ascii="Arial" w:hAnsi="Arial" w:cs="Arial" w:hint="eastAsia"/>
        </w:rPr>
        <w:t xml:space="preserve">B </w:t>
      </w:r>
      <w:r>
        <w:rPr>
          <w:rFonts w:ascii="Arial" w:hAnsi="Arial" w:cs="Arial"/>
        </w:rPr>
        <w:t>The detailed sequence of PDIA3P1 promoter (610-1310) and three p</w:t>
      </w:r>
      <w:r w:rsidRPr="006C2D30">
        <w:rPr>
          <w:rFonts w:ascii="Arial" w:hAnsi="Arial" w:cs="Arial"/>
        </w:rPr>
        <w:t xml:space="preserve">redicted binding sites for </w:t>
      </w:r>
      <w:r>
        <w:rPr>
          <w:rFonts w:ascii="Arial" w:hAnsi="Arial" w:cs="Arial"/>
        </w:rPr>
        <w:t>JUN.</w:t>
      </w:r>
    </w:p>
    <w:p w14:paraId="0371262F" w14:textId="77777777" w:rsidR="00E7119D" w:rsidRDefault="00E7119D">
      <w:pPr>
        <w:rPr>
          <w:rFonts w:ascii="Arial" w:hAnsi="Arial" w:cs="Arial"/>
        </w:rPr>
      </w:pPr>
    </w:p>
    <w:p w14:paraId="17219C43" w14:textId="77777777" w:rsidR="00E7119D" w:rsidRPr="00E7119D" w:rsidRDefault="00E7119D">
      <w:pPr>
        <w:rPr>
          <w:rFonts w:ascii="Arial" w:hAnsi="Arial" w:cs="Arial" w:hint="eastAsia"/>
        </w:rPr>
      </w:pPr>
    </w:p>
    <w:p w14:paraId="1B25736A" w14:textId="26D27938" w:rsidR="00EA224B" w:rsidRDefault="00EA224B">
      <w:r>
        <w:rPr>
          <w:noProof/>
        </w:rPr>
        <w:drawing>
          <wp:inline distT="0" distB="0" distL="0" distR="0" wp14:anchorId="1E9C1861" wp14:editId="50532C9F">
            <wp:extent cx="5270500" cy="561975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561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74204" w14:textId="77777777" w:rsidR="00E7119D" w:rsidRDefault="00E7119D" w:rsidP="00E7119D">
      <w:pPr>
        <w:rPr>
          <w:rFonts w:ascii="Arial" w:hAnsi="Arial" w:cs="Arial"/>
        </w:rPr>
      </w:pPr>
      <w:r>
        <w:rPr>
          <w:rFonts w:ascii="Arial" w:hAnsi="Arial" w:cs="Arial" w:hint="eastAsia"/>
        </w:rPr>
        <w:t>Su</w:t>
      </w:r>
      <w:r>
        <w:rPr>
          <w:rFonts w:ascii="Arial" w:hAnsi="Arial" w:cs="Arial"/>
        </w:rPr>
        <w:t>pplementary Figure 8</w:t>
      </w:r>
    </w:p>
    <w:p w14:paraId="25BC4B47" w14:textId="76A81502" w:rsidR="00E7119D" w:rsidRPr="0045357C" w:rsidRDefault="00E7119D" w:rsidP="00E7119D">
      <w:pPr>
        <w:rPr>
          <w:rFonts w:ascii="Arial" w:hAnsi="Arial" w:cs="Arial"/>
        </w:rPr>
      </w:pPr>
      <w:r w:rsidRPr="00FC429A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B</w:t>
      </w:r>
      <w:r w:rsidRPr="00FC429A">
        <w:rPr>
          <w:rFonts w:ascii="Arial" w:hAnsi="Arial" w:cs="Arial"/>
        </w:rPr>
        <w:t xml:space="preserve"> EdU assay (</w:t>
      </w:r>
      <w:r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Scale bar, 200</w:t>
      </w:r>
      <w:r w:rsidRPr="00841C66">
        <w:rPr>
          <w:rFonts w:ascii="Arial" w:hAnsi="Arial" w:cs="Arial"/>
        </w:rPr>
        <w:t>μ</w:t>
      </w:r>
      <w:r>
        <w:rPr>
          <w:rFonts w:ascii="Arial" w:hAnsi="Arial" w:cs="Arial" w:hint="eastAsia"/>
        </w:rPr>
        <w:t>m</w:t>
      </w:r>
      <w:r w:rsidRPr="00FC429A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</w:t>
      </w:r>
      <w:r w:rsidRPr="00FC429A">
        <w:rPr>
          <w:rFonts w:ascii="Arial" w:hAnsi="Arial" w:cs="Arial"/>
        </w:rPr>
        <w:t>and apoptosis assay (D) showed that TMZ combined with NEF exhibited excellent anti-tumor cells effects, respectively.</w:t>
      </w:r>
      <w:r>
        <w:rPr>
          <w:rFonts w:ascii="Arial" w:hAnsi="Arial" w:cs="Arial"/>
        </w:rPr>
        <w:t xml:space="preserve"> C </w:t>
      </w:r>
      <w:r w:rsidRPr="00AA7FDC">
        <w:rPr>
          <w:rFonts w:ascii="Arial" w:hAnsi="Arial" w:cs="Arial"/>
        </w:rPr>
        <w:t xml:space="preserve">Bioluminescence imaging of tumor growth on day </w:t>
      </w:r>
      <w:r>
        <w:rPr>
          <w:rFonts w:ascii="Arial" w:hAnsi="Arial" w:cs="Arial"/>
        </w:rPr>
        <w:t>five</w:t>
      </w:r>
      <w:r w:rsidRPr="00AA7FDC">
        <w:rPr>
          <w:rFonts w:ascii="Arial" w:hAnsi="Arial" w:cs="Arial"/>
        </w:rPr>
        <w:t xml:space="preserve"> in </w:t>
      </w:r>
      <w:r>
        <w:rPr>
          <w:rFonts w:ascii="Arial" w:hAnsi="Arial" w:cs="Arial"/>
        </w:rPr>
        <w:t xml:space="preserve">GSC267 </w:t>
      </w:r>
      <w:r w:rsidRPr="00AA7FDC">
        <w:rPr>
          <w:rFonts w:ascii="Arial" w:hAnsi="Arial" w:cs="Arial"/>
        </w:rPr>
        <w:t>xenograft nude mice</w:t>
      </w:r>
      <w:r>
        <w:rPr>
          <w:rFonts w:ascii="Arial" w:hAnsi="Arial" w:cs="Arial"/>
        </w:rPr>
        <w:t>.</w:t>
      </w: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 xml:space="preserve">D </w:t>
      </w:r>
      <w:r w:rsidRPr="006F5C4D">
        <w:rPr>
          <w:rFonts w:ascii="Arial" w:hAnsi="Arial" w:cs="Arial"/>
        </w:rPr>
        <w:t>Kaplan–Meier visualize</w:t>
      </w:r>
      <w:r>
        <w:rPr>
          <w:rFonts w:ascii="Arial" w:hAnsi="Arial" w:cs="Arial"/>
        </w:rPr>
        <w:t xml:space="preserve">d survival time </w:t>
      </w:r>
      <w:r w:rsidRPr="006F5C4D">
        <w:rPr>
          <w:rFonts w:ascii="Arial" w:hAnsi="Arial" w:cs="Arial"/>
        </w:rPr>
        <w:t xml:space="preserve">for </w:t>
      </w:r>
      <w:r>
        <w:rPr>
          <w:rFonts w:ascii="Arial" w:hAnsi="Arial" w:cs="Arial"/>
        </w:rPr>
        <w:t>mice</w:t>
      </w:r>
      <w:r w:rsidRPr="006F5C4D">
        <w:rPr>
          <w:rFonts w:ascii="Arial" w:hAnsi="Arial" w:cs="Arial"/>
        </w:rPr>
        <w:t xml:space="preserve"> in different </w:t>
      </w:r>
      <w:r>
        <w:rPr>
          <w:rFonts w:ascii="Arial" w:hAnsi="Arial" w:cs="Arial"/>
        </w:rPr>
        <w:t xml:space="preserve">treatment </w:t>
      </w:r>
      <w:r w:rsidRPr="006F5C4D">
        <w:rPr>
          <w:rFonts w:ascii="Arial" w:hAnsi="Arial" w:cs="Arial"/>
        </w:rPr>
        <w:t>groups</w:t>
      </w:r>
      <w:r>
        <w:rPr>
          <w:rFonts w:ascii="Arial" w:hAnsi="Arial" w:cs="Arial"/>
        </w:rPr>
        <w:t>.</w:t>
      </w:r>
      <w:r>
        <w:rPr>
          <w:rFonts w:ascii="Arial" w:hAnsi="Arial" w:cs="Arial" w:hint="eastAsia"/>
        </w:rPr>
        <w:t xml:space="preserve"> </w:t>
      </w:r>
      <w:r>
        <w:rPr>
          <w:rFonts w:ascii="Arial" w:hAnsi="Arial" w:cs="Arial"/>
        </w:rPr>
        <w:t xml:space="preserve">E </w:t>
      </w:r>
      <w:r w:rsidRPr="00233E05">
        <w:rPr>
          <w:rFonts w:ascii="Arial" w:hAnsi="Arial" w:cs="Arial"/>
        </w:rPr>
        <w:t xml:space="preserve">Representative images of hematoxylin and eosin (H&amp;E) staining in sections from </w:t>
      </w:r>
      <w:r>
        <w:rPr>
          <w:rFonts w:ascii="Arial" w:hAnsi="Arial" w:cs="Arial"/>
        </w:rPr>
        <w:t>GSC267</w:t>
      </w:r>
      <w:r w:rsidRPr="00233E05">
        <w:rPr>
          <w:rFonts w:ascii="Arial" w:hAnsi="Arial" w:cs="Arial"/>
        </w:rPr>
        <w:t xml:space="preserve"> xenografts.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Scale bar, </w:t>
      </w:r>
      <w:r>
        <w:rPr>
          <w:rFonts w:ascii="Arial" w:hAnsi="Arial" w:cs="Arial"/>
        </w:rPr>
        <w:t>4</w:t>
      </w:r>
      <w:r>
        <w:rPr>
          <w:rFonts w:ascii="Arial" w:hAnsi="Arial" w:cs="Arial"/>
        </w:rPr>
        <w:t>00</w:t>
      </w:r>
      <w:r w:rsidRPr="00841C66">
        <w:rPr>
          <w:rFonts w:ascii="Arial" w:hAnsi="Arial" w:cs="Arial"/>
        </w:rPr>
        <w:t>μ</w:t>
      </w:r>
      <w:r>
        <w:rPr>
          <w:rFonts w:ascii="Arial" w:hAnsi="Arial" w:cs="Arial" w:hint="eastAsia"/>
        </w:rPr>
        <w:t>m</w:t>
      </w:r>
    </w:p>
    <w:p w14:paraId="73813042" w14:textId="77777777" w:rsidR="00E7119D" w:rsidRPr="00E7119D" w:rsidRDefault="00E7119D">
      <w:pPr>
        <w:rPr>
          <w:rFonts w:hint="eastAsia"/>
        </w:rPr>
      </w:pPr>
    </w:p>
    <w:sectPr w:rsidR="00E7119D" w:rsidRPr="00E711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3B7749" w14:textId="77777777" w:rsidR="001B78B5" w:rsidRDefault="001B78B5" w:rsidP="00EA224B">
      <w:r>
        <w:separator/>
      </w:r>
    </w:p>
  </w:endnote>
  <w:endnote w:type="continuationSeparator" w:id="0">
    <w:p w14:paraId="3C7F3B78" w14:textId="77777777" w:rsidR="001B78B5" w:rsidRDefault="001B78B5" w:rsidP="00EA2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745D2D" w14:textId="77777777" w:rsidR="001B78B5" w:rsidRDefault="001B78B5" w:rsidP="00EA224B">
      <w:r>
        <w:separator/>
      </w:r>
    </w:p>
  </w:footnote>
  <w:footnote w:type="continuationSeparator" w:id="0">
    <w:p w14:paraId="1DE603E1" w14:textId="77777777" w:rsidR="001B78B5" w:rsidRDefault="001B78B5" w:rsidP="00EA22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2B8"/>
    <w:rsid w:val="000B02B8"/>
    <w:rsid w:val="001B78B5"/>
    <w:rsid w:val="005A4B5A"/>
    <w:rsid w:val="00E7119D"/>
    <w:rsid w:val="00EA2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766947"/>
  <w15:chartTrackingRefBased/>
  <w15:docId w15:val="{E4294EC4-A63C-418C-9565-23D5A5D9D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22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A22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22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A22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9</Pages>
  <Words>586</Words>
  <Characters>3344</Characters>
  <Application>Microsoft Office Word</Application>
  <DocSecurity>0</DocSecurity>
  <Lines>27</Lines>
  <Paragraphs>7</Paragraphs>
  <ScaleCrop>false</ScaleCrop>
  <Company/>
  <LinksUpToDate>false</LinksUpToDate>
  <CharactersWithSpaces>3923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梓杰</dc:creator>
  <cp:keywords/>
  <dc:description/>
  <cp:lastModifiedBy>梓杰</cp:lastModifiedBy>
  <cp:revision>2</cp:revision>
  <dcterms:created xsi:type="dcterms:W3CDTF">2022-03-31T12:56:00Z</dcterms:created>
  <dcterms:modified xsi:type="dcterms:W3CDTF">2022-03-31T13:08:00Z</dcterms:modified>
</cp:coreProperties>
</file>