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BD3C4" w14:textId="3ABF3FB0" w:rsidR="002D7DAD" w:rsidRDefault="002D7DAD" w:rsidP="002D7DAD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0" distR="0" wp14:anchorId="55FB26F7" wp14:editId="7F1FDF0F">
            <wp:extent cx="2880360" cy="2645664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645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1C1D4" w14:textId="77777777" w:rsidR="002D7DAD" w:rsidRDefault="002D7DAD" w:rsidP="002D7DAD">
      <w:pPr>
        <w:spacing w:line="360" w:lineRule="auto"/>
        <w:rPr>
          <w:rFonts w:ascii="Arial" w:hAnsi="Arial" w:cs="Arial"/>
          <w:sz w:val="24"/>
        </w:rPr>
      </w:pPr>
    </w:p>
    <w:p w14:paraId="221011B7" w14:textId="77777777" w:rsidR="002D7DAD" w:rsidRDefault="002D7DAD" w:rsidP="002D7DAD">
      <w:pPr>
        <w:spacing w:line="360" w:lineRule="auto"/>
        <w:rPr>
          <w:rFonts w:ascii="Arial" w:hAnsi="Arial" w:cs="Arial"/>
          <w:sz w:val="24"/>
        </w:rPr>
      </w:pPr>
    </w:p>
    <w:p w14:paraId="2CEF5479" w14:textId="2705BC28" w:rsidR="002D7DAD" w:rsidRDefault="002D7DAD" w:rsidP="002D7DAD">
      <w:p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Figure S2. </w:t>
      </w:r>
      <w:r>
        <w:rPr>
          <w:rFonts w:ascii="Arial" w:hAnsi="Arial" w:cs="Arial"/>
          <w:b/>
          <w:sz w:val="24"/>
        </w:rPr>
        <w:t xml:space="preserve">The mRNA expression of ACKRs and corresponding ligands in normal colorectal tissues and colorectal cancer tissues. </w:t>
      </w:r>
      <w:r>
        <w:rPr>
          <w:rFonts w:ascii="Arial" w:hAnsi="Arial" w:cs="Arial"/>
          <w:sz w:val="24"/>
        </w:rPr>
        <w:t xml:space="preserve">The mRNA expressions of DARC, D6, CCX-CKR and corresponding CC chemokine ligands CCL2, CCL22 and CCL21 in </w:t>
      </w:r>
      <w:proofErr w:type="spellStart"/>
      <w:r>
        <w:rPr>
          <w:rFonts w:ascii="Arial" w:hAnsi="Arial" w:cs="Arial"/>
          <w:sz w:val="24"/>
        </w:rPr>
        <w:t>paracancerous</w:t>
      </w:r>
      <w:proofErr w:type="spellEnd"/>
      <w:r>
        <w:rPr>
          <w:rFonts w:ascii="Arial" w:hAnsi="Arial" w:cs="Arial"/>
          <w:sz w:val="24"/>
        </w:rPr>
        <w:t xml:space="preserve"> normal tissues and cancer tissues (21 pairs) were detected by RT-PCR. Bar graph indicates the band’ intensity calibrated with. Error bar presents as mean ± SD. **P &lt; 0.01.</w:t>
      </w:r>
    </w:p>
    <w:p w14:paraId="7AE221CA" w14:textId="318F258E" w:rsidR="002E6EF2" w:rsidRDefault="002E6EF2" w:rsidP="002E6EF2">
      <w:pPr>
        <w:spacing w:line="360" w:lineRule="auto"/>
        <w:rPr>
          <w:rFonts w:ascii="Arial" w:hAnsi="Arial" w:cs="Arial"/>
          <w:bCs/>
          <w:sz w:val="24"/>
        </w:rPr>
      </w:pPr>
    </w:p>
    <w:sectPr w:rsidR="002E6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930FD2" w14:textId="77777777" w:rsidR="001A5390" w:rsidRDefault="001A5390" w:rsidP="002E6EF2">
      <w:r>
        <w:separator/>
      </w:r>
    </w:p>
  </w:endnote>
  <w:endnote w:type="continuationSeparator" w:id="0">
    <w:p w14:paraId="28B83CEC" w14:textId="77777777" w:rsidR="001A5390" w:rsidRDefault="001A5390" w:rsidP="002E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D681D8" w14:textId="77777777" w:rsidR="001A5390" w:rsidRDefault="001A5390" w:rsidP="002E6EF2">
      <w:r>
        <w:separator/>
      </w:r>
    </w:p>
  </w:footnote>
  <w:footnote w:type="continuationSeparator" w:id="0">
    <w:p w14:paraId="7BE4EB29" w14:textId="77777777" w:rsidR="001A5390" w:rsidRDefault="001A5390" w:rsidP="002E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48A"/>
    <w:rsid w:val="001A5390"/>
    <w:rsid w:val="002D7DAD"/>
    <w:rsid w:val="002E6EF2"/>
    <w:rsid w:val="004A2337"/>
    <w:rsid w:val="00B00714"/>
    <w:rsid w:val="00DE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45340"/>
  <w15:chartTrackingRefBased/>
  <w15:docId w15:val="{3D268670-B277-4139-989C-9C057DFC1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E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E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E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caihua</dc:creator>
  <cp:keywords/>
  <dc:description/>
  <cp:lastModifiedBy>caihua</cp:lastModifiedBy>
  <cp:revision>3</cp:revision>
  <dcterms:created xsi:type="dcterms:W3CDTF">2021-01-15T09:07:00Z</dcterms:created>
  <dcterms:modified xsi:type="dcterms:W3CDTF">2021-01-15T09:08:00Z</dcterms:modified>
</cp:coreProperties>
</file>