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80" w:afterLines="50" w:line="480" w:lineRule="atLeast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ascii="Times New Roman" w:hAnsi="Times New Roman" w:eastAsia="Calibri" w:cs="Times New Roman"/>
          <w:b/>
          <w:sz w:val="32"/>
          <w:szCs w:val="32"/>
        </w:rPr>
        <w:t>Additional file 1</w:t>
      </w:r>
    </w:p>
    <w:p>
      <w:pPr>
        <w:spacing w:line="240" w:lineRule="auto"/>
        <w:ind w:firstLine="482" w:firstLineChars="200"/>
        <w:jc w:val="center"/>
        <w:rPr>
          <w:rFonts w:hint="eastAsia" w:ascii="Times New Roman" w:hAnsi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ascii="Times New Roman" w:hAnsi="Times New Roman" w:eastAsiaTheme="minorEastAsia"/>
          <w:b/>
          <w:bCs/>
          <w:sz w:val="24"/>
          <w:szCs w:val="24"/>
        </w:rPr>
        <w:t>Human Umbilical Cord Mesenchymal Stem Cells Combined with Pirfenidone</w:t>
      </w:r>
      <w:r>
        <w:rPr>
          <w:rFonts w:hint="eastAsia" w:ascii="Times New Roman" w:hAnsi="Times New Roman" w:eastAsiaTheme="minorEastAsia"/>
          <w:b/>
          <w:bCs/>
          <w:sz w:val="24"/>
          <w:szCs w:val="24"/>
          <w:lang w:val="en-US" w:eastAsia="zh-CN"/>
        </w:rPr>
        <w:t xml:space="preserve"> upregulates the Expression of RGS2 in the Pulmonary Fibrosis in Mice</w:t>
      </w:r>
    </w:p>
    <w:p/>
    <w:p>
      <w:pPr>
        <w:adjustRightInd w:val="0"/>
        <w:snapToGrid w:val="0"/>
        <w:spacing w:after="180" w:afterLines="50" w:line="480" w:lineRule="atLeast"/>
        <w:jc w:val="center"/>
        <w:rPr>
          <w:rFonts w:ascii="Times New Roman" w:hAnsi="Times New Roman" w:eastAsia="Calibri" w:cs="Times New Roman"/>
          <w:b/>
        </w:rPr>
      </w:pPr>
      <w:bookmarkStart w:id="0" w:name="_Hlk48730028"/>
      <w:r>
        <w:rPr>
          <w:rFonts w:ascii="Times New Roman" w:hAnsi="Times New Roman" w:eastAsia="Calibri" w:cs="Times New Roman"/>
          <w:b/>
        </w:rPr>
        <w:t>Contents</w:t>
      </w:r>
      <w:bookmarkEnd w:id="0"/>
    </w:p>
    <w:p>
      <w:pPr>
        <w:adjustRightInd w:val="0"/>
        <w:snapToGrid w:val="0"/>
        <w:spacing w:after="180" w:afterLines="50" w:line="480" w:lineRule="atLeast"/>
        <w:jc w:val="center"/>
        <w:rPr>
          <w:rFonts w:ascii="Times New Roman" w:hAnsi="Times New Roman" w:eastAsia="Calibri" w:cs="Times New Roman"/>
          <w:b/>
        </w:rPr>
      </w:pPr>
      <w:r>
        <w:rPr>
          <w:rFonts w:ascii="Times New Roman" w:hAnsi="Times New Roman" w:eastAsia="Calibri" w:cs="Times New Roman"/>
        </w:rPr>
        <w:t>Table S1</w:t>
      </w:r>
    </w:p>
    <w:p>
      <w:pPr>
        <w:adjustRightInd w:val="0"/>
        <w:snapToGrid w:val="0"/>
        <w:spacing w:after="180" w:afterLines="50" w:line="240" w:lineRule="atLeast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Table S2</w:t>
      </w:r>
    </w:p>
    <w:p>
      <w:pPr>
        <w:adjustRightInd w:val="0"/>
        <w:snapToGrid w:val="0"/>
        <w:spacing w:after="180" w:afterLines="50" w:line="240" w:lineRule="atLeast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Table S3</w:t>
      </w:r>
    </w:p>
    <w:p>
      <w:pPr>
        <w:adjustRightInd w:val="0"/>
        <w:snapToGrid w:val="0"/>
        <w:spacing w:after="180" w:afterLines="50" w:line="240" w:lineRule="atLeast"/>
        <w:jc w:val="center"/>
        <w:rPr>
          <w:rFonts w:hint="eastAsia" w:ascii="Times New Roman" w:hAnsi="Times New Roman" w:eastAsia="宋体" w:cs="Times New Roman"/>
          <w:lang w:eastAsia="zh-CN"/>
        </w:rPr>
      </w:pPr>
      <w:r>
        <w:rPr>
          <w:rFonts w:ascii="Times New Roman" w:hAnsi="Times New Roman" w:eastAsia="Calibri" w:cs="Times New Roman"/>
        </w:rPr>
        <w:t>Table S</w:t>
      </w:r>
      <w:r>
        <w:rPr>
          <w:rFonts w:hint="eastAsia" w:ascii="Times New Roman" w:hAnsi="Times New Roman" w:eastAsia="宋体" w:cs="Times New Roman"/>
          <w:lang w:val="en-US" w:eastAsia="zh-CN"/>
        </w:rPr>
        <w:t>4</w:t>
      </w:r>
    </w:p>
    <w:p>
      <w:pPr>
        <w:adjustRightInd w:val="0"/>
        <w:snapToGrid w:val="0"/>
        <w:spacing w:after="180" w:afterLines="50" w:line="240" w:lineRule="atLeast"/>
        <w:jc w:val="center"/>
        <w:rPr>
          <w:rFonts w:hint="eastAsia" w:ascii="Times New Roman" w:hAnsi="Times New Roman" w:eastAsia="宋体" w:cs="Times New Roman"/>
          <w:lang w:eastAsia="zh-CN"/>
        </w:rPr>
      </w:pPr>
      <w:r>
        <w:rPr>
          <w:rFonts w:ascii="Times New Roman" w:hAnsi="Times New Roman" w:eastAsia="Calibri" w:cs="Times New Roman"/>
        </w:rPr>
        <w:t>Table S</w:t>
      </w:r>
      <w:r>
        <w:rPr>
          <w:rFonts w:hint="eastAsia" w:ascii="Times New Roman" w:hAnsi="Times New Roman" w:eastAsia="宋体" w:cs="Times New Roman"/>
          <w:lang w:val="en-US" w:eastAsia="zh-CN"/>
        </w:rPr>
        <w:t>5</w:t>
      </w:r>
    </w:p>
    <w:p>
      <w:pPr>
        <w:adjustRightInd w:val="0"/>
        <w:snapToGrid w:val="0"/>
        <w:spacing w:after="180" w:afterLines="50" w:line="240" w:lineRule="atLeast"/>
        <w:jc w:val="both"/>
        <w:rPr>
          <w:rFonts w:ascii="Times New Roman" w:hAnsi="Times New Roman" w:eastAsia="Calibri" w:cs="Times New Roman"/>
        </w:rPr>
      </w:pPr>
    </w:p>
    <w:p>
      <w:pPr>
        <w:adjustRightInd w:val="0"/>
        <w:snapToGrid w:val="0"/>
        <w:spacing w:after="180" w:afterLines="50" w:line="240" w:lineRule="atLeast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Figure S1</w:t>
      </w:r>
    </w:p>
    <w:p>
      <w:pPr>
        <w:pBdr>
          <w:top w:val="none" w:color="auto" w:sz="0" w:space="0"/>
        </w:pBdr>
        <w:adjustRightInd w:val="0"/>
        <w:snapToGrid w:val="0"/>
        <w:spacing w:after="180" w:afterLines="50" w:line="240" w:lineRule="atLeast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Figure S2</w:t>
      </w:r>
    </w:p>
    <w:p>
      <w:pPr>
        <w:adjustRightInd w:val="0"/>
        <w:snapToGrid w:val="0"/>
        <w:spacing w:after="180" w:afterLines="50" w:line="240" w:lineRule="atLeast"/>
        <w:jc w:val="center"/>
        <w:rPr>
          <w:rFonts w:ascii="Times New Roman" w:hAnsi="Times New Roman" w:eastAsia="Calibri" w:cs="Times New Roman"/>
        </w:rPr>
      </w:pPr>
      <w:r>
        <w:rPr>
          <w:rFonts w:ascii="Times New Roman" w:hAnsi="Times New Roman" w:eastAsia="Calibri" w:cs="Times New Roman"/>
        </w:rPr>
        <w:t>Figure S3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Basic data of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number of dead mice treated with different doses of PFD.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Days</w:t>
            </w:r>
          </w:p>
        </w:tc>
        <w:tc>
          <w:tcPr>
            <w:tcW w:w="730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3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宋体" w:hAnsi="宋体" w:eastAsiaTheme="minorEastAsia" w:cstheme="minorBidi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</w:t>
            </w:r>
          </w:p>
        </w:tc>
      </w:tr>
    </w:tbl>
    <w:p>
      <w:pPr>
        <w:rPr>
          <w:rFonts w:hint="eastAsia" w:ascii="Times New Roman" w:hAnsi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 xml:space="preserve">N: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control group </w:t>
      </w:r>
      <w:r>
        <w:rPr>
          <w:rFonts w:hint="eastAsia" w:ascii="Times New Roman" w:hAnsi="Times New Roman"/>
          <w:szCs w:val="21"/>
          <w:lang w:val="en-US" w:eastAsia="zh-CN"/>
        </w:rPr>
        <w:t xml:space="preserve">, B: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bleomycin model group</w:t>
      </w:r>
      <w:r>
        <w:rPr>
          <w:rFonts w:hint="eastAsia" w:ascii="Times New Roman" w:hAnsi="Times New Roman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(10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(30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(100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(300 mg/kg PFD).</w:t>
      </w:r>
    </w:p>
    <w:p>
      <w:pPr>
        <w:rPr>
          <w:rFonts w:hint="eastAsia" w:ascii="Times New Roman" w:hAnsi="Times New Roman" w:eastAsiaTheme="minorEastAsia"/>
          <w:szCs w:val="21"/>
          <w:lang w:val="en-US" w:eastAsia="zh-CN"/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Basic data of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number of dead mice treated with different doses.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Days</w:t>
            </w:r>
          </w:p>
        </w:tc>
        <w:tc>
          <w:tcPr>
            <w:tcW w:w="730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N+M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3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19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0</w:t>
            </w:r>
          </w:p>
        </w:tc>
      </w:tr>
    </w:tbl>
    <w:p>
      <w:pPr>
        <w:jc w:val="left"/>
        <w:rPr>
          <w:rFonts w:hint="default" w:ascii="Times New Roman" w:hAnsi="Times New Roman"/>
          <w:szCs w:val="21"/>
          <w:lang w:val="en-US" w:eastAsia="zh-CN"/>
        </w:rPr>
      </w:pPr>
      <w:r>
        <w:rPr>
          <w:rFonts w:hint="eastAsia" w:ascii="Times New Roman" w:hAnsi="Times New Roman"/>
          <w:szCs w:val="21"/>
          <w:lang w:val="en-US" w:eastAsia="zh-CN"/>
        </w:rPr>
        <w:t xml:space="preserve">N: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control group </w:t>
      </w:r>
      <w:r>
        <w:rPr>
          <w:rFonts w:hint="eastAsia" w:ascii="Times New Roman" w:hAnsi="Times New Roman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N+M</w:t>
      </w:r>
      <w:r>
        <w:rPr>
          <w:rFonts w:hint="eastAsia" w:ascii="Times New Roman" w:hAnsi="Times New Roman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hUC-MSCs control group, </w:t>
      </w:r>
      <w:r>
        <w:rPr>
          <w:rFonts w:hint="eastAsia" w:ascii="Times New Roman" w:hAnsi="Times New Roman"/>
          <w:szCs w:val="21"/>
          <w:lang w:val="en-US" w:eastAsia="zh-CN"/>
        </w:rPr>
        <w:t xml:space="preserve">B: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bleomycin model group, </w:t>
      </w:r>
      <w:bookmarkStart w:id="1" w:name="OLE_LINK2"/>
      <w:r>
        <w:rPr>
          <w:rFonts w:hint="eastAsia" w:ascii="Times New Roman" w:hAnsi="Times New Roman" w:eastAsiaTheme="minorEastAsia"/>
          <w:szCs w:val="21"/>
          <w:lang w:val="en-US" w:eastAsia="zh-CN"/>
        </w:rPr>
        <w:t>B+M</w:t>
      </w:r>
      <w:r>
        <w:rPr>
          <w:rFonts w:hint="eastAsia" w:ascii="Times New Roman" w:hAnsi="Times New Roman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hUC-MSCs treatment group</w:t>
      </w:r>
      <w:bookmarkEnd w:id="1"/>
      <w:r>
        <w:rPr>
          <w:rFonts w:hint="eastAsia" w:ascii="Times New Roman" w:hAnsi="Times New Roman" w:eastAsiaTheme="minorEastAsia"/>
          <w:szCs w:val="21"/>
          <w:lang w:val="en-US" w:eastAsia="zh-CN"/>
        </w:rPr>
        <w:t>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group(100 mg/kg PFD)</w:t>
      </w:r>
      <w:r>
        <w:rPr>
          <w:rFonts w:hint="eastAsia" w:ascii="Times New Roman" w:hAnsi="Times New Roman"/>
          <w:szCs w:val="21"/>
          <w:lang w:val="en-US" w:eastAsia="zh-CN"/>
        </w:rPr>
        <w:t>,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</w:t>
      </w:r>
      <w:bookmarkStart w:id="2" w:name="OLE_LINK1"/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B+M+P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hUC-MSCs</w:t>
      </w:r>
      <w:bookmarkEnd w:id="2"/>
      <w:r>
        <w:rPr>
          <w:rFonts w:hint="eastAsia" w:ascii="Times New Roman" w:hAnsi="Times New Roman" w:eastAsiaTheme="minorEastAsia"/>
          <w:szCs w:val="21"/>
          <w:lang w:val="en-US" w:eastAsia="zh-CN"/>
        </w:rPr>
        <w:t>+P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(hUC-MSCs+30 mg/kg PFD).</w:t>
      </w:r>
    </w:p>
    <w:p>
      <w:pPr>
        <w:rPr>
          <w:rFonts w:hint="eastAsia" w:ascii="Times New Roman" w:hAnsi="Times New Roman" w:eastAsiaTheme="minorEastAsia"/>
          <w:szCs w:val="21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Basic data of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Ashcroft scores of HE and Masson staining treated with different doses of PFD.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</w:rPr>
            </w:pPr>
          </w:p>
        </w:tc>
        <w:tc>
          <w:tcPr>
            <w:tcW w:w="730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  <w:t>HE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1.175±0.096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6.6±0.216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6.5±0.216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6.075±0.386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5.075±0.411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5.85±0.42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  <w:t>Masson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1.25±0.208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6.6±0.294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6.625±0.15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6.175±0.359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5.075±0.492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5.925±0.299</w:t>
            </w:r>
          </w:p>
        </w:tc>
      </w:tr>
    </w:tbl>
    <w:p>
      <w:pPr>
        <w:rPr>
          <w:rFonts w:hint="eastAsia" w:ascii="Times New Roman" w:hAnsi="Times New Roman" w:eastAsiaTheme="minorEastAsia"/>
          <w:szCs w:val="21"/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Data are presented as mean ± SEM.</w:t>
      </w:r>
      <w:r>
        <w:rPr>
          <w:rFonts w:hint="eastAsia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 xml:space="preserve">N: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control group </w:t>
      </w:r>
      <w:r>
        <w:rPr>
          <w:rFonts w:hint="eastAsia" w:ascii="Times New Roman" w:hAnsi="Times New Roman"/>
          <w:szCs w:val="21"/>
          <w:lang w:val="en-US" w:eastAsia="zh-CN"/>
        </w:rPr>
        <w:t xml:space="preserve">, B: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bleomycin model group</w:t>
      </w:r>
      <w:r>
        <w:rPr>
          <w:rFonts w:hint="eastAsia" w:ascii="Times New Roman" w:hAnsi="Times New Roman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(10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(30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(100 mg/kg PFD),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(300 mg/kg PFD).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Basic data of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Ashcroft scores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of HE and Masson staining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treated with PFD and hUC-MSCs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</w:rPr>
            </w:pPr>
          </w:p>
        </w:tc>
        <w:tc>
          <w:tcPr>
            <w:tcW w:w="730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N+M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4"/>
                <w:lang w:val="en-US" w:eastAsia="ja-JP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  <w:t>HE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1.25±0.191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1.3±0.183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6.525±0.33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6.425±0.33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5.075±0.403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3.95±0.387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2"/>
                <w:szCs w:val="24"/>
                <w:lang w:val="en-US" w:eastAsia="zh-CN" w:bidi="ar-SA"/>
              </w:rPr>
              <w:t>Masson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1.275±0.126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1.4±0.216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6.675±0.299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6.6±0.183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5.05±0.42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18"/>
                <w:szCs w:val="22"/>
                <w:lang w:val="en-US" w:eastAsia="ja-JP" w:bidi="ar-SA"/>
              </w:rPr>
            </w:pPr>
            <w:r>
              <w:rPr>
                <w:rFonts w:hint="default" w:ascii="Arial" w:hAnsi="Arial"/>
                <w:color w:val="000000"/>
                <w:sz w:val="18"/>
                <w:szCs w:val="22"/>
              </w:rPr>
              <w:t>4.025±0.222</w:t>
            </w:r>
          </w:p>
        </w:tc>
      </w:tr>
    </w:tbl>
    <w:p>
      <w:pPr>
        <w:rPr>
          <w:rFonts w:hint="default" w:ascii="Times New Roman" w:hAnsi="Times New Roman"/>
          <w:szCs w:val="21"/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Data are presented as mean ± SEM.</w:t>
      </w:r>
      <w:r>
        <w:rPr>
          <w:rFonts w:hint="eastAsia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szCs w:val="21"/>
          <w:lang w:val="en-US" w:eastAsia="zh-CN"/>
        </w:rPr>
        <w:t xml:space="preserve">N: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control group </w:t>
      </w:r>
      <w:r>
        <w:rPr>
          <w:rFonts w:hint="eastAsia" w:ascii="Times New Roman" w:hAnsi="Times New Roman"/>
          <w:szCs w:val="21"/>
          <w:lang w:val="en-US" w:eastAsia="zh-CN"/>
        </w:rPr>
        <w:t xml:space="preserve">,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N+M</w:t>
      </w:r>
      <w:r>
        <w:rPr>
          <w:rFonts w:hint="eastAsia" w:ascii="Times New Roman" w:hAnsi="Times New Roman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hUC-MSCs control group, </w:t>
      </w:r>
      <w:r>
        <w:rPr>
          <w:rFonts w:hint="eastAsia" w:ascii="Times New Roman" w:hAnsi="Times New Roman"/>
          <w:szCs w:val="21"/>
          <w:lang w:val="en-US" w:eastAsia="zh-CN"/>
        </w:rPr>
        <w:t xml:space="preserve">B: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bleomycin model group, B+M</w:t>
      </w:r>
      <w:r>
        <w:rPr>
          <w:rFonts w:hint="eastAsia" w:ascii="Times New Roman" w:hAnsi="Times New Roman"/>
          <w:szCs w:val="21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hUC-MSCs treatment group, 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100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group(100 mg/kg PFD)</w:t>
      </w:r>
      <w:r>
        <w:rPr>
          <w:rFonts w:hint="eastAsia" w:ascii="Times New Roman" w:hAnsi="Times New Roman"/>
          <w:szCs w:val="21"/>
          <w:lang w:val="en-US" w:eastAsia="zh-CN"/>
        </w:rPr>
        <w:t>,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 B+M+P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/>
          <w:szCs w:val="21"/>
          <w:vertAlign w:val="subscript"/>
          <w:lang w:val="en-US" w:eastAsia="zh-CN"/>
        </w:rPr>
        <w:t xml:space="preserve">: 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>hUC-MSCs+P</w:t>
      </w:r>
      <w:r>
        <w:rPr>
          <w:rFonts w:hint="eastAsia" w:ascii="Times New Roman" w:hAnsi="Times New Roman" w:eastAsiaTheme="minorEastAsia"/>
          <w:szCs w:val="21"/>
          <w:vertAlign w:val="subscript"/>
          <w:lang w:val="en-US" w:eastAsia="zh-CN"/>
        </w:rPr>
        <w:t>30</w:t>
      </w:r>
      <w:r>
        <w:rPr>
          <w:rFonts w:hint="eastAsia" w:ascii="Times New Roman" w:hAnsi="Times New Roman" w:eastAsiaTheme="minorEastAsia"/>
          <w:szCs w:val="21"/>
          <w:lang w:val="en-US" w:eastAsia="zh-CN"/>
        </w:rPr>
        <w:t xml:space="preserve"> group (hUC-MSCs+30 mg/kg PFD).</w:t>
      </w:r>
    </w:p>
    <w:p>
      <w:pPr>
        <w:rPr>
          <w:rFonts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Basic data of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the intrapulmonary collagen content was measured by Sircol method.</w:t>
      </w:r>
    </w:p>
    <w:tbl>
      <w:tblPr>
        <w:tblStyle w:val="5"/>
        <w:tblW w:w="85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7"/>
        <w:gridCol w:w="1217"/>
        <w:gridCol w:w="12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</w:rPr>
            </w:pPr>
          </w:p>
        </w:tc>
        <w:tc>
          <w:tcPr>
            <w:tcW w:w="7305" w:type="dxa"/>
            <w:gridSpan w:val="6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  <w:t>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/>
                <w:cap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  <w:tc>
          <w:tcPr>
            <w:tcW w:w="1217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collagen content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108.108±19.782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690.666±45.555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658.451±68.79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644.799±69.574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464.328±49.785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556.164±71.957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N+M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</w:t>
            </w: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100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2"/>
                <w:szCs w:val="24"/>
                <w:lang w:val="en-US" w:eastAsia="ja-JP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</w:rPr>
              <w:t>B+M+P</w:t>
            </w:r>
            <w:r>
              <w:rPr>
                <w:rFonts w:hint="default" w:ascii="Times New Roman" w:hAnsi="Times New Roman" w:cs="Times New Roman"/>
                <w:color w:val="000000"/>
                <w:sz w:val="22"/>
                <w:szCs w:val="24"/>
                <w:vertAlign w:val="subscript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20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collagen content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104.298±31.481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122.248±44.163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711.133±64.413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707.845±72.08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480.454±58.503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12" w:space="0"/>
              <w:right w:val="single" w:color="7F7F7F" w:sz="4" w:space="0"/>
              <w:insideV w:val="single" w:sz="4" w:space="0"/>
            </w:tcBorders>
            <w:shd w:val="clear" w:color="auto" w:fill="auto"/>
            <w:vAlign w:val="top"/>
          </w:tcPr>
          <w:p>
            <w:pPr>
              <w:spacing w:beforeLines="0" w:afterLines="0"/>
              <w:jc w:val="left"/>
              <w:rPr>
                <w:rFonts w:hint="default" w:ascii="Arial" w:hAnsi="Arial" w:eastAsiaTheme="minorEastAsia" w:cstheme="minorBidi"/>
                <w:color w:val="000000"/>
                <w:kern w:val="2"/>
                <w:sz w:val="20"/>
                <w:szCs w:val="24"/>
                <w:lang w:val="en-US" w:eastAsia="ja-JP" w:bidi="ar-SA"/>
              </w:rPr>
            </w:pPr>
            <w:r>
              <w:rPr>
                <w:rFonts w:hint="eastAsia" w:ascii="Arial" w:hAnsi="Arial"/>
                <w:color w:val="000000"/>
                <w:sz w:val="20"/>
                <w:szCs w:val="24"/>
              </w:rPr>
              <w:t>270.298±64.669</w:t>
            </w:r>
          </w:p>
        </w:tc>
      </w:tr>
    </w:tbl>
    <w:p>
      <w:pPr>
        <w:rPr>
          <w:rFonts w:hint="default" w:ascii="Times New Roman" w:hAnsi="Times New Roman"/>
          <w:szCs w:val="21"/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Data are presented as mean ± SEM.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Figure S1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Flow cytometry detection of surface mesenchymal stem cell markers of hUC-MSCs.</w:t>
      </w:r>
    </w:p>
    <w:p>
      <w:pP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92070" cy="1271905"/>
            <wp:effectExtent l="0" t="0" r="11430" b="10795"/>
            <wp:docPr id="1" name="图片 1" descr="CD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D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27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92070" cy="1271905"/>
            <wp:effectExtent l="0" t="0" r="11430" b="10795"/>
            <wp:docPr id="4" name="图片 4" descr="C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D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27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592070" cy="1271270"/>
            <wp:effectExtent l="0" t="0" r="11430" b="11430"/>
            <wp:docPr id="7" name="图片 7" descr="CD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D1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2070" cy="127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419985" cy="1367790"/>
            <wp:effectExtent l="0" t="0" r="5715" b="3810"/>
            <wp:docPr id="8" name="图片 8" descr="CD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D3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9985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0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70000" cy="1367790"/>
            <wp:effectExtent l="0" t="0" r="0" b="3810"/>
            <wp:docPr id="9" name="图片 9" descr="CD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D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sz w:val="20"/>
        </w:rPr>
        <w:drawing>
          <wp:inline distT="0" distB="0" distL="114300" distR="114300">
            <wp:extent cx="2790190" cy="1367790"/>
            <wp:effectExtent l="0" t="0" r="3810" b="3810"/>
            <wp:docPr id="11" name="图片 11" descr="HLA-D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LA-DR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019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sz w:val="20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jc w:val="left"/>
        <w:rPr>
          <w:sz w:val="20"/>
        </w:rPr>
      </w:pP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Figure S2 </w:t>
      </w:r>
    </w:p>
    <w:p>
      <w:pP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The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primitive view of 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the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differentiation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o</w:t>
      </w:r>
      <w:r>
        <w:rPr>
          <w:rFonts w:hint="default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hint="eastAsia"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hUC-MSCs.</w:t>
      </w:r>
    </w:p>
    <w:p>
      <w:pPr>
        <w:ind w:left="1058" w:leftChars="504" w:firstLine="0" w:firstLineChars="0"/>
        <w:jc w:val="left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4434840</wp:posOffset>
                </wp:positionV>
                <wp:extent cx="313055" cy="28765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.2pt;margin-top:349.2pt;height:22.65pt;width:24.65pt;z-index:251662336;mso-width-relative:page;mso-height-relative:page;" filled="f" stroked="f" coordsize="21600,21600" o:gfxdata="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By3GELbAAAACQEAAA8AAAAAAAAAAQAgAAAAIgAAAGRy&#10;cy9kb3ducmV2LnhtbFBLAQIUABQAAAAIAIdO4kCfL6XROwIAAGcEAAAOAAAAAAAAAAEAIAAAACoB&#10;AABkcnMvZTJvRG9jLnhtbFBLBQYAAAAABgAGAFkBAADX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105410</wp:posOffset>
                </wp:positionH>
                <wp:positionV relativeFrom="paragraph">
                  <wp:posOffset>2269490</wp:posOffset>
                </wp:positionV>
                <wp:extent cx="313055" cy="287655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lang w:val="en-US" w:eastAsia="zh-CN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3pt;margin-top:178.7pt;height:22.65pt;width:24.65pt;z-index:251661312;mso-width-relative:page;mso-height-relative:page;" filled="f" stroked="f" coordsize="21600,21600" o:gfxdata="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ZkNSq2wAAAAkBAAAPAAAAAAAAAAEAIAAAACIAAABk&#10;cnMvZG93bnJldi54bWxQSwECFAAUAAAACACHTuJAJNP1YDwCAABnBAAADgAAAAAAAAABACAAAAAq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lang w:val="en-US" w:eastAsia="zh-CN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192405</wp:posOffset>
                </wp:positionH>
                <wp:positionV relativeFrom="paragraph">
                  <wp:posOffset>74930</wp:posOffset>
                </wp:positionV>
                <wp:extent cx="313055" cy="287655"/>
                <wp:effectExtent l="0" t="0" r="4445" b="444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48710" y="1916430"/>
                          <a:ext cx="313055" cy="287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.15pt;margin-top:5.9pt;height:22.65pt;width:24.65pt;z-index:251660288;mso-width-relative:page;mso-height-relative:page;" filled="f" stroked="f" coordsize="21600,21600" o:gfxdata="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 w:eastAsiaTheme="minorEastAsia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drawing>
          <wp:inline distT="0" distB="0" distL="114300" distR="114300">
            <wp:extent cx="2665730" cy="1999615"/>
            <wp:effectExtent l="0" t="0" r="1270" b="6985"/>
            <wp:docPr id="12" name="图片 12" descr="成软骨-8 10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成软骨-8 10x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5730" cy="19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0"/>
          <w:lang w:val="en-US" w:eastAsia="zh-CN"/>
        </w:rPr>
        <w:t xml:space="preserve">  </w:t>
      </w:r>
      <w:r>
        <w:drawing>
          <wp:inline distT="0" distB="0" distL="114300" distR="114300">
            <wp:extent cx="2699385" cy="2014220"/>
            <wp:effectExtent l="0" t="0" r="5715" b="5080"/>
            <wp:docPr id="10" name="图片 9" descr="成骨w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成骨wx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99385" cy="201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07005" cy="2075815"/>
            <wp:effectExtent l="0" t="0" r="10795" b="6985"/>
            <wp:docPr id="6" name="图片 5" descr="成脂w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成脂wx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7005" cy="207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A: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chrondrocytes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, B: 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osteocytes, 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C:</w:t>
      </w:r>
      <w: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adipocytes.</w:t>
      </w:r>
      <w:bookmarkStart w:id="3" w:name="_GoBack"/>
      <w:bookmarkEnd w:id="3"/>
    </w:p>
    <w:p>
      <w:pPr>
        <w:jc w:val="left"/>
      </w:pPr>
    </w:p>
    <w:p>
      <w:p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Figure S3</w:t>
      </w:r>
    </w:p>
    <w:p>
      <w:pPr>
        <w:rPr>
          <w:rFonts w:hint="eastAsia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Original images </w:t>
      </w:r>
      <w:r>
        <w:rPr>
          <w:rFonts w:ascii="Times New Roman" w:hAnsi="Times New Roman" w:cs="Times New Roman"/>
          <w:sz w:val="24"/>
          <w:szCs w:val="24"/>
        </w:rPr>
        <w:t>of protein expression of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RGS2</w:t>
      </w:r>
      <w:r>
        <w:rPr>
          <w:rFonts w:ascii="Times New Roman" w:hAnsi="Times New Roman" w:cs="Times New Roman"/>
          <w:sz w:val="24"/>
          <w:szCs w:val="24"/>
        </w:rPr>
        <w:t xml:space="preserve"> in the lung tissue.</w:t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β-actin</w: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979805" cy="372745"/>
            <wp:effectExtent l="0" t="0" r="10795" b="8255"/>
            <wp:docPr id="13" name="图片 10" descr="a-SMA1(good)1.s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a-SMA1(good)1.sgd"/>
                    <pic:cNvPicPr>
                      <a:picLocks noChangeAspect="1"/>
                    </pic:cNvPicPr>
                  </pic:nvPicPr>
                  <pic:blipFill>
                    <a:blip r:embed="rId13">
                      <a:lum bright="-30000" contrast="18000"/>
                    </a:blip>
                    <a:srcRect l="25226" t="926" r="9585" b="66393"/>
                    <a:stretch>
                      <a:fillRect/>
                    </a:stretch>
                  </pic:blipFill>
                  <pic:spPr>
                    <a:xfrm>
                      <a:off x="0" y="0"/>
                      <a:ext cx="979805" cy="37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RGS2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1232535" cy="534670"/>
            <wp:effectExtent l="0" t="0" r="12065" b="11430"/>
            <wp:docPr id="14" name="图片 11" descr="col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" descr="col1-2"/>
                    <pic:cNvPicPr>
                      <a:picLocks noChangeAspect="1"/>
                    </pic:cNvPicPr>
                  </pic:nvPicPr>
                  <pic:blipFill>
                    <a:blip r:embed="rId14"/>
                    <a:srcRect l="29972" t="38471" r="610" b="32297"/>
                    <a:stretch>
                      <a:fillRect/>
                    </a:stretch>
                  </pic:blipFill>
                  <pic:spPr>
                    <a:xfrm>
                      <a:off x="0" y="0"/>
                      <a:ext cx="1232535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default" w:ascii="Times New Roman" w:hAnsi="Times New Roman" w:cs="Times New Roman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-3305175</wp:posOffset>
                </wp:positionH>
                <wp:positionV relativeFrom="paragraph">
                  <wp:posOffset>64135</wp:posOffset>
                </wp:positionV>
                <wp:extent cx="264795" cy="318770"/>
                <wp:effectExtent l="0" t="0" r="190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9010" y="6790055"/>
                          <a:ext cx="264795" cy="3187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A</w:t>
                            </w:r>
                          </w:p>
                          <w:p>
                            <w:pP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0.25pt;margin-top:5.05pt;height:25.1pt;width:20.85pt;z-index:251659264;mso-width-relative:page;mso-height-relative:page;" filled="f" stroked="f" coordsize="21600,21600" o:gfxdata="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L5dEnNwAAAALAQAADwAAAAAAAAABACAAAAAi&#10;AAAAZHJzL2Rvd25yZXYueG1sUEsBAhQAFAAAAAgAh07iQFNL4rexAgAAWAUAAA4AAAAAAAAAAQAg&#10;AAAAKwEAAGRycy9lMm9Eb2MueG1sUEsFBgAAAAAGAAYAWQEAAE4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A</w:t>
                      </w:r>
                    </w:p>
                    <w:p>
                      <w:pP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E93EBB"/>
    <w:rsid w:val="12A45254"/>
    <w:rsid w:val="18B60DF7"/>
    <w:rsid w:val="1A9C7608"/>
    <w:rsid w:val="34931CD3"/>
    <w:rsid w:val="4D52234C"/>
    <w:rsid w:val="5A211343"/>
    <w:rsid w:val="5A3B68D8"/>
    <w:rsid w:val="5B4517BC"/>
    <w:rsid w:val="63B313F6"/>
    <w:rsid w:val="718E1046"/>
    <w:rsid w:val="74A4534E"/>
    <w:rsid w:val="75ED5298"/>
    <w:rsid w:val="781308CB"/>
    <w:rsid w:val="7E6114CA"/>
    <w:rsid w:val="7E7A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ja-JP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无格式表格 31"/>
    <w:basedOn w:val="2"/>
    <w:qFormat/>
    <w:uiPriority w:val="0"/>
    <w:rPr>
      <w:rFonts w:ascii="Calibri" w:hAnsi="Calibri" w:eastAsia="宋体" w:cs="Times New Roman"/>
    </w:rPr>
    <w:tblStylePr w:type="firstRow">
      <w:rPr>
        <w:b/>
        <w:bCs/>
        <w:caps/>
      </w:rPr>
      <w:tcPr>
        <w:tcBorders>
          <w:bottom w:val="single" w:color="7F7F7F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F7F7F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3.tiff"/><Relationship Id="rId13" Type="http://schemas.openxmlformats.org/officeDocument/2006/relationships/image" Target="media/image2.tiff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2022-04-08T23:43:00Z</dcterms:created>
  <dc:creator>羡</dc:creator>
  <cp:lastModifiedBy>羡</cp:lastModifiedBy>
  <dcterms:modified xsi:type="dcterms:W3CDTF">2022-04-09T14:26:18Z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103CEDC1023645BE805BBC5B021D97E1</vt:lpwstr>
  </property>
</Properties>
</file>