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A3FB4E" w14:textId="77777777" w:rsidR="00931D05" w:rsidRDefault="00931D05" w:rsidP="00931D05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E71BD7">
        <w:rPr>
          <w:rFonts w:ascii="Times New Roman" w:hAnsi="Times New Roman" w:cs="Times New Roman"/>
          <w:b/>
          <w:color w:val="000000"/>
          <w:sz w:val="32"/>
          <w:szCs w:val="32"/>
        </w:rPr>
        <w:t>Supplementary information</w:t>
      </w:r>
    </w:p>
    <w:p w14:paraId="0CECDABF" w14:textId="77777777" w:rsidR="00931D05" w:rsidRDefault="00931D05" w:rsidP="00931D05">
      <w:pPr>
        <w:spacing w:line="360" w:lineRule="auto"/>
      </w:pPr>
      <w:r>
        <w:rPr>
          <w:rFonts w:ascii="Times New Roman" w:hAnsi="Times New Roman" w:cs="Times New Roman"/>
          <w:color w:val="000000"/>
        </w:rPr>
        <w:t>Haoran Zhang</w:t>
      </w:r>
      <w:r>
        <w:rPr>
          <w:rFonts w:ascii="Times New Roman" w:hAnsi="Times New Roman" w:cs="Times New Roman"/>
          <w:color w:val="000000"/>
          <w:vertAlign w:val="superscript"/>
        </w:rPr>
        <w:t>ab</w:t>
      </w:r>
      <w:r>
        <w:rPr>
          <w:rFonts w:ascii="Times New Roman" w:hAnsi="Times New Roman" w:cs="Times New Roman"/>
          <w:color w:val="000000"/>
        </w:rPr>
        <w:t>, Lu Zhang</w:t>
      </w:r>
      <w:r>
        <w:rPr>
          <w:rFonts w:ascii="Times New Roman" w:hAnsi="Times New Roman" w:cs="Times New Roman"/>
          <w:color w:val="000000"/>
          <w:vertAlign w:val="superscript"/>
        </w:rPr>
        <w:t>ab</w:t>
      </w:r>
      <w:r>
        <w:rPr>
          <w:rFonts w:ascii="Times New Roman" w:hAnsi="Times New Roman" w:cs="Times New Roman"/>
          <w:color w:val="000000"/>
        </w:rPr>
        <w:t xml:space="preserve">, </w:t>
      </w:r>
      <w:r w:rsidRPr="00FE33E9">
        <w:rPr>
          <w:rFonts w:ascii="Times New Roman" w:hAnsi="Times New Roman" w:cs="Times New Roman"/>
          <w:color w:val="000000"/>
        </w:rPr>
        <w:t>Yipeng Xu</w:t>
      </w:r>
      <w:r w:rsidRPr="00FE33E9">
        <w:rPr>
          <w:rFonts w:ascii="Times New Roman" w:hAnsi="Times New Roman" w:cs="Times New Roman"/>
          <w:color w:val="000000"/>
          <w:vertAlign w:val="superscript"/>
        </w:rPr>
        <w:t>c</w:t>
      </w:r>
      <w:r w:rsidRPr="00FE33E9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Shaoyong Chen</w:t>
      </w:r>
      <w:r>
        <w:rPr>
          <w:rFonts w:ascii="Times New Roman" w:hAnsi="Times New Roman" w:cs="Times New Roman"/>
          <w:color w:val="000000"/>
          <w:vertAlign w:val="superscript"/>
        </w:rPr>
        <w:t>d</w:t>
      </w:r>
      <w:r>
        <w:rPr>
          <w:rFonts w:ascii="Times New Roman" w:hAnsi="Times New Roman" w:cs="Times New Roman"/>
          <w:color w:val="000000"/>
        </w:rPr>
        <w:t>, Zhenyi Ma</w:t>
      </w:r>
      <w:r>
        <w:rPr>
          <w:rFonts w:ascii="Times New Roman" w:hAnsi="Times New Roman" w:cs="Times New Roman"/>
          <w:color w:val="000000"/>
          <w:vertAlign w:val="superscript"/>
        </w:rPr>
        <w:t>e</w:t>
      </w:r>
      <w:r>
        <w:rPr>
          <w:rFonts w:ascii="Times New Roman" w:hAnsi="Times New Roman" w:cs="Times New Roman"/>
          <w:color w:val="000000"/>
        </w:rPr>
        <w:t>, Mingdong Yao</w:t>
      </w:r>
      <w:r>
        <w:rPr>
          <w:rFonts w:ascii="Times New Roman" w:hAnsi="Times New Roman" w:cs="Times New Roman"/>
          <w:color w:val="000000"/>
          <w:vertAlign w:val="superscript"/>
        </w:rPr>
        <w:t>ab</w:t>
      </w:r>
      <w:r>
        <w:rPr>
          <w:rFonts w:ascii="Times New Roman" w:hAnsi="Times New Roman" w:cs="Times New Roman"/>
          <w:color w:val="000000"/>
        </w:rPr>
        <w:t xml:space="preserve">, </w:t>
      </w:r>
      <w:r w:rsidRPr="00FE33E9">
        <w:rPr>
          <w:rFonts w:ascii="Times New Roman" w:hAnsi="Times New Roman" w:cs="Times New Roman"/>
          <w:color w:val="000000"/>
        </w:rPr>
        <w:t>Fangyin Li</w:t>
      </w:r>
      <w:r w:rsidRPr="00FE33E9">
        <w:rPr>
          <w:rFonts w:ascii="Times New Roman" w:hAnsi="Times New Roman" w:cs="Times New Roman"/>
          <w:color w:val="000000"/>
          <w:vertAlign w:val="superscript"/>
        </w:rPr>
        <w:t>c</w:t>
      </w:r>
      <w:r w:rsidRPr="00FE33E9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Bo Li</w:t>
      </w:r>
      <w:r>
        <w:rPr>
          <w:rFonts w:ascii="Times New Roman" w:hAnsi="Times New Roman" w:cs="Times New Roman"/>
          <w:color w:val="000000"/>
          <w:vertAlign w:val="superscript"/>
        </w:rPr>
        <w:t>ab</w:t>
      </w:r>
      <w:r>
        <w:rPr>
          <w:rFonts w:ascii="Times New Roman" w:hAnsi="Times New Roman" w:cs="Times New Roman"/>
          <w:color w:val="000000"/>
        </w:rPr>
        <w:t>, Yingjin Yuan</w:t>
      </w:r>
      <w:r>
        <w:rPr>
          <w:rFonts w:ascii="Times New Roman" w:hAnsi="Times New Roman" w:cs="Times New Roman"/>
          <w:color w:val="000000"/>
          <w:vertAlign w:val="superscript"/>
        </w:rPr>
        <w:t>ab*</w:t>
      </w:r>
    </w:p>
    <w:p w14:paraId="75908B27" w14:textId="77777777" w:rsidR="00931D05" w:rsidRDefault="00931D05" w:rsidP="00931D05">
      <w:pPr>
        <w:spacing w:line="360" w:lineRule="auto"/>
      </w:pPr>
    </w:p>
    <w:p w14:paraId="45375918" w14:textId="77777777" w:rsidR="00931D05" w:rsidRDefault="00931D05" w:rsidP="00931D05">
      <w:pPr>
        <w:spacing w:line="360" w:lineRule="auto"/>
        <w:jc w:val="both"/>
      </w:pPr>
      <w:r>
        <w:rPr>
          <w:rFonts w:ascii="Times New Roman" w:hAnsi="Times New Roman" w:cs="Times New Roman"/>
          <w:color w:val="000000"/>
        </w:rPr>
        <w:t>a: Frontier Science Center for Synthetic Biology and Key Laboratory of Systems Bioengineering (Ministry of Education), Tianjin University, Tianjin 300072, PR China.</w:t>
      </w:r>
    </w:p>
    <w:p w14:paraId="7761C65B" w14:textId="77777777" w:rsidR="00931D05" w:rsidRDefault="00931D05" w:rsidP="00931D05">
      <w:pPr>
        <w:spacing w:line="360" w:lineRule="auto"/>
        <w:jc w:val="both"/>
      </w:pPr>
      <w:r>
        <w:rPr>
          <w:rFonts w:ascii="Times New Roman" w:hAnsi="Times New Roman" w:cs="Times New Roman"/>
          <w:color w:val="000000"/>
        </w:rPr>
        <w:t>b: School of Chemical Engineering and Technology, Tianjin University, Tianjin 300072, PR China.</w:t>
      </w:r>
    </w:p>
    <w:p w14:paraId="7D038CB0" w14:textId="77777777" w:rsidR="00931D05" w:rsidRDefault="00931D05" w:rsidP="00931D05">
      <w:p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FE33E9">
        <w:rPr>
          <w:rFonts w:ascii="Times New Roman" w:hAnsi="Times New Roman" w:cs="Times New Roman" w:hint="eastAsia"/>
          <w:color w:val="000000"/>
        </w:rPr>
        <w:t>c</w:t>
      </w:r>
      <w:r w:rsidRPr="00FE33E9">
        <w:rPr>
          <w:rFonts w:ascii="Times New Roman" w:hAnsi="Times New Roman" w:cs="Times New Roman"/>
          <w:color w:val="000000"/>
        </w:rPr>
        <w:t>: Department of Urology, The Cancer Hospital of the University of Chinese Academy of Sciences (Zhejiang Cancer Hospital), Hangzhou, China.</w:t>
      </w:r>
    </w:p>
    <w:p w14:paraId="0C39310E" w14:textId="77777777" w:rsidR="00931D05" w:rsidRDefault="00931D05" w:rsidP="00931D05">
      <w:pPr>
        <w:spacing w:line="360" w:lineRule="auto"/>
        <w:jc w:val="both"/>
      </w:pPr>
      <w:r>
        <w:rPr>
          <w:rFonts w:ascii="Times New Roman" w:hAnsi="Times New Roman" w:cs="Times New Roman"/>
          <w:color w:val="000000"/>
        </w:rPr>
        <w:t>d: Hematology-Oncology Division, Department of Medicine, Beth Israel Deaconess Medical Center and Harvard Medical School, Boston, MA, 02215, USA.</w:t>
      </w:r>
    </w:p>
    <w:p w14:paraId="091B95F8" w14:textId="77777777" w:rsidR="00931D05" w:rsidRDefault="00931D05" w:rsidP="00931D05">
      <w:pPr>
        <w:spacing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e: School of Basic Medical Sciences, Tianjin Medical University, Tianjin 300070, PR China.</w:t>
      </w:r>
    </w:p>
    <w:p w14:paraId="02550132" w14:textId="77777777" w:rsidR="00931D05" w:rsidRPr="00E71BD7" w:rsidRDefault="00931D05" w:rsidP="00931D05">
      <w:pPr>
        <w:spacing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br w:type="column"/>
      </w:r>
      <w:r w:rsidRPr="00AC077A">
        <w:rPr>
          <w:rFonts w:ascii="Times New Roman" w:hAnsi="Times New Roman" w:cs="Times New Roman"/>
          <w:b/>
          <w:bCs/>
        </w:rPr>
        <w:lastRenderedPageBreak/>
        <w:t>Extended Fig. 1</w:t>
      </w:r>
      <w:r w:rsidRPr="00AC077A">
        <w:rPr>
          <w:rFonts w:ascii="Times New Roman" w:hAnsi="Times New Roman" w:cs="Times New Roman"/>
          <w:b/>
        </w:rPr>
        <w:t>.</w:t>
      </w:r>
      <w:r w:rsidRPr="00AC077A">
        <w:rPr>
          <w:rFonts w:ascii="Times New Roman" w:hAnsi="Times New Roman" w:cs="Times New Roman"/>
          <w:b/>
          <w:bCs/>
        </w:rPr>
        <w:t xml:space="preserve"> Yeast assay</w:t>
      </w:r>
      <w:r w:rsidRPr="00AC077A">
        <w:rPr>
          <w:rFonts w:ascii="Times New Roman" w:hAnsi="Times New Roman" w:cs="Times New Roman"/>
          <w:b/>
        </w:rPr>
        <w:t xml:space="preserve"> tests</w:t>
      </w:r>
      <w:r w:rsidRPr="00AC077A">
        <w:rPr>
          <w:rFonts w:ascii="Times New Roman" w:hAnsi="Times New Roman" w:cs="Times New Roman"/>
          <w:b/>
          <w:bCs/>
        </w:rPr>
        <w:t xml:space="preserve">. a, </w:t>
      </w:r>
      <w:r w:rsidRPr="00AC077A">
        <w:rPr>
          <w:rFonts w:ascii="Times New Roman" w:hAnsi="Times New Roman" w:cs="Times New Roman"/>
          <w:color w:val="000000" w:themeColor="text1"/>
        </w:rPr>
        <w:t xml:space="preserve">DHT dose-response assay in designer yeast using both liquid and solid cultures. </w:t>
      </w:r>
      <w:r w:rsidRPr="00AC077A">
        <w:rPr>
          <w:rFonts w:ascii="Times New Roman" w:hAnsi="Times New Roman" w:cs="Times New Roman"/>
          <w:b/>
          <w:bCs/>
          <w:color w:val="000000" w:themeColor="text1"/>
        </w:rPr>
        <w:t>b</w:t>
      </w:r>
      <w:r w:rsidRPr="00AC077A">
        <w:rPr>
          <w:rFonts w:ascii="Times New Roman" w:hAnsi="Times New Roman" w:cs="Times New Roman"/>
          <w:color w:val="000000" w:themeColor="text1"/>
        </w:rPr>
        <w:t>, Readouts from five independent tests validate the reliability of designer yeast (</w:t>
      </w:r>
      <w:r w:rsidRPr="00AC077A">
        <w:rPr>
          <w:rFonts w:ascii="Times New Roman" w:hAnsi="Times New Roman" w:cs="Times New Roman"/>
          <w:i/>
          <w:color w:val="000000" w:themeColor="text1"/>
        </w:rPr>
        <w:t>n</w:t>
      </w:r>
      <w:r w:rsidRPr="00AC077A">
        <w:rPr>
          <w:rFonts w:ascii="Times New Roman" w:hAnsi="Times New Roman" w:cs="Times New Roman"/>
        </w:rPr>
        <w:t xml:space="preserve"> = </w:t>
      </w:r>
      <w:r w:rsidRPr="00AC077A">
        <w:rPr>
          <w:rFonts w:ascii="Times New Roman" w:hAnsi="Times New Roman" w:cs="Times New Roman"/>
          <w:color w:val="000000" w:themeColor="text1"/>
        </w:rPr>
        <w:t xml:space="preserve">3, </w:t>
      </w:r>
      <w:r w:rsidRPr="00AC077A">
        <w:rPr>
          <w:rFonts w:ascii="Times New Roman" w:hAnsi="Times New Roman" w:cs="Times New Roman"/>
        </w:rPr>
        <w:t>10 nM</w:t>
      </w:r>
      <w:r w:rsidRPr="00AC077A">
        <w:rPr>
          <w:rFonts w:ascii="Times New Roman" w:hAnsi="Times New Roman" w:cs="Times New Roman"/>
          <w:color w:val="000000" w:themeColor="text1"/>
        </w:rPr>
        <w:t xml:space="preserve"> DHT). </w:t>
      </w:r>
    </w:p>
    <w:p w14:paraId="121B9430" w14:textId="77777777" w:rsidR="00931D05" w:rsidRPr="00AC077A" w:rsidRDefault="00931D05" w:rsidP="00931D05">
      <w:pPr>
        <w:jc w:val="center"/>
        <w:rPr>
          <w:rFonts w:ascii="Times New Roman" w:hAnsi="Times New Roman" w:cs="Times New Roman"/>
          <w:sz w:val="40"/>
          <w:szCs w:val="48"/>
        </w:rPr>
      </w:pPr>
      <w:r w:rsidRPr="00AC077A">
        <w:rPr>
          <w:rFonts w:ascii="Times New Roman" w:hAnsi="Times New Roman" w:cs="Times New Roman"/>
          <w:noProof/>
          <w:sz w:val="40"/>
          <w:szCs w:val="48"/>
        </w:rPr>
        <w:drawing>
          <wp:inline distT="0" distB="0" distL="0" distR="0" wp14:anchorId="29B87D56" wp14:editId="25AD154D">
            <wp:extent cx="5061868" cy="2454107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226" r="-2439" b="1226"/>
                    <a:stretch/>
                  </pic:blipFill>
                  <pic:spPr bwMode="auto">
                    <a:xfrm>
                      <a:off x="0" y="0"/>
                      <a:ext cx="5089108" cy="2467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10B1AF" w14:textId="77777777" w:rsidR="00931D05" w:rsidRPr="00AC077A" w:rsidRDefault="00931D05" w:rsidP="00931D05">
      <w:pPr>
        <w:rPr>
          <w:rFonts w:ascii="Times New Roman" w:hAnsi="Times New Roman" w:cs="Times New Roman"/>
          <w:sz w:val="40"/>
          <w:szCs w:val="48"/>
        </w:rPr>
      </w:pPr>
      <w:r w:rsidRPr="00AC077A">
        <w:rPr>
          <w:rFonts w:ascii="Times New Roman" w:hAnsi="Times New Roman" w:cs="Times New Roman"/>
          <w:sz w:val="40"/>
          <w:szCs w:val="48"/>
        </w:rPr>
        <w:br w:type="column"/>
      </w:r>
      <w:r w:rsidRPr="00AC077A">
        <w:rPr>
          <w:rFonts w:ascii="Times New Roman" w:hAnsi="Times New Roman" w:cs="Times New Roman"/>
          <w:b/>
          <w:bCs/>
        </w:rPr>
        <w:lastRenderedPageBreak/>
        <w:t xml:space="preserve">Extended Fig. 2. </w:t>
      </w:r>
      <w:r w:rsidRPr="00AC077A">
        <w:rPr>
          <w:rFonts w:ascii="Times New Roman" w:hAnsi="Times New Roman" w:cs="Times New Roman"/>
          <w:bCs/>
          <w:color w:val="000000"/>
        </w:rPr>
        <w:t xml:space="preserve">Dose-response of </w:t>
      </w:r>
      <w:r w:rsidRPr="00AC077A">
        <w:rPr>
          <w:rFonts w:ascii="Times New Roman" w:hAnsi="Times New Roman" w:cs="Times New Roman"/>
        </w:rPr>
        <w:t>assessed</w:t>
      </w:r>
      <w:r w:rsidRPr="00AC077A">
        <w:rPr>
          <w:rFonts w:ascii="Times New Roman" w:hAnsi="Times New Roman" w:cs="Times New Roman"/>
          <w:bCs/>
          <w:color w:val="000000"/>
        </w:rPr>
        <w:t xml:space="preserve"> compounds in yeast liquid culture (OD</w:t>
      </w:r>
      <w:r w:rsidRPr="00AC077A">
        <w:rPr>
          <w:rFonts w:ascii="Times New Roman" w:hAnsi="Times New Roman" w:cs="Times New Roman"/>
          <w:bCs/>
          <w:color w:val="000000"/>
          <w:vertAlign w:val="subscript"/>
        </w:rPr>
        <w:t>600</w:t>
      </w:r>
      <w:r w:rsidRPr="00AC077A">
        <w:rPr>
          <w:rFonts w:ascii="Times New Roman" w:hAnsi="Times New Roman" w:cs="Times New Roman"/>
          <w:bCs/>
          <w:color w:val="000000"/>
        </w:rPr>
        <w:t xml:space="preserve"> was measured at </w:t>
      </w:r>
      <w:r w:rsidRPr="00AC077A">
        <w:rPr>
          <w:rFonts w:ascii="Times New Roman" w:hAnsi="Times New Roman" w:cs="Times New Roman"/>
        </w:rPr>
        <w:t>36 h</w:t>
      </w:r>
      <w:r w:rsidRPr="00AC077A">
        <w:rPr>
          <w:rFonts w:ascii="Times New Roman" w:hAnsi="Times New Roman" w:cs="Times New Roman"/>
          <w:bCs/>
          <w:color w:val="000000"/>
        </w:rPr>
        <w:t xml:space="preserve"> for ENZ/CPA/DHT and at </w:t>
      </w:r>
      <w:r w:rsidRPr="00AC077A">
        <w:rPr>
          <w:rFonts w:ascii="Times New Roman" w:hAnsi="Times New Roman" w:cs="Times New Roman"/>
        </w:rPr>
        <w:t>60 h</w:t>
      </w:r>
      <w:r w:rsidRPr="00AC077A">
        <w:rPr>
          <w:rFonts w:ascii="Times New Roman" w:hAnsi="Times New Roman" w:cs="Times New Roman"/>
          <w:bCs/>
          <w:color w:val="000000"/>
        </w:rPr>
        <w:t xml:space="preserve"> for BIC, </w:t>
      </w:r>
      <w:r w:rsidRPr="00AC077A">
        <w:rPr>
          <w:rFonts w:ascii="Times New Roman" w:hAnsi="Times New Roman" w:cs="Times New Roman"/>
          <w:bCs/>
          <w:i/>
          <w:color w:val="000000"/>
        </w:rPr>
        <w:t>n</w:t>
      </w:r>
      <w:r w:rsidRPr="00AC077A">
        <w:rPr>
          <w:rFonts w:ascii="Times New Roman" w:hAnsi="Times New Roman" w:cs="Times New Roman"/>
        </w:rPr>
        <w:t xml:space="preserve"> = </w:t>
      </w:r>
      <w:r w:rsidRPr="00AC077A">
        <w:rPr>
          <w:rFonts w:ascii="Times New Roman" w:hAnsi="Times New Roman" w:cs="Times New Roman"/>
          <w:bCs/>
          <w:color w:val="000000"/>
        </w:rPr>
        <w:t>3).</w:t>
      </w:r>
    </w:p>
    <w:p w14:paraId="667D528D" w14:textId="77777777" w:rsidR="00931D05" w:rsidRPr="00AC077A" w:rsidRDefault="00931D05" w:rsidP="00931D05">
      <w:pPr>
        <w:jc w:val="center"/>
        <w:rPr>
          <w:rFonts w:ascii="Times New Roman" w:hAnsi="Times New Roman" w:cs="Times New Roman"/>
          <w:sz w:val="40"/>
          <w:szCs w:val="48"/>
        </w:rPr>
      </w:pPr>
      <w:r w:rsidRPr="00AC077A">
        <w:rPr>
          <w:rFonts w:ascii="Times New Roman" w:hAnsi="Times New Roman" w:cs="Times New Roman"/>
          <w:noProof/>
          <w:sz w:val="40"/>
          <w:szCs w:val="48"/>
        </w:rPr>
        <w:drawing>
          <wp:inline distT="0" distB="0" distL="0" distR="0" wp14:anchorId="7C16E244" wp14:editId="14F34CDB">
            <wp:extent cx="5842278" cy="815086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5" r="779"/>
                    <a:stretch/>
                  </pic:blipFill>
                  <pic:spPr bwMode="auto">
                    <a:xfrm>
                      <a:off x="0" y="0"/>
                      <a:ext cx="5842817" cy="81516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D4CC1A" w14:textId="77777777" w:rsidR="00931D05" w:rsidRPr="00AC077A" w:rsidRDefault="00931D05" w:rsidP="00931D05">
      <w:pPr>
        <w:rPr>
          <w:rFonts w:ascii="Times New Roman" w:hAnsi="Times New Roman" w:cs="Times New Roman"/>
          <w:sz w:val="40"/>
          <w:szCs w:val="48"/>
        </w:rPr>
      </w:pPr>
      <w:r w:rsidRPr="00AC077A">
        <w:rPr>
          <w:rFonts w:ascii="Times New Roman" w:hAnsi="Times New Roman" w:cs="Times New Roman"/>
          <w:sz w:val="40"/>
          <w:szCs w:val="48"/>
        </w:rPr>
        <w:br w:type="column"/>
      </w:r>
      <w:r w:rsidRPr="00AC077A">
        <w:rPr>
          <w:rFonts w:ascii="Times New Roman" w:hAnsi="Times New Roman" w:cs="Times New Roman"/>
          <w:b/>
          <w:bCs/>
        </w:rPr>
        <w:lastRenderedPageBreak/>
        <w:t xml:space="preserve">Extended Fig. 3. </w:t>
      </w:r>
      <w:r w:rsidRPr="00AC077A">
        <w:rPr>
          <w:rFonts w:ascii="Times New Roman" w:hAnsi="Times New Roman" w:cs="Times New Roman"/>
        </w:rPr>
        <w:t>Continuous</w:t>
      </w:r>
      <w:r w:rsidRPr="00AC077A">
        <w:rPr>
          <w:rFonts w:ascii="Times New Roman" w:hAnsi="Times New Roman" w:cs="Times New Roman"/>
          <w:b/>
          <w:bCs/>
        </w:rPr>
        <w:t xml:space="preserve"> </w:t>
      </w:r>
      <w:r w:rsidRPr="00AC077A">
        <w:rPr>
          <w:rFonts w:ascii="Times New Roman" w:hAnsi="Times New Roman" w:cs="Times New Roman"/>
          <w:color w:val="000000"/>
        </w:rPr>
        <w:t xml:space="preserve">growth of yeast on culture plates </w:t>
      </w:r>
      <w:r w:rsidRPr="00AC077A">
        <w:rPr>
          <w:rFonts w:ascii="Times New Roman" w:hAnsi="Times New Roman" w:cs="Times New Roman"/>
        </w:rPr>
        <w:t>containing</w:t>
      </w:r>
      <w:r w:rsidRPr="00AC077A">
        <w:rPr>
          <w:rFonts w:ascii="Times New Roman" w:hAnsi="Times New Roman" w:cs="Times New Roman"/>
          <w:color w:val="000000"/>
        </w:rPr>
        <w:t xml:space="preserve"> ligands. Ligand conditions: 100 µM ENZ, 200 µM BIC, 500 nM CPA, 100 nM DHT, </w:t>
      </w:r>
      <w:r>
        <w:rPr>
          <w:rFonts w:ascii="Times New Roman" w:hAnsi="Times New Roman" w:cs="Times New Roman"/>
          <w:color w:val="000000"/>
        </w:rPr>
        <w:t>HIS (h</w:t>
      </w:r>
      <w:r w:rsidRPr="00AC077A">
        <w:rPr>
          <w:rFonts w:ascii="Times New Roman" w:hAnsi="Times New Roman" w:cs="Times New Roman"/>
          <w:color w:val="000000"/>
        </w:rPr>
        <w:t>istidine</w:t>
      </w:r>
      <w:r>
        <w:rPr>
          <w:rFonts w:ascii="Times New Roman" w:hAnsi="Times New Roman" w:cs="Times New Roman"/>
          <w:color w:val="000000"/>
        </w:rPr>
        <w:t>)</w:t>
      </w:r>
      <w:r w:rsidRPr="00AC077A">
        <w:rPr>
          <w:rFonts w:ascii="Times New Roman" w:hAnsi="Times New Roman" w:cs="Times New Roman"/>
          <w:color w:val="000000"/>
        </w:rPr>
        <w:t>, Vehicle (</w:t>
      </w:r>
      <w:r w:rsidRPr="00FA1163">
        <w:rPr>
          <w:rFonts w:ascii="Times New Roman" w:hAnsi="Times New Roman" w:cs="Times New Roman"/>
          <w:color w:val="000000" w:themeColor="text1"/>
        </w:rPr>
        <w:t>dimethyl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A1163">
        <w:rPr>
          <w:rFonts w:ascii="Times New Roman" w:hAnsi="Times New Roman" w:cs="Times New Roman"/>
          <w:color w:val="000000" w:themeColor="text1"/>
        </w:rPr>
        <w:t>sulfoxide</w:t>
      </w:r>
      <w:r>
        <w:rPr>
          <w:rFonts w:ascii="Times New Roman" w:hAnsi="Times New Roman" w:cs="Times New Roman"/>
          <w:color w:val="000000"/>
        </w:rPr>
        <w:t>)</w:t>
      </w:r>
      <w:r w:rsidRPr="00AC077A">
        <w:rPr>
          <w:rFonts w:ascii="Times New Roman" w:hAnsi="Times New Roman" w:cs="Times New Roman"/>
          <w:color w:val="000000"/>
        </w:rPr>
        <w:t>.</w:t>
      </w:r>
    </w:p>
    <w:p w14:paraId="2EA6FC54" w14:textId="77777777" w:rsidR="00931D05" w:rsidRPr="00AC077A" w:rsidRDefault="00931D05" w:rsidP="00931D05">
      <w:pPr>
        <w:ind w:firstLineChars="150" w:firstLine="600"/>
        <w:rPr>
          <w:rFonts w:ascii="Times New Roman" w:hAnsi="Times New Roman" w:cs="Times New Roman"/>
          <w:sz w:val="40"/>
          <w:szCs w:val="48"/>
        </w:rPr>
      </w:pPr>
      <w:r w:rsidRPr="00AC077A">
        <w:rPr>
          <w:rFonts w:ascii="Times New Roman" w:hAnsi="Times New Roman" w:cs="Times New Roman"/>
          <w:noProof/>
          <w:sz w:val="40"/>
          <w:szCs w:val="48"/>
        </w:rPr>
        <w:drawing>
          <wp:inline distT="0" distB="0" distL="0" distR="0" wp14:anchorId="54D834AA" wp14:editId="05694610">
            <wp:extent cx="3960192" cy="4504055"/>
            <wp:effectExtent l="0" t="0" r="254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5" r="42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107" cy="45221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2AF828" w14:textId="77777777" w:rsidR="00931D05" w:rsidRPr="00AC077A" w:rsidRDefault="00931D05" w:rsidP="00931D05">
      <w:pPr>
        <w:rPr>
          <w:rFonts w:ascii="Times New Roman" w:hAnsi="Times New Roman" w:cs="Times New Roman"/>
          <w:sz w:val="40"/>
          <w:szCs w:val="48"/>
        </w:rPr>
      </w:pPr>
      <w:r w:rsidRPr="00AC077A">
        <w:rPr>
          <w:rFonts w:ascii="Times New Roman" w:hAnsi="Times New Roman" w:cs="Times New Roman"/>
          <w:sz w:val="40"/>
          <w:szCs w:val="48"/>
        </w:rPr>
        <w:br w:type="column"/>
      </w:r>
      <w:r w:rsidRPr="00AC077A">
        <w:rPr>
          <w:rFonts w:ascii="Times New Roman" w:hAnsi="Times New Roman" w:cs="Times New Roman"/>
          <w:b/>
          <w:bCs/>
        </w:rPr>
        <w:lastRenderedPageBreak/>
        <w:t>Extended Fig. 4</w:t>
      </w:r>
      <w:r w:rsidRPr="00AC077A">
        <w:rPr>
          <w:rFonts w:ascii="Times New Roman" w:hAnsi="Times New Roman" w:cs="Times New Roman"/>
          <w:b/>
        </w:rPr>
        <w:t>.</w:t>
      </w:r>
      <w:r w:rsidRPr="00AC077A">
        <w:rPr>
          <w:rFonts w:ascii="Times New Roman" w:hAnsi="Times New Roman" w:cs="Times New Roman"/>
          <w:b/>
          <w:bCs/>
        </w:rPr>
        <w:t xml:space="preserve"> Tests to validate the sensitivity of designer yeast. a,</w:t>
      </w:r>
      <w:r w:rsidRPr="00AC077A">
        <w:rPr>
          <w:rFonts w:ascii="Times New Roman" w:hAnsi="Times New Roman" w:cs="Times New Roman"/>
        </w:rPr>
        <w:t xml:space="preserve"> BIC</w:t>
      </w:r>
      <w:r w:rsidRPr="00AC077A">
        <w:rPr>
          <w:rFonts w:ascii="Times New Roman" w:hAnsi="Times New Roman" w:cs="Times New Roman"/>
          <w:b/>
          <w:bCs/>
        </w:rPr>
        <w:t xml:space="preserve"> </w:t>
      </w:r>
      <w:r w:rsidRPr="00AC077A">
        <w:rPr>
          <w:rFonts w:ascii="Times New Roman" w:hAnsi="Times New Roman" w:cs="Times New Roman"/>
        </w:rPr>
        <w:t>dose</w:t>
      </w:r>
      <w:r w:rsidRPr="00AC077A">
        <w:rPr>
          <w:rFonts w:ascii="Times New Roman" w:hAnsi="Times New Roman" w:cs="Times New Roman"/>
          <w:color w:val="000000"/>
        </w:rPr>
        <w:t>-</w:t>
      </w:r>
      <w:r w:rsidRPr="00AC077A">
        <w:rPr>
          <w:rFonts w:ascii="Times New Roman" w:hAnsi="Times New Roman" w:cs="Times New Roman"/>
          <w:bCs/>
          <w:color w:val="000000"/>
        </w:rPr>
        <w:t xml:space="preserve">response </w:t>
      </w:r>
      <w:r w:rsidRPr="00AC077A">
        <w:rPr>
          <w:rFonts w:ascii="Times New Roman" w:hAnsi="Times New Roman" w:cs="Times New Roman"/>
        </w:rPr>
        <w:t>in</w:t>
      </w:r>
      <w:r w:rsidRPr="00AC077A">
        <w:rPr>
          <w:rFonts w:ascii="Times New Roman" w:hAnsi="Times New Roman" w:cs="Times New Roman"/>
          <w:bCs/>
          <w:color w:val="000000"/>
        </w:rPr>
        <w:t xml:space="preserve"> plate culture. </w:t>
      </w:r>
      <w:r>
        <w:rPr>
          <w:rFonts w:ascii="Times New Roman" w:hAnsi="Times New Roman" w:cs="Times New Roman"/>
          <w:b/>
          <w:bCs/>
        </w:rPr>
        <w:t>b</w:t>
      </w:r>
      <w:r w:rsidRPr="00AC077A">
        <w:rPr>
          <w:rFonts w:ascii="Times New Roman" w:hAnsi="Times New Roman" w:cs="Times New Roman"/>
          <w:b/>
          <w:bCs/>
        </w:rPr>
        <w:t>,</w:t>
      </w:r>
      <w:r w:rsidRPr="00AC077A">
        <w:rPr>
          <w:rFonts w:ascii="Times New Roman" w:hAnsi="Times New Roman" w:cs="Times New Roman"/>
        </w:rPr>
        <w:t xml:space="preserve"> Ranking results of the resistance levels of AR muta</w:t>
      </w:r>
      <w:r>
        <w:rPr>
          <w:rFonts w:ascii="Times New Roman" w:hAnsi="Times New Roman" w:cs="Times New Roman"/>
        </w:rPr>
        <w:t>nt</w:t>
      </w:r>
      <w:r w:rsidRPr="00AC077A">
        <w:rPr>
          <w:rFonts w:ascii="Times New Roman" w:hAnsi="Times New Roman" w:cs="Times New Roman"/>
        </w:rPr>
        <w:t xml:space="preserve">s (full-length) against ENZ in </w:t>
      </w:r>
      <w:r w:rsidRPr="00AC077A">
        <w:rPr>
          <w:rFonts w:ascii="Times New Roman" w:hAnsi="Times New Roman" w:cs="Times New Roman"/>
          <w:i/>
          <w:iCs/>
        </w:rPr>
        <w:t>Hep3B</w:t>
      </w:r>
      <w:r w:rsidRPr="00AC077A">
        <w:rPr>
          <w:rFonts w:ascii="Times New Roman" w:hAnsi="Times New Roman" w:cs="Times New Roman"/>
        </w:rPr>
        <w:t>.</w:t>
      </w:r>
      <w:r w:rsidRPr="00AC077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c</w:t>
      </w:r>
      <w:r w:rsidRPr="00AC077A">
        <w:rPr>
          <w:rFonts w:ascii="Times New Roman" w:hAnsi="Times New Roman" w:cs="Times New Roman"/>
          <w:b/>
          <w:bCs/>
        </w:rPr>
        <w:t>,</w:t>
      </w:r>
      <w:r w:rsidRPr="00AC077A">
        <w:rPr>
          <w:rFonts w:ascii="Times New Roman" w:hAnsi="Times New Roman" w:cs="Times New Roman"/>
        </w:rPr>
        <w:t xml:space="preserve"> Ranking results of the resistance levels of AR muta</w:t>
      </w:r>
      <w:r>
        <w:rPr>
          <w:rFonts w:ascii="Times New Roman" w:hAnsi="Times New Roman" w:cs="Times New Roman"/>
        </w:rPr>
        <w:t>nt</w:t>
      </w:r>
      <w:r w:rsidRPr="00AC077A">
        <w:rPr>
          <w:rFonts w:ascii="Times New Roman" w:hAnsi="Times New Roman" w:cs="Times New Roman"/>
        </w:rPr>
        <w:t xml:space="preserve">s (full-length) against CPA in </w:t>
      </w:r>
      <w:r w:rsidRPr="00AC077A">
        <w:rPr>
          <w:rFonts w:ascii="Times New Roman" w:hAnsi="Times New Roman" w:cs="Times New Roman"/>
          <w:i/>
          <w:iCs/>
        </w:rPr>
        <w:t>Hep3B</w:t>
      </w:r>
      <w:r w:rsidRPr="00AC077A">
        <w:rPr>
          <w:rFonts w:ascii="Times New Roman" w:hAnsi="Times New Roman" w:cs="Times New Roman"/>
        </w:rPr>
        <w:t>.</w:t>
      </w:r>
      <w:r w:rsidRPr="00AC077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d</w:t>
      </w:r>
      <w:r w:rsidRPr="00AC077A">
        <w:rPr>
          <w:rFonts w:ascii="Times New Roman" w:hAnsi="Times New Roman" w:cs="Times New Roman"/>
          <w:b/>
          <w:bCs/>
        </w:rPr>
        <w:t>,</w:t>
      </w:r>
      <w:r w:rsidRPr="00AC077A">
        <w:rPr>
          <w:rFonts w:ascii="Times New Roman" w:hAnsi="Times New Roman" w:cs="Times New Roman"/>
        </w:rPr>
        <w:t xml:space="preserve"> Luciferase assay of assessed AR mutants (full-length) against various ligands.</w:t>
      </w:r>
    </w:p>
    <w:p w14:paraId="267F07F9" w14:textId="77777777" w:rsidR="00931D05" w:rsidRPr="006567F9" w:rsidRDefault="00931D05" w:rsidP="00931D05">
      <w:pPr>
        <w:jc w:val="center"/>
        <w:rPr>
          <w:sz w:val="40"/>
          <w:szCs w:val="48"/>
        </w:rPr>
      </w:pPr>
      <w:r w:rsidRPr="00AC077A">
        <w:rPr>
          <w:noProof/>
          <w:sz w:val="40"/>
          <w:szCs w:val="48"/>
        </w:rPr>
        <w:drawing>
          <wp:inline distT="0" distB="0" distL="0" distR="0" wp14:anchorId="32B1814C" wp14:editId="5EB9FDE6">
            <wp:extent cx="5084445" cy="713711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4" r="5057" b="4"/>
                    <a:stretch/>
                  </pic:blipFill>
                  <pic:spPr bwMode="auto">
                    <a:xfrm>
                      <a:off x="0" y="0"/>
                      <a:ext cx="5084986" cy="71378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61B571" w14:textId="77777777" w:rsidR="00931D05" w:rsidRDefault="00931D05">
      <w:bookmarkStart w:id="0" w:name="_GoBack"/>
      <w:bookmarkEnd w:id="0"/>
    </w:p>
    <w:sectPr w:rsidR="00931D05" w:rsidSect="00931D05">
      <w:pgSz w:w="11900" w:h="16840"/>
      <w:pgMar w:top="1440" w:right="1797" w:bottom="1440" w:left="1797" w:header="851" w:footer="992" w:gutter="0"/>
      <w:lnNumType w:countBy="1" w:restart="continuous"/>
      <w:cols w:space="425"/>
      <w:docGrid w:type="lines" w:linePitch="3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D05"/>
    <w:rsid w:val="00020F7C"/>
    <w:rsid w:val="0093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7A412"/>
  <w15:chartTrackingRefBased/>
  <w15:docId w15:val="{6CBD2D0E-688C-354A-9E20-7FAF75C83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1D05"/>
    <w:rPr>
      <w:rFonts w:ascii="SimSun" w:eastAsia="SimSun" w:hAnsi="SimSun" w:cs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31D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2022-03-31T16:05:00Z</dcterms:created>
  <dcterms:modified xsi:type="dcterms:W3CDTF">2022-03-31T16:05:00Z</dcterms:modified>
</cp:coreProperties>
</file>