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065F52" w14:textId="77777777" w:rsidR="00A77711" w:rsidRPr="0082359C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72E">
        <w:rPr>
          <w:rFonts w:ascii="Times New Roman" w:hAnsi="Times New Roman" w:cs="Times New Roman"/>
          <w:b/>
          <w:sz w:val="24"/>
          <w:szCs w:val="24"/>
        </w:rPr>
        <w:t>Running head of the title</w:t>
      </w:r>
      <w:r>
        <w:rPr>
          <w:rFonts w:ascii="Times New Roman" w:hAnsi="Times New Roman" w:cs="Times New Roman"/>
          <w:sz w:val="24"/>
          <w:szCs w:val="24"/>
        </w:rPr>
        <w:t xml:space="preserve">: Drug </w:t>
      </w:r>
      <w:proofErr w:type="spellStart"/>
      <w:r>
        <w:rPr>
          <w:rFonts w:ascii="Times New Roman" w:hAnsi="Times New Roman" w:cs="Times New Roman"/>
          <w:sz w:val="24"/>
          <w:szCs w:val="24"/>
        </w:rPr>
        <w:t>drug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interactions in sarcoma patients </w:t>
      </w:r>
    </w:p>
    <w:p w14:paraId="3F83B683" w14:textId="77777777" w:rsidR="00A77711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FDA4D2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normalchar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Title: </w:t>
      </w:r>
      <w:r w:rsidRPr="00A179EE">
        <w:rPr>
          <w:rFonts w:ascii="Times New Roman" w:eastAsia="Times New Roman" w:hAnsi="Times New Roman" w:cs="Times New Roman"/>
          <w:b/>
          <w:sz w:val="24"/>
          <w:szCs w:val="24"/>
        </w:rPr>
        <w:t>Prevalence of drug-drug interactions in sarcoma patients: key role of the pharmacist integration for toxicity risk management</w:t>
      </w:r>
    </w:p>
    <w:p w14:paraId="2FA8CEFA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AucunA"/>
          <w:rFonts w:ascii="Times New Roman" w:eastAsia="Trebuchet MS" w:hAnsi="Times New Roman" w:cs="Times New Roman"/>
          <w:sz w:val="24"/>
          <w:szCs w:val="24"/>
        </w:rPr>
      </w:pPr>
      <w:r w:rsidRPr="00A179EE">
        <w:rPr>
          <w:rStyle w:val="AucunA"/>
          <w:rFonts w:ascii="Times New Roman" w:hAnsi="Times New Roman" w:cs="Times New Roman"/>
          <w:sz w:val="24"/>
          <w:szCs w:val="24"/>
        </w:rPr>
        <w:t>Audrey Bellesoeur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Fonts w:ascii="Times New Roman" w:eastAsia="Trebuchet MS" w:hAnsi="Times New Roman" w:cs="Times New Roman"/>
          <w:sz w:val="24"/>
          <w:szCs w:val="24"/>
        </w:rPr>
        <w:t>‡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79EE">
        <w:rPr>
          <w:rStyle w:val="AucunA"/>
          <w:rFonts w:ascii="Times New Roman" w:hAnsi="Times New Roman" w:cs="Times New Roman"/>
          <w:sz w:val="24"/>
          <w:szCs w:val="24"/>
        </w:rPr>
        <w:t>Ithar</w:t>
      </w:r>
      <w:proofErr w:type="spellEnd"/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 Gataa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Fonts w:ascii="Times New Roman" w:eastAsia="Trebuchet MS" w:hAnsi="Times New Roman" w:cs="Times New Roman"/>
          <w:sz w:val="24"/>
          <w:szCs w:val="24"/>
        </w:rPr>
        <w:t>‡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Anne Jouinot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Sarah El Mershati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Anne-Catherine Piketty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7F99">
        <w:rPr>
          <w:rStyle w:val="AucunA"/>
          <w:rFonts w:ascii="Times New Roman" w:hAnsi="Times New Roman" w:cs="Times New Roman"/>
          <w:sz w:val="24"/>
          <w:szCs w:val="24"/>
        </w:rPr>
        <w:t xml:space="preserve">,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Camille Tlemsani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David Balakirouchenane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179EE"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Anthia Monribot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Michel Vidal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179EE"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Rui Batista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79EE">
        <w:rPr>
          <w:rStyle w:val="AucunA"/>
          <w:rFonts w:ascii="Times New Roman" w:hAnsi="Times New Roman" w:cs="Times New Roman"/>
          <w:sz w:val="24"/>
          <w:szCs w:val="24"/>
        </w:rPr>
        <w:t>Sixtine</w:t>
      </w:r>
      <w:proofErr w:type="spellEnd"/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 de Percin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79EE">
        <w:rPr>
          <w:rStyle w:val="AucunA"/>
          <w:rFonts w:ascii="Times New Roman" w:hAnsi="Times New Roman" w:cs="Times New Roman"/>
          <w:sz w:val="24"/>
          <w:szCs w:val="24"/>
        </w:rPr>
        <w:t>Clémentine</w:t>
      </w:r>
      <w:proofErr w:type="spellEnd"/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 Villeminey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Jérôme Alexandre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5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François Goldwasser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5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Benoit Blanchet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2,4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, Pascaline Boudou-Rouquette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Fonts w:ascii="Times New Roman" w:eastAsia="Trebuchet MS" w:hAnsi="Times New Roman" w:cs="Times New Roman"/>
          <w:sz w:val="24"/>
          <w:szCs w:val="24"/>
        </w:rPr>
        <w:t>†</w:t>
      </w:r>
      <w:r>
        <w:rPr>
          <w:rStyle w:val="AucunA"/>
          <w:rFonts w:ascii="Times New Roman" w:hAnsi="Times New Roman" w:cs="Times New Roman"/>
          <w:sz w:val="24"/>
          <w:szCs w:val="24"/>
        </w:rPr>
        <w:t xml:space="preserve">,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Audrey Thomas-Schoemann</w:t>
      </w:r>
      <w:r>
        <w:rPr>
          <w:rStyle w:val="AucunA"/>
          <w:rFonts w:ascii="Times New Roman" w:hAnsi="Times New Roman" w:cs="Times New Roman"/>
          <w:sz w:val="24"/>
          <w:szCs w:val="24"/>
        </w:rPr>
        <w:t>*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79EE"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A179EE">
        <w:rPr>
          <w:rFonts w:ascii="Times New Roman" w:eastAsia="Trebuchet MS" w:hAnsi="Times New Roman" w:cs="Times New Roman"/>
          <w:sz w:val="24"/>
          <w:szCs w:val="24"/>
        </w:rPr>
        <w:t>†</w:t>
      </w:r>
    </w:p>
    <w:p w14:paraId="7A19199E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AucunA"/>
          <w:rFonts w:ascii="Times New Roman" w:hAnsi="Times New Roman" w:cs="Times New Roman"/>
          <w:sz w:val="24"/>
          <w:szCs w:val="24"/>
        </w:rPr>
      </w:pPr>
    </w:p>
    <w:p w14:paraId="2FF8C992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AucunA"/>
          <w:rFonts w:ascii="Times New Roman" w:eastAsia="Trebuchet MS" w:hAnsi="Times New Roman" w:cs="Times New Roman"/>
          <w:sz w:val="24"/>
          <w:szCs w:val="24"/>
          <w:vertAlign w:val="superscript"/>
        </w:rPr>
      </w:pP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Department of Medical Oncology, Cochin Hospital, AP-HP, Paris, France; University of Paris Descartes, ARIANE, CARPEM, Paris, France;</w:t>
      </w:r>
    </w:p>
    <w:p w14:paraId="7659B396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AucunA"/>
          <w:rFonts w:ascii="Times New Roman" w:hAnsi="Times New Roman" w:cs="Times New Roman"/>
          <w:sz w:val="24"/>
          <w:szCs w:val="24"/>
        </w:rPr>
      </w:pP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Department of Pharmacokinetics and </w:t>
      </w:r>
      <w:proofErr w:type="spellStart"/>
      <w:r w:rsidRPr="00A179EE">
        <w:rPr>
          <w:rStyle w:val="AucunA"/>
          <w:rFonts w:ascii="Times New Roman" w:hAnsi="Times New Roman" w:cs="Times New Roman"/>
          <w:sz w:val="24"/>
          <w:szCs w:val="24"/>
        </w:rPr>
        <w:t>Pharmacochemisty</w:t>
      </w:r>
      <w:proofErr w:type="spellEnd"/>
      <w:r w:rsidRPr="00A179EE">
        <w:rPr>
          <w:rStyle w:val="AucunA"/>
          <w:rFonts w:ascii="Times New Roman" w:hAnsi="Times New Roman" w:cs="Times New Roman"/>
          <w:sz w:val="24"/>
          <w:szCs w:val="24"/>
        </w:rPr>
        <w:t>, Cochin Hospital, AP-HP, Paris, France; CARPEM, Paris, France;</w:t>
      </w:r>
    </w:p>
    <w:p w14:paraId="6A4B819E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AucunA"/>
          <w:rFonts w:ascii="Times New Roman" w:eastAsia="Trebuchet MS" w:hAnsi="Times New Roman" w:cs="Times New Roman"/>
          <w:sz w:val="24"/>
          <w:szCs w:val="24"/>
        </w:rPr>
      </w:pP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Department of Clinical Pharmacy, Cochin Hospital, AP-HP, Paris, France; </w:t>
      </w:r>
    </w:p>
    <w:p w14:paraId="6DB87B9D" w14:textId="77777777" w:rsidR="00A77711" w:rsidRPr="00A179EE" w:rsidRDefault="00A77711" w:rsidP="00A77711">
      <w:pPr>
        <w:pStyle w:val="CorpsA"/>
        <w:widowControl w:val="0"/>
        <w:suppressAutoHyphens/>
        <w:spacing w:line="480" w:lineRule="auto"/>
        <w:jc w:val="both"/>
        <w:rPr>
          <w:rStyle w:val="lrzxr"/>
        </w:rPr>
      </w:pP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 xml:space="preserve">UMR8038 CNRS, U1268 INSERM, Faculty of Pharmacy, University Paris Descartes, PRES Sorbonne Paris </w:t>
      </w:r>
      <w:proofErr w:type="spellStart"/>
      <w:r w:rsidRPr="00A179EE">
        <w:rPr>
          <w:rStyle w:val="AucunA"/>
          <w:rFonts w:ascii="Times New Roman" w:hAnsi="Times New Roman" w:cs="Times New Roman"/>
          <w:sz w:val="24"/>
          <w:szCs w:val="24"/>
        </w:rPr>
        <w:t>Cité</w:t>
      </w:r>
      <w:proofErr w:type="spellEnd"/>
      <w:r w:rsidRPr="00A179EE">
        <w:rPr>
          <w:rStyle w:val="AucunA"/>
          <w:rFonts w:ascii="Times New Roman" w:hAnsi="Times New Roman" w:cs="Times New Roman"/>
          <w:sz w:val="24"/>
          <w:szCs w:val="24"/>
        </w:rPr>
        <w:t>, Paris, France</w:t>
      </w:r>
    </w:p>
    <w:p w14:paraId="596B217B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Style w:val="AucunA"/>
          <w:rFonts w:ascii="Times New Roman" w:hAnsi="Times New Roman" w:cs="Times New Roman"/>
          <w:sz w:val="24"/>
          <w:szCs w:val="24"/>
        </w:rPr>
      </w:pPr>
      <w:r>
        <w:rPr>
          <w:rStyle w:val="AucunA"/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A179EE">
        <w:rPr>
          <w:rStyle w:val="AucunA"/>
          <w:rFonts w:ascii="Times New Roman" w:hAnsi="Times New Roman" w:cs="Times New Roman"/>
          <w:sz w:val="24"/>
          <w:szCs w:val="24"/>
        </w:rPr>
        <w:t>Cochin Institute, INSERM U1016, Paris, France;</w:t>
      </w:r>
    </w:p>
    <w:p w14:paraId="086557CD" w14:textId="77777777" w:rsidR="00A77711" w:rsidRPr="00A179EE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Times New Roman" w:eastAsia="Trebuchet MS" w:hAnsi="Times New Roman" w:cs="Times New Roman"/>
          <w:sz w:val="24"/>
          <w:szCs w:val="24"/>
        </w:rPr>
      </w:pPr>
      <w:r w:rsidRPr="00A179EE">
        <w:rPr>
          <w:rFonts w:ascii="Times New Roman" w:eastAsia="Trebuchet MS" w:hAnsi="Times New Roman" w:cs="Times New Roman"/>
          <w:sz w:val="24"/>
          <w:szCs w:val="24"/>
        </w:rPr>
        <w:t>† These authors contributed equally to the work.</w:t>
      </w:r>
    </w:p>
    <w:p w14:paraId="32E5FE8F" w14:textId="77777777" w:rsidR="00A77711" w:rsidRDefault="00A77711" w:rsidP="00A77711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Times New Roman" w:eastAsia="Trebuchet MS" w:hAnsi="Times New Roman" w:cs="Times New Roman"/>
          <w:sz w:val="24"/>
          <w:szCs w:val="24"/>
        </w:rPr>
      </w:pPr>
      <w:r w:rsidRPr="00A179EE">
        <w:rPr>
          <w:rFonts w:ascii="Times New Roman" w:eastAsia="Trebuchet MS" w:hAnsi="Times New Roman" w:cs="Times New Roman"/>
          <w:sz w:val="24"/>
          <w:szCs w:val="24"/>
        </w:rPr>
        <w:t>‡ These authors contributed equally to the work.</w:t>
      </w:r>
    </w:p>
    <w:p w14:paraId="423A42F8" w14:textId="77777777" w:rsidR="00411BD8" w:rsidRPr="00A179EE" w:rsidRDefault="00411BD8" w:rsidP="00411BD8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Times New Roman" w:eastAsia="Trebuchet MS" w:hAnsi="Times New Roman" w:cs="Times New Roman"/>
          <w:sz w:val="24"/>
          <w:szCs w:val="24"/>
        </w:rPr>
      </w:pPr>
    </w:p>
    <w:p w14:paraId="29E96420" w14:textId="774D4B73" w:rsidR="00411BD8" w:rsidRDefault="00411BD8" w:rsidP="00411BD8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eastAsia="Trebuchet MS" w:hAnsi="Times New Roman" w:cs="Times New Roman"/>
          <w:sz w:val="24"/>
          <w:szCs w:val="24"/>
        </w:rPr>
      </w:pPr>
      <w:r>
        <w:rPr>
          <w:rFonts w:ascii="Times New Roman" w:eastAsia="Trebuchet MS" w:hAnsi="Times New Roman" w:cs="Times New Roman"/>
          <w:b/>
          <w:sz w:val="24"/>
          <w:szCs w:val="24"/>
        </w:rPr>
        <w:t>*</w:t>
      </w:r>
      <w:r w:rsidRPr="00CC0935">
        <w:rPr>
          <w:rFonts w:ascii="Times New Roman" w:eastAsia="Trebuchet MS" w:hAnsi="Times New Roman" w:cs="Times New Roman"/>
          <w:b/>
          <w:sz w:val="24"/>
          <w:szCs w:val="24"/>
        </w:rPr>
        <w:t>Corresponding Author</w:t>
      </w:r>
      <w:r>
        <w:rPr>
          <w:rFonts w:ascii="Times New Roman" w:eastAsia="Trebuchet MS" w:hAnsi="Times New Roman" w:cs="Times New Roman"/>
          <w:sz w:val="24"/>
          <w:szCs w:val="24"/>
        </w:rPr>
        <w:t xml:space="preserve">: Dr Audrey Thomas-Schoemann, PharmD, PhD, </w:t>
      </w:r>
    </w:p>
    <w:p w14:paraId="79B2F44A" w14:textId="77777777" w:rsidR="00411BD8" w:rsidRPr="001E23F2" w:rsidRDefault="00411BD8" w:rsidP="00411BD8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eastAsia="Trebuchet MS" w:hAnsi="Times New Roman" w:cs="Times New Roman"/>
          <w:sz w:val="24"/>
          <w:szCs w:val="24"/>
        </w:rPr>
      </w:pPr>
      <w:r w:rsidRPr="001E23F2">
        <w:rPr>
          <w:rFonts w:ascii="Times New Roman" w:eastAsia="Trebuchet MS" w:hAnsi="Times New Roman" w:cs="Times New Roman"/>
          <w:sz w:val="24"/>
          <w:szCs w:val="24"/>
        </w:rPr>
        <w:t>Department of clinical Pharmacy, Cochin hospital</w:t>
      </w:r>
    </w:p>
    <w:p w14:paraId="3F55BBED" w14:textId="6F70B040" w:rsidR="00411BD8" w:rsidRDefault="00411BD8" w:rsidP="00411BD8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eastAsia="Trebuchet MS" w:hAnsi="Times New Roman" w:cs="Times New Roman"/>
          <w:sz w:val="24"/>
          <w:szCs w:val="24"/>
          <w:lang w:val="fr-FR"/>
        </w:rPr>
      </w:pPr>
      <w:r w:rsidRPr="00CC0935">
        <w:rPr>
          <w:rFonts w:ascii="Times New Roman" w:eastAsia="Trebuchet MS" w:hAnsi="Times New Roman" w:cs="Times New Roman"/>
          <w:sz w:val="24"/>
          <w:szCs w:val="24"/>
          <w:lang w:val="fr-FR"/>
        </w:rPr>
        <w:t>27 rue du Faubourg Saint Jacques</w:t>
      </w:r>
      <w:r>
        <w:rPr>
          <w:rFonts w:ascii="Times New Roman" w:eastAsia="Trebuchet MS" w:hAnsi="Times New Roman" w:cs="Times New Roman"/>
          <w:sz w:val="24"/>
          <w:szCs w:val="24"/>
          <w:lang w:val="fr-FR"/>
        </w:rPr>
        <w:t xml:space="preserve"> 75014 Paris</w:t>
      </w:r>
    </w:p>
    <w:p w14:paraId="08FC38F3" w14:textId="2BC54469" w:rsidR="00411BD8" w:rsidRPr="00411BD8" w:rsidRDefault="00411BD8" w:rsidP="00411BD8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b/>
          <w:lang w:val="fr-FR"/>
        </w:rPr>
      </w:pPr>
      <w:r w:rsidRPr="008551CB">
        <w:rPr>
          <w:rFonts w:ascii="Times New Roman" w:eastAsia="Trebuchet MS" w:hAnsi="Times New Roman" w:cs="Times New Roman"/>
          <w:sz w:val="24"/>
          <w:szCs w:val="24"/>
          <w:lang w:val="fr-FR"/>
        </w:rPr>
        <w:t>Phone : 01 58 41 32 89</w:t>
      </w:r>
      <w:proofErr w:type="gramStart"/>
      <w:r>
        <w:rPr>
          <w:rFonts w:ascii="Times New Roman" w:eastAsia="Trebuchet MS" w:hAnsi="Times New Roman" w:cs="Times New Roman"/>
          <w:sz w:val="24"/>
          <w:szCs w:val="24"/>
          <w:lang w:val="fr-FR"/>
        </w:rPr>
        <w:t> ;</w:t>
      </w:r>
      <w:r w:rsidRPr="008551CB">
        <w:rPr>
          <w:rFonts w:ascii="Times New Roman" w:eastAsia="Trebuchet MS" w:hAnsi="Times New Roman" w:cs="Times New Roman"/>
          <w:sz w:val="24"/>
          <w:szCs w:val="24"/>
          <w:lang w:val="fr-FR"/>
        </w:rPr>
        <w:t>Fax</w:t>
      </w:r>
      <w:proofErr w:type="gramEnd"/>
      <w:r w:rsidRPr="008551CB">
        <w:rPr>
          <w:rFonts w:ascii="Times New Roman" w:eastAsia="Trebuchet MS" w:hAnsi="Times New Roman" w:cs="Times New Roman"/>
          <w:sz w:val="24"/>
          <w:szCs w:val="24"/>
          <w:lang w:val="fr-FR"/>
        </w:rPr>
        <w:t> : 01 58 41 14 34</w:t>
      </w:r>
      <w:r>
        <w:rPr>
          <w:rFonts w:ascii="Times New Roman" w:eastAsia="Trebuchet MS" w:hAnsi="Times New Roman" w:cs="Times New Roman"/>
          <w:sz w:val="24"/>
          <w:szCs w:val="24"/>
          <w:lang w:val="fr-FR"/>
        </w:rPr>
        <w:t xml:space="preserve"> ; </w:t>
      </w:r>
      <w:r w:rsidRPr="008551CB">
        <w:rPr>
          <w:rFonts w:ascii="Times New Roman" w:eastAsia="Trebuchet MS" w:hAnsi="Times New Roman" w:cs="Times New Roman"/>
          <w:sz w:val="24"/>
          <w:szCs w:val="24"/>
          <w:lang w:val="fr-FR"/>
        </w:rPr>
        <w:t xml:space="preserve">Email : </w:t>
      </w:r>
      <w:hyperlink r:id="rId4" w:history="1">
        <w:r w:rsidRPr="008551CB">
          <w:rPr>
            <w:rStyle w:val="Lienhypertexte"/>
            <w:rFonts w:ascii="Times New Roman" w:eastAsia="Trebuchet MS" w:hAnsi="Times New Roman" w:cs="Times New Roman"/>
            <w:sz w:val="24"/>
            <w:szCs w:val="24"/>
            <w:lang w:val="fr-FR"/>
          </w:rPr>
          <w:t>schoemann.audrey@gmail.com</w:t>
        </w:r>
      </w:hyperlink>
      <w:r w:rsidRPr="00411BD8">
        <w:rPr>
          <w:rFonts w:ascii="Times New Roman" w:hAnsi="Times New Roman" w:cs="Times New Roman"/>
          <w:b/>
          <w:sz w:val="24"/>
          <w:szCs w:val="24"/>
          <w:lang w:val="fr-FR"/>
        </w:rPr>
        <w:br w:type="page"/>
      </w:r>
    </w:p>
    <w:p w14:paraId="33766946" w14:textId="36CD9C91" w:rsidR="00ED6555" w:rsidRPr="00A179EE" w:rsidRDefault="00ED6555" w:rsidP="00ED6555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A179E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S1. </w:t>
      </w:r>
      <w:r w:rsidRPr="00A179EE">
        <w:rPr>
          <w:rFonts w:ascii="Times New Roman" w:hAnsi="Times New Roman" w:cs="Times New Roman"/>
          <w:b/>
          <w:sz w:val="24"/>
          <w:szCs w:val="24"/>
        </w:rPr>
        <w:t>Description of the most common pharmacologic classes prescribed (&gt;5 times).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67"/>
        <w:gridCol w:w="3012"/>
        <w:gridCol w:w="3083"/>
      </w:tblGrid>
      <w:tr w:rsidR="00ED6555" w:rsidRPr="00A179EE" w14:paraId="3376694A" w14:textId="77777777" w:rsidTr="00EB6136">
        <w:tc>
          <w:tcPr>
            <w:tcW w:w="3282" w:type="dxa"/>
          </w:tcPr>
          <w:p w14:paraId="33766947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Therapeutic classes</w:t>
            </w:r>
          </w:p>
        </w:tc>
        <w:tc>
          <w:tcPr>
            <w:tcW w:w="3063" w:type="dxa"/>
          </w:tcPr>
          <w:p w14:paraId="33766948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Drugs</w:t>
            </w:r>
          </w:p>
        </w:tc>
        <w:tc>
          <w:tcPr>
            <w:tcW w:w="3503" w:type="dxa"/>
          </w:tcPr>
          <w:p w14:paraId="33766949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Prescriptions among 243 pre-therapeutic assessments, n (%)</w:t>
            </w:r>
          </w:p>
        </w:tc>
      </w:tr>
      <w:tr w:rsidR="00ED6555" w:rsidRPr="00A179EE" w14:paraId="3376694F" w14:textId="77777777" w:rsidTr="00EB6136">
        <w:tc>
          <w:tcPr>
            <w:tcW w:w="3282" w:type="dxa"/>
          </w:tcPr>
          <w:p w14:paraId="3376694B" w14:textId="77777777" w:rsidR="00ED6555" w:rsidRPr="00A179EE" w:rsidRDefault="00ED6555" w:rsidP="00EB613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</w:pPr>
            <w:r w:rsidRPr="00A179EE">
              <w:t>Non opioid Step I of WHO analgesic ladder.</w:t>
            </w:r>
          </w:p>
          <w:p w14:paraId="3376694C" w14:textId="77777777" w:rsidR="00ED6555" w:rsidRPr="00A179EE" w:rsidRDefault="00ED6555" w:rsidP="00EB613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</w:pPr>
          </w:p>
        </w:tc>
        <w:tc>
          <w:tcPr>
            <w:tcW w:w="3063" w:type="dxa"/>
          </w:tcPr>
          <w:p w14:paraId="3376694D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t>Paracetamol</w:t>
            </w:r>
          </w:p>
        </w:tc>
        <w:tc>
          <w:tcPr>
            <w:tcW w:w="3503" w:type="dxa"/>
          </w:tcPr>
          <w:p w14:paraId="3376694E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135 (55.6%)</w:t>
            </w:r>
          </w:p>
        </w:tc>
      </w:tr>
      <w:tr w:rsidR="00ED6555" w:rsidRPr="00A179EE" w14:paraId="33766954" w14:textId="77777777" w:rsidTr="00EB6136">
        <w:tc>
          <w:tcPr>
            <w:tcW w:w="3282" w:type="dxa"/>
          </w:tcPr>
          <w:p w14:paraId="33766950" w14:textId="77777777" w:rsidR="00ED6555" w:rsidRPr="00A179EE" w:rsidRDefault="00ED6555" w:rsidP="00EB613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</w:pPr>
            <w:r w:rsidRPr="00A179EE">
              <w:t>Opioids Step II of WHO analgesic ladder.</w:t>
            </w:r>
          </w:p>
          <w:p w14:paraId="33766951" w14:textId="77777777" w:rsidR="00ED6555" w:rsidRPr="00A179EE" w:rsidRDefault="00ED6555" w:rsidP="00EB613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</w:pPr>
          </w:p>
        </w:tc>
        <w:tc>
          <w:tcPr>
            <w:tcW w:w="3063" w:type="dxa"/>
          </w:tcPr>
          <w:p w14:paraId="33766952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Tramadol, codeine, paracetamol/tramadol, paracetamol/codeine, opium/paracetamol/cafeine</w:t>
            </w:r>
          </w:p>
        </w:tc>
        <w:tc>
          <w:tcPr>
            <w:tcW w:w="3503" w:type="dxa"/>
          </w:tcPr>
          <w:p w14:paraId="33766953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68 (28%)</w:t>
            </w:r>
          </w:p>
        </w:tc>
      </w:tr>
      <w:tr w:rsidR="00ED6555" w:rsidRPr="00A179EE" w14:paraId="33766959" w14:textId="77777777" w:rsidTr="00EB6136">
        <w:tc>
          <w:tcPr>
            <w:tcW w:w="3282" w:type="dxa"/>
          </w:tcPr>
          <w:p w14:paraId="33766955" w14:textId="77777777" w:rsidR="00ED6555" w:rsidRPr="00A179EE" w:rsidRDefault="00ED6555" w:rsidP="00EB613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</w:pPr>
            <w:r w:rsidRPr="00A179EE">
              <w:t xml:space="preserve">Opioids Step III of WHO analgesic ladder </w:t>
            </w:r>
          </w:p>
          <w:p w14:paraId="33766956" w14:textId="77777777" w:rsidR="00ED6555" w:rsidRPr="00A179EE" w:rsidRDefault="00ED6555" w:rsidP="00EB613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</w:pPr>
          </w:p>
        </w:tc>
        <w:tc>
          <w:tcPr>
            <w:tcW w:w="3063" w:type="dxa"/>
          </w:tcPr>
          <w:p w14:paraId="33766957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Morphine, fentanyl, oxycodone, hydromorphone</w:t>
            </w:r>
          </w:p>
        </w:tc>
        <w:tc>
          <w:tcPr>
            <w:tcW w:w="3503" w:type="dxa"/>
          </w:tcPr>
          <w:p w14:paraId="33766958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52 (21%)</w:t>
            </w:r>
          </w:p>
        </w:tc>
      </w:tr>
      <w:tr w:rsidR="00ED6555" w:rsidRPr="00A179EE" w14:paraId="33766960" w14:textId="77777777" w:rsidTr="00EB6136">
        <w:tc>
          <w:tcPr>
            <w:tcW w:w="3282" w:type="dxa"/>
          </w:tcPr>
          <w:p w14:paraId="3376695A" w14:textId="77777777" w:rsidR="00ED6555" w:rsidRPr="00A179EE" w:rsidRDefault="00ED6555" w:rsidP="00EB6136">
            <w:pPr>
              <w:pStyle w:val="Corps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 xml:space="preserve">Anticoagulants </w:t>
            </w:r>
          </w:p>
          <w:p w14:paraId="3376695B" w14:textId="77777777" w:rsidR="00ED6555" w:rsidRPr="00A179EE" w:rsidRDefault="00ED6555" w:rsidP="00EB6136">
            <w:pPr>
              <w:pStyle w:val="Corps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 xml:space="preserve">Low molecular weight heparin </w:t>
            </w:r>
          </w:p>
          <w:p w14:paraId="3376695C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Direct oral anticoagulants</w:t>
            </w:r>
          </w:p>
        </w:tc>
        <w:tc>
          <w:tcPr>
            <w:tcW w:w="3063" w:type="dxa"/>
          </w:tcPr>
          <w:p w14:paraId="3376695D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76695E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A179E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Enoxaparine</w:t>
            </w:r>
            <w:proofErr w:type="spellEnd"/>
            <w:r w:rsidRPr="00A179E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79E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tinzaparine</w:t>
            </w:r>
            <w:proofErr w:type="spellEnd"/>
            <w:r w:rsidRPr="00A179E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A179E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apixaban</w:t>
            </w:r>
            <w:proofErr w:type="spellEnd"/>
          </w:p>
        </w:tc>
        <w:tc>
          <w:tcPr>
            <w:tcW w:w="3503" w:type="dxa"/>
          </w:tcPr>
          <w:p w14:paraId="3376695F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75 (31%)</w:t>
            </w:r>
          </w:p>
        </w:tc>
      </w:tr>
      <w:tr w:rsidR="00ED6555" w:rsidRPr="00A179EE" w14:paraId="33766964" w14:textId="77777777" w:rsidTr="00EB6136">
        <w:tc>
          <w:tcPr>
            <w:tcW w:w="3282" w:type="dxa"/>
          </w:tcPr>
          <w:p w14:paraId="33766961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Laxatives</w:t>
            </w:r>
          </w:p>
        </w:tc>
        <w:tc>
          <w:tcPr>
            <w:tcW w:w="3063" w:type="dxa"/>
          </w:tcPr>
          <w:p w14:paraId="33766962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Lactulose, macrogol, docusate, paraffine</w:t>
            </w:r>
          </w:p>
        </w:tc>
        <w:tc>
          <w:tcPr>
            <w:tcW w:w="3503" w:type="dxa"/>
          </w:tcPr>
          <w:p w14:paraId="33766963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38 (16%)</w:t>
            </w:r>
          </w:p>
        </w:tc>
      </w:tr>
      <w:tr w:rsidR="00ED6555" w:rsidRPr="00A179EE" w14:paraId="33766968" w14:textId="77777777" w:rsidTr="00EB6136">
        <w:tc>
          <w:tcPr>
            <w:tcW w:w="3282" w:type="dxa"/>
          </w:tcPr>
          <w:p w14:paraId="33766965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Anticonvulsants</w:t>
            </w:r>
          </w:p>
        </w:tc>
        <w:tc>
          <w:tcPr>
            <w:tcW w:w="3063" w:type="dxa"/>
          </w:tcPr>
          <w:p w14:paraId="33766966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 xml:space="preserve">Pregabalin, </w:t>
            </w:r>
            <w:proofErr w:type="spellStart"/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gabapentine</w:t>
            </w:r>
            <w:proofErr w:type="spellEnd"/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, carbamazepine</w:t>
            </w:r>
          </w:p>
        </w:tc>
        <w:tc>
          <w:tcPr>
            <w:tcW w:w="3503" w:type="dxa"/>
          </w:tcPr>
          <w:p w14:paraId="33766967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58 (24%)</w:t>
            </w:r>
          </w:p>
        </w:tc>
      </w:tr>
      <w:tr w:rsidR="00ED6555" w:rsidRPr="00A179EE" w14:paraId="3376696C" w14:textId="77777777" w:rsidTr="00EB6136">
        <w:tc>
          <w:tcPr>
            <w:tcW w:w="3282" w:type="dxa"/>
          </w:tcPr>
          <w:p w14:paraId="33766969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Benzodiazepines and hypnotics</w:t>
            </w:r>
          </w:p>
        </w:tc>
        <w:tc>
          <w:tcPr>
            <w:tcW w:w="3063" w:type="dxa"/>
          </w:tcPr>
          <w:p w14:paraId="3376696A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 xml:space="preserve">Alprazolam, </w:t>
            </w:r>
            <w:proofErr w:type="spellStart"/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prazepam</w:t>
            </w:r>
            <w:proofErr w:type="spellEnd"/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, bromazepam, lorazepam, zolpidem, zopiclone</w:t>
            </w:r>
          </w:p>
        </w:tc>
        <w:tc>
          <w:tcPr>
            <w:tcW w:w="3503" w:type="dxa"/>
          </w:tcPr>
          <w:p w14:paraId="3376696B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52 (21%)</w:t>
            </w:r>
          </w:p>
        </w:tc>
      </w:tr>
      <w:tr w:rsidR="00ED6555" w:rsidRPr="00A179EE" w14:paraId="33766972" w14:textId="77777777" w:rsidTr="00EB6136">
        <w:tc>
          <w:tcPr>
            <w:tcW w:w="3282" w:type="dxa"/>
          </w:tcPr>
          <w:p w14:paraId="3376696D" w14:textId="77777777" w:rsidR="00ED6555" w:rsidRPr="00A179EE" w:rsidRDefault="00ED6555" w:rsidP="00EB6136">
            <w:pPr>
              <w:pStyle w:val="Corps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 xml:space="preserve">Proton pump inhibitors </w:t>
            </w:r>
          </w:p>
          <w:p w14:paraId="3376696E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</w:tcPr>
          <w:p w14:paraId="3376696F" w14:textId="77777777" w:rsidR="00ED6555" w:rsidRPr="00A179EE" w:rsidRDefault="00ED6555" w:rsidP="00EB6136">
            <w:pPr>
              <w:pStyle w:val="Corps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Omeprazole, esomeprazole,</w:t>
            </w:r>
          </w:p>
          <w:p w14:paraId="33766970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pantoprazole</w:t>
            </w:r>
          </w:p>
        </w:tc>
        <w:tc>
          <w:tcPr>
            <w:tcW w:w="3503" w:type="dxa"/>
          </w:tcPr>
          <w:p w14:paraId="33766971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 (16%)</w:t>
            </w:r>
          </w:p>
        </w:tc>
      </w:tr>
      <w:tr w:rsidR="00ED6555" w:rsidRPr="00A179EE" w14:paraId="33766977" w14:textId="77777777" w:rsidTr="00EB6136">
        <w:tc>
          <w:tcPr>
            <w:tcW w:w="3282" w:type="dxa"/>
          </w:tcPr>
          <w:p w14:paraId="33766973" w14:textId="77777777" w:rsidR="00ED6555" w:rsidRPr="00A179EE" w:rsidRDefault="00ED6555" w:rsidP="00EB6136">
            <w:pPr>
              <w:pStyle w:val="Corps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 xml:space="preserve">Antidepressant drugs </w:t>
            </w:r>
          </w:p>
          <w:p w14:paraId="33766974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</w:tcPr>
          <w:p w14:paraId="33766975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Escitalopram, mirtazapine, duloxetine, amitriptyline, clomipramine</w:t>
            </w:r>
          </w:p>
        </w:tc>
        <w:tc>
          <w:tcPr>
            <w:tcW w:w="3503" w:type="dxa"/>
          </w:tcPr>
          <w:p w14:paraId="33766976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39 (16%)</w:t>
            </w:r>
          </w:p>
        </w:tc>
      </w:tr>
      <w:tr w:rsidR="00ED6555" w:rsidRPr="00A179EE" w14:paraId="3376697B" w14:textId="77777777" w:rsidTr="00EB6136">
        <w:tc>
          <w:tcPr>
            <w:tcW w:w="3282" w:type="dxa"/>
          </w:tcPr>
          <w:p w14:paraId="33766978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/>
                <w:lang w:val="fr-FR"/>
              </w:rPr>
              <w:t xml:space="preserve">Hormonal contraceptives </w:t>
            </w:r>
          </w:p>
        </w:tc>
        <w:tc>
          <w:tcPr>
            <w:tcW w:w="3063" w:type="dxa"/>
          </w:tcPr>
          <w:p w14:paraId="33766979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Levonorgestrel, ethinylestradiol, drospirenone, chlormadinone acetate, nomegestrol acetate</w:t>
            </w:r>
          </w:p>
        </w:tc>
        <w:tc>
          <w:tcPr>
            <w:tcW w:w="3503" w:type="dxa"/>
          </w:tcPr>
          <w:p w14:paraId="3376697A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8 (3%)</w:t>
            </w:r>
          </w:p>
        </w:tc>
      </w:tr>
      <w:tr w:rsidR="00ED6555" w:rsidRPr="00A179EE" w14:paraId="3376697F" w14:textId="77777777" w:rsidTr="00EB6136">
        <w:tc>
          <w:tcPr>
            <w:tcW w:w="3282" w:type="dxa"/>
          </w:tcPr>
          <w:p w14:paraId="3376697C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Nonsteroidal anti-inflammatory drugs</w:t>
            </w:r>
          </w:p>
        </w:tc>
        <w:tc>
          <w:tcPr>
            <w:tcW w:w="3063" w:type="dxa"/>
          </w:tcPr>
          <w:p w14:paraId="3376697D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Ibuprofen, ketoprofen</w:t>
            </w:r>
          </w:p>
        </w:tc>
        <w:tc>
          <w:tcPr>
            <w:tcW w:w="3503" w:type="dxa"/>
          </w:tcPr>
          <w:p w14:paraId="3376697E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7 (3%)</w:t>
            </w:r>
          </w:p>
        </w:tc>
      </w:tr>
      <w:tr w:rsidR="00ED6555" w:rsidRPr="00A179EE" w14:paraId="33766983" w14:textId="77777777" w:rsidTr="00EB6136">
        <w:tc>
          <w:tcPr>
            <w:tcW w:w="3282" w:type="dxa"/>
          </w:tcPr>
          <w:p w14:paraId="33766980" w14:textId="77777777" w:rsidR="00ED6555" w:rsidRPr="00A179EE" w:rsidRDefault="00ED6555" w:rsidP="00EB6136">
            <w:pPr>
              <w:pStyle w:val="Corps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Corticosteroids</w:t>
            </w:r>
          </w:p>
        </w:tc>
        <w:tc>
          <w:tcPr>
            <w:tcW w:w="3063" w:type="dxa"/>
          </w:tcPr>
          <w:p w14:paraId="33766981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Prednisone, prednisolone, methylprednisolone</w:t>
            </w:r>
          </w:p>
        </w:tc>
        <w:tc>
          <w:tcPr>
            <w:tcW w:w="3503" w:type="dxa"/>
          </w:tcPr>
          <w:p w14:paraId="33766982" w14:textId="77777777" w:rsidR="00ED6555" w:rsidRPr="00A179EE" w:rsidRDefault="00ED6555" w:rsidP="00EB6136">
            <w:pPr>
              <w:pStyle w:val="Corps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EE">
              <w:rPr>
                <w:rFonts w:ascii="Times New Roman" w:hAnsi="Times New Roman" w:cs="Times New Roman"/>
                <w:sz w:val="24"/>
                <w:szCs w:val="24"/>
              </w:rPr>
              <w:t>18 (7%)</w:t>
            </w:r>
          </w:p>
        </w:tc>
      </w:tr>
    </w:tbl>
    <w:p w14:paraId="33766984" w14:textId="77777777" w:rsidR="00ED6555" w:rsidRPr="00A179EE" w:rsidRDefault="00ED6555" w:rsidP="00ED6555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766985" w14:textId="77777777" w:rsidR="00ED6555" w:rsidRPr="00A179EE" w:rsidRDefault="00ED6555" w:rsidP="00ED6555">
      <w:pPr>
        <w:pStyle w:val="Corps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766986" w14:textId="77777777" w:rsidR="000E5BD4" w:rsidRDefault="000E5BD4"/>
    <w:sectPr w:rsidR="000E5B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555"/>
    <w:rsid w:val="000E5BD4"/>
    <w:rsid w:val="00411BD8"/>
    <w:rsid w:val="00A77711"/>
    <w:rsid w:val="00ED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66946"/>
  <w15:docId w15:val="{A61DD407-5CE7-46E8-B037-A6073D664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D655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A">
    <w:name w:val="Corps A"/>
    <w:rsid w:val="00ED655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val="en-US" w:eastAsia="fr-FR"/>
    </w:rPr>
  </w:style>
  <w:style w:type="table" w:styleId="Grilledutableau">
    <w:name w:val="Table Grid"/>
    <w:basedOn w:val="TableauNormal"/>
    <w:uiPriority w:val="59"/>
    <w:rsid w:val="00ED655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rsid w:val="00411BD8"/>
    <w:rPr>
      <w:u w:val="single"/>
    </w:rPr>
  </w:style>
  <w:style w:type="character" w:customStyle="1" w:styleId="AucunA">
    <w:name w:val="Aucun A"/>
    <w:rsid w:val="00411BD8"/>
  </w:style>
  <w:style w:type="character" w:customStyle="1" w:styleId="normalchar">
    <w:name w:val="normal__char"/>
    <w:basedOn w:val="Policepardfaut"/>
    <w:rsid w:val="00411BD8"/>
  </w:style>
  <w:style w:type="character" w:customStyle="1" w:styleId="lrzxr">
    <w:name w:val="lrzxr"/>
    <w:rsid w:val="00411BD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oemann.audrey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420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Audrey (CCH)</dc:creator>
  <cp:lastModifiedBy>audrey schoemann</cp:lastModifiedBy>
  <cp:revision>2</cp:revision>
  <dcterms:created xsi:type="dcterms:W3CDTF">2021-02-04T07:51:00Z</dcterms:created>
  <dcterms:modified xsi:type="dcterms:W3CDTF">2021-02-04T07:51:00Z</dcterms:modified>
</cp:coreProperties>
</file>