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CAA" w:rsidRDefault="00E849FA" w:rsidP="007C5DAA">
      <w:pPr>
        <w:spacing w:line="480" w:lineRule="auto"/>
        <w:rPr>
          <w:rFonts w:ascii="Times New Roman" w:eastAsia="宋体" w:hAnsi="Times New Roman" w:cs="Times New Roman"/>
          <w:b/>
          <w:bCs/>
          <w:sz w:val="32"/>
          <w:szCs w:val="32"/>
        </w:rPr>
      </w:pPr>
      <w:r w:rsidRPr="00E849FA">
        <w:rPr>
          <w:rFonts w:ascii="Times New Roman" w:eastAsia="宋体" w:hAnsi="Times New Roman" w:cs="Times New Roman"/>
          <w:b/>
          <w:bCs/>
          <w:sz w:val="32"/>
          <w:szCs w:val="32"/>
        </w:rPr>
        <w:t>The progressive effects of built environments on supporting physical activity diversity in high-density areas: a case study in Shenzhen, China</w:t>
      </w:r>
    </w:p>
    <w:p w:rsidR="007C5DAA" w:rsidRPr="003066D9" w:rsidRDefault="007C5DAA" w:rsidP="007C5DAA">
      <w:pPr>
        <w:spacing w:line="480" w:lineRule="auto"/>
        <w:rPr>
          <w:rFonts w:ascii="Times New Roman" w:hAnsi="Times New Roman"/>
          <w:sz w:val="24"/>
          <w:szCs w:val="24"/>
        </w:rPr>
      </w:pPr>
      <w:r w:rsidRPr="003066D9">
        <w:rPr>
          <w:rFonts w:ascii="Times New Roman" w:hAnsi="Times New Roman"/>
          <w:sz w:val="24"/>
          <w:szCs w:val="24"/>
        </w:rPr>
        <w:t xml:space="preserve">Yuan Gao </w:t>
      </w:r>
      <w:r w:rsidRPr="003066D9">
        <w:rPr>
          <w:rFonts w:ascii="Times New Roman" w:hAnsi="Times New Roman" w:hint="eastAsia"/>
          <w:noProof/>
          <w:sz w:val="24"/>
          <w:szCs w:val="24"/>
          <w:vertAlign w:val="superscript"/>
        </w:rPr>
        <w:t>a</w:t>
      </w:r>
      <w:r w:rsidRPr="003066D9">
        <w:rPr>
          <w:rFonts w:ascii="Times New Roman" w:hAnsi="Times New Roman"/>
          <w:sz w:val="24"/>
          <w:szCs w:val="24"/>
        </w:rPr>
        <w:t xml:space="preserve">, Kun Liu </w:t>
      </w:r>
      <w:r w:rsidRPr="003066D9">
        <w:rPr>
          <w:rFonts w:ascii="Times New Roman" w:hAnsi="Times New Roman" w:hint="eastAsia"/>
          <w:noProof/>
          <w:sz w:val="24"/>
          <w:szCs w:val="24"/>
          <w:vertAlign w:val="superscript"/>
        </w:rPr>
        <w:t>a</w:t>
      </w:r>
      <w:r w:rsidRPr="003066D9">
        <w:rPr>
          <w:rFonts w:ascii="Times New Roman" w:hAnsi="Times New Roman"/>
          <w:sz w:val="24"/>
          <w:szCs w:val="24"/>
          <w:vertAlign w:val="superscript"/>
        </w:rPr>
        <w:t>*</w:t>
      </w:r>
      <w:r w:rsidRPr="003066D9">
        <w:rPr>
          <w:rFonts w:ascii="Times New Roman" w:hAnsi="Times New Roman"/>
          <w:sz w:val="24"/>
          <w:szCs w:val="24"/>
        </w:rPr>
        <w:t xml:space="preserve">, Peiling Zhou </w:t>
      </w:r>
      <w:r w:rsidRPr="003066D9">
        <w:rPr>
          <w:rFonts w:ascii="Times New Roman" w:hAnsi="Times New Roman" w:hint="eastAsia"/>
          <w:noProof/>
          <w:sz w:val="24"/>
          <w:szCs w:val="24"/>
          <w:vertAlign w:val="superscript"/>
        </w:rPr>
        <w:t>a</w:t>
      </w:r>
      <w:r w:rsidRPr="003066D9">
        <w:rPr>
          <w:rFonts w:ascii="Times New Roman" w:hAnsi="Times New Roman"/>
          <w:sz w:val="24"/>
          <w:szCs w:val="24"/>
        </w:rPr>
        <w:t xml:space="preserve"> and Hongkun Xie </w:t>
      </w:r>
      <w:r>
        <w:rPr>
          <w:rFonts w:ascii="Times New Roman" w:eastAsia="Times New Roman" w:hAnsi="Times New Roman"/>
          <w:sz w:val="24"/>
          <w:szCs w:val="24"/>
          <w:vertAlign w:val="superscript"/>
        </w:rPr>
        <w:t>b</w:t>
      </w:r>
    </w:p>
    <w:p w:rsidR="007C5DAA" w:rsidRPr="003066D9" w:rsidRDefault="007C5DAA" w:rsidP="007C5DAA">
      <w:pPr>
        <w:spacing w:line="480" w:lineRule="auto"/>
        <w:rPr>
          <w:rFonts w:ascii="Times New Roman" w:hAnsi="Times New Roman"/>
          <w:sz w:val="24"/>
          <w:szCs w:val="24"/>
        </w:rPr>
      </w:pPr>
      <w:r w:rsidRPr="003066D9">
        <w:rPr>
          <w:rFonts w:ascii="Times New Roman" w:hAnsi="Times New Roman" w:hint="eastAsia"/>
          <w:sz w:val="24"/>
          <w:szCs w:val="24"/>
          <w:vertAlign w:val="superscript"/>
        </w:rPr>
        <w:t xml:space="preserve">a </w:t>
      </w:r>
      <w:r w:rsidRPr="003066D9">
        <w:rPr>
          <w:rFonts w:ascii="Times New Roman" w:hAnsi="Times New Roman"/>
          <w:sz w:val="24"/>
          <w:szCs w:val="24"/>
        </w:rPr>
        <w:t xml:space="preserve">School of Architecture, Harbin Institute of Technology, Shenzhen, 518055, PR China. </w:t>
      </w:r>
    </w:p>
    <w:p w:rsidR="007C5DAA" w:rsidRPr="003066D9" w:rsidRDefault="007C5DAA" w:rsidP="007C5DAA">
      <w:pPr>
        <w:spacing w:line="480" w:lineRule="auto"/>
        <w:rPr>
          <w:rFonts w:ascii="Times New Roman" w:hAnsi="Times New Roman"/>
          <w:sz w:val="24"/>
          <w:szCs w:val="24"/>
        </w:rPr>
      </w:pPr>
      <w:r>
        <w:rPr>
          <w:rFonts w:ascii="Times New Roman" w:hAnsi="Times New Roman"/>
          <w:noProof/>
          <w:sz w:val="24"/>
          <w:szCs w:val="24"/>
          <w:vertAlign w:val="superscript"/>
        </w:rPr>
        <w:t>b</w:t>
      </w:r>
      <w:r w:rsidRPr="003066D9">
        <w:rPr>
          <w:rFonts w:ascii="Times New Roman" w:hAnsi="Times New Roman" w:hint="eastAsia"/>
          <w:sz w:val="24"/>
          <w:szCs w:val="24"/>
          <w:vertAlign w:val="superscript"/>
        </w:rPr>
        <w:t xml:space="preserve"> </w:t>
      </w:r>
      <w:r w:rsidRPr="003066D9">
        <w:rPr>
          <w:rFonts w:ascii="Times New Roman" w:hAnsi="Times New Roman"/>
          <w:sz w:val="24"/>
          <w:szCs w:val="24"/>
        </w:rPr>
        <w:t>Gemdale Group South China Real Estate Company, Shenzhen, 518055, PR China.</w:t>
      </w:r>
    </w:p>
    <w:p w:rsidR="007C5DAA" w:rsidRDefault="007C5DAA" w:rsidP="007C5DAA">
      <w:pPr>
        <w:spacing w:line="480" w:lineRule="auto"/>
        <w:outlineLvl w:val="0"/>
        <w:rPr>
          <w:rFonts w:ascii="Times New Roman" w:hAnsi="Times New Roman"/>
          <w:sz w:val="24"/>
          <w:szCs w:val="24"/>
        </w:rPr>
      </w:pPr>
      <w:r w:rsidRPr="0045555B">
        <w:rPr>
          <w:rFonts w:ascii="Times New Roman" w:hAnsi="Times New Roman"/>
          <w:sz w:val="24"/>
          <w:szCs w:val="24"/>
        </w:rPr>
        <w:t xml:space="preserve">Yuan Gao </w:t>
      </w:r>
    </w:p>
    <w:p w:rsidR="007C5DAA" w:rsidRDefault="007C5DAA" w:rsidP="007C5DAA">
      <w:pPr>
        <w:spacing w:line="480" w:lineRule="auto"/>
        <w:outlineLvl w:val="0"/>
        <w:rPr>
          <w:rFonts w:ascii="Times New Roman" w:hAnsi="Times New Roman"/>
          <w:sz w:val="24"/>
          <w:szCs w:val="24"/>
        </w:rPr>
      </w:pPr>
      <w:r>
        <w:rPr>
          <w:rFonts w:ascii="Times New Roman" w:hAnsi="Times New Roman"/>
          <w:sz w:val="24"/>
          <w:szCs w:val="24"/>
        </w:rPr>
        <w:t xml:space="preserve">E-mail: </w:t>
      </w:r>
      <w:hyperlink r:id="rId6" w:history="1">
        <w:r>
          <w:rPr>
            <w:rStyle w:val="a7"/>
            <w:rFonts w:ascii="Times New Roman" w:hAnsi="Times New Roman" w:hint="eastAsia"/>
            <w:sz w:val="24"/>
            <w:szCs w:val="24"/>
          </w:rPr>
          <w:t>altiplano.39@163.com</w:t>
        </w:r>
      </w:hyperlink>
    </w:p>
    <w:p w:rsidR="007C5DAA" w:rsidRDefault="007C5DAA" w:rsidP="007C5DAA">
      <w:pPr>
        <w:spacing w:line="480" w:lineRule="auto"/>
        <w:rPr>
          <w:rFonts w:ascii="Times New Roman" w:hAnsi="Times New Roman"/>
          <w:sz w:val="24"/>
          <w:szCs w:val="24"/>
        </w:rPr>
      </w:pPr>
      <w:r>
        <w:rPr>
          <w:rFonts w:ascii="Times New Roman" w:hAnsi="Times New Roman"/>
          <w:sz w:val="24"/>
          <w:szCs w:val="24"/>
        </w:rPr>
        <w:t>*Corresponding author</w:t>
      </w:r>
    </w:p>
    <w:p w:rsidR="007C5DAA" w:rsidRDefault="007C5DAA" w:rsidP="007C5DAA">
      <w:pPr>
        <w:spacing w:line="480" w:lineRule="auto"/>
        <w:outlineLvl w:val="0"/>
        <w:rPr>
          <w:rFonts w:ascii="Times New Roman" w:hAnsi="Times New Roman"/>
          <w:sz w:val="24"/>
          <w:szCs w:val="24"/>
        </w:rPr>
      </w:pPr>
      <w:r>
        <w:rPr>
          <w:rFonts w:ascii="Times New Roman" w:hAnsi="Times New Roman"/>
          <w:sz w:val="24"/>
          <w:szCs w:val="24"/>
        </w:rPr>
        <w:t xml:space="preserve">E-mail: </w:t>
      </w:r>
      <w:hyperlink r:id="rId7" w:history="1">
        <w:r>
          <w:rPr>
            <w:rStyle w:val="a7"/>
            <w:rFonts w:ascii="Times New Roman" w:hAnsi="Times New Roman"/>
            <w:sz w:val="24"/>
            <w:szCs w:val="24"/>
          </w:rPr>
          <w:t>liuk@hit.edu.cn</w:t>
        </w:r>
      </w:hyperlink>
    </w:p>
    <w:p w:rsidR="007C5DAA" w:rsidRDefault="007C5DAA" w:rsidP="007C5DAA">
      <w:pPr>
        <w:spacing w:line="480" w:lineRule="auto"/>
        <w:rPr>
          <w:rFonts w:ascii="Times New Roman" w:eastAsia="Times New Roman" w:hAnsi="Times New Roman"/>
          <w:sz w:val="24"/>
          <w:szCs w:val="24"/>
        </w:rPr>
      </w:pPr>
      <w:r w:rsidRPr="0045555B">
        <w:rPr>
          <w:rFonts w:ascii="Times New Roman" w:eastAsia="Times New Roman" w:hAnsi="Times New Roman"/>
          <w:sz w:val="24"/>
          <w:szCs w:val="24"/>
        </w:rPr>
        <w:t>Peiling Zhou</w:t>
      </w:r>
    </w:p>
    <w:p w:rsidR="007C5DAA" w:rsidRDefault="007C5DAA" w:rsidP="007C5DAA">
      <w:pPr>
        <w:spacing w:line="480" w:lineRule="auto"/>
        <w:rPr>
          <w:rFonts w:ascii="Times New Roman" w:hAnsi="Times New Roman"/>
          <w:sz w:val="24"/>
          <w:szCs w:val="24"/>
        </w:rPr>
      </w:pPr>
      <w:r w:rsidRPr="00170F37">
        <w:rPr>
          <w:rFonts w:ascii="Times New Roman" w:eastAsia="Times New Roman" w:hAnsi="Times New Roman"/>
          <w:sz w:val="24"/>
          <w:szCs w:val="24"/>
        </w:rPr>
        <w:t xml:space="preserve">E-mail: </w:t>
      </w:r>
      <w:hyperlink r:id="rId8" w:history="1">
        <w:r>
          <w:rPr>
            <w:rFonts w:ascii="Times New Roman" w:eastAsia="Times New Roman" w:hAnsi="Times New Roman"/>
            <w:color w:val="0563C1"/>
            <w:sz w:val="24"/>
            <w:szCs w:val="24"/>
            <w:u w:val="single"/>
          </w:rPr>
          <w:t>lindaplzhou@gmail.com</w:t>
        </w:r>
      </w:hyperlink>
    </w:p>
    <w:p w:rsidR="007C5DAA" w:rsidRDefault="007C5DAA" w:rsidP="007C5DAA">
      <w:pPr>
        <w:spacing w:line="480" w:lineRule="auto"/>
        <w:rPr>
          <w:rFonts w:ascii="Times New Roman" w:hAnsi="Times New Roman"/>
          <w:sz w:val="24"/>
          <w:szCs w:val="24"/>
        </w:rPr>
      </w:pPr>
      <w:r w:rsidRPr="0045555B">
        <w:rPr>
          <w:rFonts w:ascii="Times New Roman" w:hAnsi="Times New Roman"/>
          <w:sz w:val="24"/>
          <w:szCs w:val="24"/>
        </w:rPr>
        <w:t>Hongkun Xie</w:t>
      </w:r>
    </w:p>
    <w:p w:rsidR="007C5DAA" w:rsidRDefault="007C5DAA" w:rsidP="007C5DAA">
      <w:pPr>
        <w:spacing w:line="480" w:lineRule="auto"/>
        <w:rPr>
          <w:rFonts w:ascii="Times New Roman" w:hAnsi="Times New Roman"/>
          <w:sz w:val="24"/>
          <w:szCs w:val="24"/>
        </w:rPr>
      </w:pPr>
      <w:r w:rsidRPr="00170F37">
        <w:rPr>
          <w:rFonts w:ascii="Times New Roman" w:eastAsia="Times New Roman" w:hAnsi="Times New Roman"/>
          <w:sz w:val="24"/>
          <w:szCs w:val="24"/>
        </w:rPr>
        <w:t xml:space="preserve">E-mail: </w:t>
      </w:r>
      <w:hyperlink r:id="rId9" w:history="1">
        <w:r>
          <w:rPr>
            <w:rFonts w:ascii="Times New Roman" w:eastAsia="Times New Roman" w:hAnsi="Times New Roman"/>
            <w:color w:val="0563C1"/>
            <w:sz w:val="24"/>
            <w:szCs w:val="24"/>
            <w:u w:val="single"/>
          </w:rPr>
          <w:t>xiehongkun@gemdale.com</w:t>
        </w:r>
      </w:hyperlink>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Default="007C5DAA" w:rsidP="007C5DAA">
      <w:pPr>
        <w:spacing w:line="480" w:lineRule="auto"/>
        <w:rPr>
          <w:rFonts w:ascii="Times New Roman" w:eastAsia="宋体" w:hAnsi="Times New Roman" w:cs="Times New Roman"/>
          <w:b/>
          <w:bCs/>
          <w:sz w:val="32"/>
          <w:szCs w:val="32"/>
        </w:rPr>
      </w:pPr>
    </w:p>
    <w:p w:rsidR="007C5DAA" w:rsidRPr="00E849FA" w:rsidRDefault="00E849FA" w:rsidP="00E849FA">
      <w:pPr>
        <w:spacing w:line="480" w:lineRule="auto"/>
        <w:jc w:val="left"/>
        <w:rPr>
          <w:rFonts w:ascii="Times New Roman" w:eastAsia="宋体" w:hAnsi="Times New Roman" w:cs="Times New Roman"/>
          <w:b/>
          <w:bCs/>
          <w:sz w:val="24"/>
          <w:szCs w:val="32"/>
        </w:rPr>
      </w:pPr>
      <w:r w:rsidRPr="00E849FA">
        <w:rPr>
          <w:rFonts w:ascii="Times New Roman" w:eastAsia="宋体" w:hAnsi="Times New Roman" w:cs="Times New Roman"/>
          <w:b/>
          <w:bCs/>
          <w:sz w:val="24"/>
          <w:szCs w:val="32"/>
        </w:rPr>
        <w:lastRenderedPageBreak/>
        <w:t>Calculation method of the physical activity participants’ social class diversity (PAPD)</w:t>
      </w:r>
    </w:p>
    <w:p w:rsidR="007C5DAA" w:rsidRPr="0091084E" w:rsidRDefault="007C5DAA" w:rsidP="007C5DAA">
      <w:pPr>
        <w:spacing w:line="480" w:lineRule="auto"/>
        <w:ind w:firstLineChars="200" w:firstLine="480"/>
        <w:rPr>
          <w:rFonts w:ascii="Times New Roman" w:hAnsi="Times New Roman"/>
          <w:bCs/>
          <w:sz w:val="24"/>
          <w:szCs w:val="24"/>
        </w:rPr>
      </w:pPr>
      <w:r w:rsidRPr="0091084E">
        <w:rPr>
          <w:rFonts w:ascii="Times New Roman" w:hAnsi="Times New Roman"/>
          <w:bCs/>
          <w:sz w:val="24"/>
          <w:szCs w:val="24"/>
        </w:rPr>
        <w:t>The PAPD in this paper was represented by the social class. It was divided into four categories: high-income group, middle-income group, low-income group, and lower-income group.</w:t>
      </w:r>
    </w:p>
    <w:p w:rsidR="007C5DAA" w:rsidRPr="00694C1C" w:rsidRDefault="007C5DAA" w:rsidP="007C5DAA">
      <w:pPr>
        <w:spacing w:line="480" w:lineRule="auto"/>
        <w:ind w:firstLineChars="200" w:firstLine="480"/>
      </w:pPr>
      <w:r w:rsidRPr="0091084E">
        <w:rPr>
          <w:rFonts w:ascii="Times New Roman" w:hAnsi="Times New Roman"/>
          <w:bCs/>
          <w:sz w:val="24"/>
          <w:szCs w:val="24"/>
        </w:rPr>
        <w:t>A</w:t>
      </w:r>
      <w:r w:rsidRPr="0091084E">
        <w:rPr>
          <w:rFonts w:ascii="Times New Roman" w:hAnsi="Times New Roman" w:hint="eastAsia"/>
          <w:bCs/>
          <w:sz w:val="24"/>
          <w:szCs w:val="24"/>
        </w:rPr>
        <w:t>s</w:t>
      </w:r>
      <w:r w:rsidRPr="0091084E">
        <w:rPr>
          <w:rFonts w:ascii="Times New Roman" w:hAnsi="Times New Roman"/>
          <w:bCs/>
          <w:sz w:val="24"/>
          <w:szCs w:val="24"/>
        </w:rPr>
        <w:t xml:space="preserve"> PA's VGI data did not contain income information, the </w:t>
      </w:r>
      <w:r>
        <w:rPr>
          <w:rFonts w:ascii="Times New Roman" w:hAnsi="Times New Roman"/>
          <w:bCs/>
          <w:sz w:val="24"/>
          <w:szCs w:val="24"/>
        </w:rPr>
        <w:t>equation</w:t>
      </w:r>
      <w:r w:rsidRPr="0091084E">
        <w:rPr>
          <w:rFonts w:ascii="Times New Roman" w:hAnsi="Times New Roman"/>
          <w:bCs/>
          <w:sz w:val="24"/>
          <w:szCs w:val="24"/>
        </w:rPr>
        <w:t xml:space="preserve"> of Housing Price to Income Ratio (HPIR) was used to derive the income of participants corresponding to PA data in this article. First, the PA data needed to be assigned to housing prices information. The PA route data was overlaid with the geospatial land-use data with residential information on the beginning or end of the routes, then using house prices to determine the social class of participants</w:t>
      </w:r>
      <w:r>
        <w:rPr>
          <w:rFonts w:ascii="Times New Roman" w:hAnsi="Times New Roman"/>
          <w:bCs/>
          <w:sz w:val="24"/>
          <w:szCs w:val="24"/>
        </w:rPr>
        <w:t xml:space="preserve"> [</w:t>
      </w:r>
      <w:r w:rsidR="00B54844">
        <w:rPr>
          <w:rFonts w:ascii="Times New Roman" w:hAnsi="Times New Roman"/>
          <w:bCs/>
          <w:sz w:val="24"/>
          <w:szCs w:val="24"/>
        </w:rPr>
        <w:t>1</w:t>
      </w:r>
      <w:r>
        <w:rPr>
          <w:rFonts w:ascii="Times New Roman" w:hAnsi="Times New Roman"/>
          <w:bCs/>
          <w:sz w:val="24"/>
          <w:szCs w:val="24"/>
        </w:rPr>
        <w:t>].</w:t>
      </w:r>
    </w:p>
    <w:p w:rsidR="007C5DAA" w:rsidRDefault="007C5DAA" w:rsidP="007C5DAA">
      <w:pPr>
        <w:spacing w:line="480" w:lineRule="auto"/>
        <w:ind w:firstLineChars="200" w:firstLine="480"/>
        <w:jc w:val="center"/>
        <w:rPr>
          <w:rFonts w:ascii="Times New Roman" w:hAnsi="Times New Roman"/>
          <w:bCs/>
          <w:sz w:val="24"/>
          <w:szCs w:val="24"/>
        </w:rPr>
      </w:pPr>
      <w:r w:rsidRPr="00616FE8">
        <w:rPr>
          <w:rFonts w:ascii="Times New Roman" w:hAnsi="Times New Roman"/>
          <w:bCs/>
          <w:snapToGrid w:val="0"/>
          <w:position w:val="-18"/>
          <w:sz w:val="24"/>
          <w:szCs w:val="24"/>
        </w:rPr>
        <w:object w:dxaOrig="1579"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15pt;height:25.85pt" o:ole="">
            <v:imagedata r:id="rId10" o:title=""/>
          </v:shape>
          <o:OLEObject Type="Embed" ProgID="Equation.DSMT4" ShapeID="_x0000_i1025" DrawAspect="Content" ObjectID="_1672826133" r:id="rId11"/>
        </w:object>
      </w:r>
    </w:p>
    <w:p w:rsidR="007C5DAA" w:rsidRPr="00616FE8" w:rsidRDefault="007C5DAA" w:rsidP="007C5DAA">
      <w:pPr>
        <w:spacing w:line="480" w:lineRule="auto"/>
        <w:rPr>
          <w:rFonts w:ascii="Times New Roman" w:hAnsi="Times New Roman"/>
          <w:bCs/>
          <w:sz w:val="24"/>
          <w:szCs w:val="24"/>
        </w:rPr>
      </w:pPr>
      <w:r w:rsidRPr="00616FE8">
        <w:rPr>
          <w:rFonts w:ascii="Times New Roman" w:hAnsi="Times New Roman"/>
          <w:bCs/>
          <w:sz w:val="24"/>
          <w:szCs w:val="24"/>
        </w:rPr>
        <w:t>Where</w:t>
      </w:r>
      <w:r w:rsidRPr="00616FE8">
        <w:rPr>
          <w:rFonts w:ascii="Times New Roman" w:hAnsi="Times New Roman" w:hint="eastAsia"/>
          <w:bCs/>
          <w:sz w:val="24"/>
          <w:szCs w:val="24"/>
        </w:rPr>
        <w:t>,</w:t>
      </w:r>
      <w:r>
        <w:rPr>
          <w:rFonts w:ascii="Times New Roman" w:hAnsi="Times New Roman"/>
          <w:bCs/>
          <w:sz w:val="24"/>
          <w:szCs w:val="24"/>
        </w:rPr>
        <w:t xml:space="preserve"> </w:t>
      </w:r>
      <w:r w:rsidRPr="00616FE8">
        <w:rPr>
          <w:rFonts w:ascii="Times New Roman" w:hAnsi="Times New Roman"/>
          <w:bCs/>
          <w:i/>
          <w:iCs/>
          <w:sz w:val="24"/>
          <w:szCs w:val="24"/>
        </w:rPr>
        <w:t>HPIR</w:t>
      </w:r>
      <w:r w:rsidRPr="00616FE8">
        <w:rPr>
          <w:rFonts w:ascii="Times New Roman" w:hAnsi="Times New Roman" w:hint="eastAsia"/>
          <w:bCs/>
          <w:sz w:val="24"/>
          <w:szCs w:val="24"/>
        </w:rPr>
        <w:t xml:space="preserve"> is the </w:t>
      </w:r>
      <w:r>
        <w:rPr>
          <w:rFonts w:ascii="Times New Roman" w:hAnsi="Times New Roman"/>
          <w:bCs/>
          <w:sz w:val="24"/>
          <w:szCs w:val="24"/>
        </w:rPr>
        <w:t>h</w:t>
      </w:r>
      <w:r w:rsidRPr="00616FE8">
        <w:rPr>
          <w:rFonts w:ascii="Times New Roman" w:hAnsi="Times New Roman"/>
          <w:bCs/>
          <w:sz w:val="24"/>
          <w:szCs w:val="24"/>
        </w:rPr>
        <w:t xml:space="preserve">ousing </w:t>
      </w:r>
      <w:r>
        <w:rPr>
          <w:rFonts w:ascii="Times New Roman" w:hAnsi="Times New Roman"/>
          <w:bCs/>
          <w:sz w:val="24"/>
          <w:szCs w:val="24"/>
        </w:rPr>
        <w:t>p</w:t>
      </w:r>
      <w:r w:rsidRPr="00616FE8">
        <w:rPr>
          <w:rFonts w:ascii="Times New Roman" w:hAnsi="Times New Roman"/>
          <w:bCs/>
          <w:sz w:val="24"/>
          <w:szCs w:val="24"/>
        </w:rPr>
        <w:t xml:space="preserve">rice to </w:t>
      </w:r>
      <w:r>
        <w:rPr>
          <w:rFonts w:ascii="Times New Roman" w:hAnsi="Times New Roman"/>
          <w:bCs/>
          <w:sz w:val="24"/>
          <w:szCs w:val="24"/>
        </w:rPr>
        <w:t>i</w:t>
      </w:r>
      <w:r w:rsidRPr="00616FE8">
        <w:rPr>
          <w:rFonts w:ascii="Times New Roman" w:hAnsi="Times New Roman"/>
          <w:bCs/>
          <w:sz w:val="24"/>
          <w:szCs w:val="24"/>
        </w:rPr>
        <w:t xml:space="preserve">ncome </w:t>
      </w:r>
      <w:r>
        <w:rPr>
          <w:rFonts w:ascii="Times New Roman" w:hAnsi="Times New Roman"/>
          <w:bCs/>
          <w:sz w:val="24"/>
          <w:szCs w:val="24"/>
        </w:rPr>
        <w:t>r</w:t>
      </w:r>
      <w:r w:rsidRPr="00616FE8">
        <w:rPr>
          <w:rFonts w:ascii="Times New Roman" w:hAnsi="Times New Roman"/>
          <w:bCs/>
          <w:sz w:val="24"/>
          <w:szCs w:val="24"/>
        </w:rPr>
        <w:t>atio</w:t>
      </w:r>
      <w:r>
        <w:rPr>
          <w:rFonts w:ascii="Times New Roman" w:hAnsi="Times New Roman"/>
          <w:bCs/>
          <w:sz w:val="24"/>
          <w:szCs w:val="24"/>
        </w:rPr>
        <w:t xml:space="preserve">; </w:t>
      </w:r>
      <w:r w:rsidRPr="00616FE8">
        <w:rPr>
          <w:rFonts w:ascii="Times New Roman" w:hAnsi="Times New Roman"/>
          <w:bCs/>
          <w:i/>
          <w:iCs/>
          <w:sz w:val="24"/>
          <w:szCs w:val="24"/>
        </w:rPr>
        <w:t>m</w:t>
      </w:r>
      <w:r>
        <w:rPr>
          <w:rFonts w:ascii="Times New Roman" w:hAnsi="Times New Roman"/>
          <w:bCs/>
          <w:sz w:val="24"/>
          <w:szCs w:val="24"/>
        </w:rPr>
        <w:t xml:space="preserve"> is </w:t>
      </w:r>
      <w:r w:rsidRPr="00616FE8">
        <w:rPr>
          <w:rFonts w:ascii="Times New Roman" w:hAnsi="Times New Roman" w:hint="eastAsia"/>
          <w:bCs/>
          <w:sz w:val="24"/>
          <w:szCs w:val="24"/>
        </w:rPr>
        <w:t>the</w:t>
      </w:r>
      <w:r>
        <w:rPr>
          <w:rFonts w:ascii="Times New Roman" w:hAnsi="Times New Roman"/>
          <w:bCs/>
          <w:sz w:val="24"/>
          <w:szCs w:val="24"/>
        </w:rPr>
        <w:t xml:space="preserve"> p</w:t>
      </w:r>
      <w:r w:rsidRPr="00616FE8">
        <w:rPr>
          <w:rFonts w:ascii="Times New Roman" w:hAnsi="Times New Roman" w:hint="eastAsia"/>
          <w:bCs/>
          <w:sz w:val="24"/>
          <w:szCs w:val="24"/>
        </w:rPr>
        <w:t>rice per square meter of commercial housing</w:t>
      </w:r>
      <w:r>
        <w:rPr>
          <w:rFonts w:ascii="Times New Roman" w:hAnsi="Times New Roman"/>
          <w:bCs/>
          <w:sz w:val="24"/>
          <w:szCs w:val="24"/>
        </w:rPr>
        <w:t xml:space="preserve">; </w:t>
      </w:r>
      <w:r w:rsidRPr="00616FE8">
        <w:rPr>
          <w:rFonts w:ascii="Times New Roman" w:hAnsi="Times New Roman"/>
          <w:bCs/>
          <w:i/>
          <w:iCs/>
          <w:sz w:val="24"/>
          <w:szCs w:val="24"/>
        </w:rPr>
        <w:t>y</w:t>
      </w:r>
      <w:r>
        <w:rPr>
          <w:rFonts w:ascii="Times New Roman" w:hAnsi="Times New Roman"/>
          <w:bCs/>
          <w:i/>
          <w:iCs/>
          <w:sz w:val="24"/>
          <w:szCs w:val="24"/>
        </w:rPr>
        <w:t xml:space="preserve"> </w:t>
      </w:r>
      <w:r w:rsidRPr="00616FE8">
        <w:rPr>
          <w:rFonts w:ascii="Times New Roman" w:hAnsi="Times New Roman"/>
          <w:bCs/>
          <w:sz w:val="24"/>
          <w:szCs w:val="24"/>
        </w:rPr>
        <w:t>is the</w:t>
      </w:r>
      <w:r>
        <w:rPr>
          <w:rFonts w:ascii="Times New Roman" w:hAnsi="Times New Roman"/>
          <w:bCs/>
          <w:sz w:val="24"/>
          <w:szCs w:val="24"/>
        </w:rPr>
        <w:t xml:space="preserve"> r</w:t>
      </w:r>
      <w:r w:rsidRPr="00616FE8">
        <w:rPr>
          <w:rFonts w:ascii="Times New Roman" w:hAnsi="Times New Roman" w:hint="eastAsia"/>
          <w:bCs/>
          <w:sz w:val="24"/>
          <w:szCs w:val="24"/>
        </w:rPr>
        <w:t>esidential area</w:t>
      </w:r>
      <w:r>
        <w:rPr>
          <w:rFonts w:ascii="Times New Roman" w:hAnsi="Times New Roman" w:hint="eastAsia"/>
          <w:bCs/>
          <w:sz w:val="24"/>
          <w:szCs w:val="24"/>
        </w:rPr>
        <w:t>;</w:t>
      </w:r>
      <w:r>
        <w:rPr>
          <w:rFonts w:ascii="Times New Roman" w:hAnsi="Times New Roman"/>
          <w:bCs/>
          <w:sz w:val="24"/>
          <w:szCs w:val="24"/>
        </w:rPr>
        <w:t xml:space="preserve"> </w:t>
      </w:r>
      <w:r w:rsidRPr="00616FE8">
        <w:rPr>
          <w:rFonts w:ascii="Times New Roman" w:hAnsi="Times New Roman"/>
          <w:bCs/>
          <w:i/>
          <w:iCs/>
          <w:sz w:val="24"/>
          <w:szCs w:val="24"/>
        </w:rPr>
        <w:t>n</w:t>
      </w:r>
      <w:r>
        <w:rPr>
          <w:rFonts w:ascii="Times New Roman" w:hAnsi="Times New Roman"/>
          <w:bCs/>
          <w:i/>
          <w:iCs/>
          <w:sz w:val="24"/>
          <w:szCs w:val="24"/>
        </w:rPr>
        <w:t xml:space="preserve"> </w:t>
      </w:r>
      <w:r>
        <w:rPr>
          <w:rFonts w:ascii="Times New Roman" w:hAnsi="Times New Roman"/>
          <w:bCs/>
          <w:sz w:val="24"/>
          <w:szCs w:val="24"/>
        </w:rPr>
        <w:t xml:space="preserve">is the </w:t>
      </w:r>
      <w:r w:rsidRPr="00616FE8">
        <w:rPr>
          <w:rFonts w:ascii="Times New Roman" w:hAnsi="Times New Roman"/>
          <w:bCs/>
          <w:sz w:val="24"/>
          <w:szCs w:val="24"/>
        </w:rPr>
        <w:t>annual family income</w:t>
      </w:r>
      <w:r>
        <w:rPr>
          <w:rFonts w:ascii="Times New Roman" w:hAnsi="Times New Roman"/>
          <w:bCs/>
          <w:sz w:val="24"/>
          <w:szCs w:val="24"/>
        </w:rPr>
        <w:t>.</w:t>
      </w:r>
    </w:p>
    <w:p w:rsidR="007C5DAA" w:rsidRPr="0091084E" w:rsidRDefault="007C5DAA" w:rsidP="007C5DAA">
      <w:pPr>
        <w:spacing w:line="480" w:lineRule="auto"/>
        <w:ind w:firstLineChars="200" w:firstLine="480"/>
        <w:rPr>
          <w:rFonts w:ascii="Times New Roman" w:hAnsi="Times New Roman"/>
          <w:bCs/>
          <w:sz w:val="24"/>
          <w:szCs w:val="24"/>
        </w:rPr>
      </w:pPr>
      <w:r w:rsidRPr="0091084E">
        <w:rPr>
          <w:rFonts w:ascii="Times New Roman" w:hAnsi="Times New Roman"/>
          <w:bCs/>
          <w:snapToGrid w:val="0"/>
          <w:sz w:val="24"/>
          <w:szCs w:val="24"/>
        </w:rPr>
        <w:t>The HPIR of Shenzhen 2016 was 27.7 (Ranking List of Housing Price to Income Ratio in 35 Large and Medium Cities in China, 2015). At present, scholars mostly use the housing area of 60m</w:t>
      </w:r>
      <w:r w:rsidRPr="0091084E">
        <w:rPr>
          <w:rFonts w:ascii="Times New Roman" w:hAnsi="Times New Roman"/>
          <w:bCs/>
          <w:snapToGrid w:val="0"/>
          <w:sz w:val="24"/>
          <w:szCs w:val="24"/>
          <w:vertAlign w:val="superscript"/>
        </w:rPr>
        <w:t>2</w:t>
      </w:r>
      <w:r w:rsidRPr="0091084E">
        <w:rPr>
          <w:rFonts w:ascii="Times New Roman" w:hAnsi="Times New Roman"/>
          <w:bCs/>
          <w:snapToGrid w:val="0"/>
          <w:sz w:val="24"/>
          <w:szCs w:val="24"/>
        </w:rPr>
        <w:t xml:space="preserve"> to 100m</w:t>
      </w:r>
      <w:r w:rsidRPr="0091084E">
        <w:rPr>
          <w:rFonts w:ascii="Times New Roman" w:hAnsi="Times New Roman"/>
          <w:bCs/>
          <w:snapToGrid w:val="0"/>
          <w:sz w:val="24"/>
          <w:szCs w:val="24"/>
          <w:vertAlign w:val="superscript"/>
        </w:rPr>
        <w:t>2</w:t>
      </w:r>
      <w:r w:rsidRPr="0091084E">
        <w:rPr>
          <w:rFonts w:ascii="Times New Roman" w:hAnsi="Times New Roman"/>
          <w:bCs/>
          <w:snapToGrid w:val="0"/>
          <w:sz w:val="24"/>
          <w:szCs w:val="24"/>
        </w:rPr>
        <w:t xml:space="preserve"> as the research standard. Taking Shenzhen as an example, 80m</w:t>
      </w:r>
      <w:r w:rsidRPr="0091084E">
        <w:rPr>
          <w:rFonts w:ascii="Times New Roman" w:hAnsi="Times New Roman"/>
          <w:bCs/>
          <w:snapToGrid w:val="0"/>
          <w:sz w:val="24"/>
          <w:szCs w:val="24"/>
          <w:vertAlign w:val="superscript"/>
        </w:rPr>
        <w:t>2</w:t>
      </w:r>
      <w:r w:rsidRPr="0091084E">
        <w:rPr>
          <w:rFonts w:ascii="Times New Roman" w:hAnsi="Times New Roman"/>
          <w:bCs/>
          <w:snapToGrid w:val="0"/>
          <w:sz w:val="24"/>
          <w:szCs w:val="24"/>
        </w:rPr>
        <w:t xml:space="preserve"> can represent the commercial housing transactions on the market, while the size of economically affordable housing is controlled at around </w:t>
      </w:r>
      <w:r w:rsidRPr="0091084E">
        <w:rPr>
          <w:rFonts w:ascii="Times New Roman" w:hAnsi="Times New Roman"/>
          <w:bCs/>
          <w:sz w:val="24"/>
          <w:szCs w:val="24"/>
        </w:rPr>
        <w:t>60m</w:t>
      </w:r>
      <w:r w:rsidRPr="00AB0528">
        <w:rPr>
          <w:rFonts w:ascii="Times New Roman" w:hAnsi="Times New Roman"/>
          <w:bCs/>
          <w:sz w:val="24"/>
          <w:szCs w:val="24"/>
          <w:vertAlign w:val="superscript"/>
        </w:rPr>
        <w:t>2</w:t>
      </w:r>
      <w:r w:rsidRPr="0091084E">
        <w:rPr>
          <w:rFonts w:ascii="Times New Roman" w:hAnsi="Times New Roman"/>
          <w:bCs/>
          <w:snapToGrid w:val="0"/>
          <w:sz w:val="24"/>
          <w:szCs w:val="24"/>
        </w:rPr>
        <w:t>. Therefore, this article used 80m</w:t>
      </w:r>
      <w:r w:rsidRPr="00AB0528">
        <w:rPr>
          <w:rFonts w:ascii="Times New Roman" w:hAnsi="Times New Roman"/>
          <w:bCs/>
          <w:snapToGrid w:val="0"/>
          <w:sz w:val="24"/>
          <w:szCs w:val="24"/>
          <w:vertAlign w:val="superscript"/>
        </w:rPr>
        <w:t>2</w:t>
      </w:r>
      <w:r w:rsidRPr="0091084E">
        <w:rPr>
          <w:rFonts w:ascii="Times New Roman" w:hAnsi="Times New Roman"/>
          <w:bCs/>
          <w:snapToGrid w:val="0"/>
          <w:sz w:val="24"/>
          <w:szCs w:val="24"/>
        </w:rPr>
        <w:t xml:space="preserve"> as the housing standard for the middle-income and high-income groups and 60m</w:t>
      </w:r>
      <w:r w:rsidRPr="00AB0528">
        <w:rPr>
          <w:rFonts w:ascii="Times New Roman" w:hAnsi="Times New Roman"/>
          <w:bCs/>
          <w:snapToGrid w:val="0"/>
          <w:sz w:val="24"/>
          <w:szCs w:val="24"/>
          <w:vertAlign w:val="superscript"/>
        </w:rPr>
        <w:t>2</w:t>
      </w:r>
      <w:r w:rsidRPr="0091084E">
        <w:rPr>
          <w:rFonts w:ascii="Times New Roman" w:hAnsi="Times New Roman"/>
          <w:bCs/>
          <w:snapToGrid w:val="0"/>
          <w:sz w:val="24"/>
          <w:szCs w:val="24"/>
        </w:rPr>
        <w:t xml:space="preserve"> as the housing standard for low-income and lower-income groups. The research took the per capita disposable income of Shenzhen residents in 2016 as a </w:t>
      </w:r>
      <w:r w:rsidRPr="0091084E">
        <w:rPr>
          <w:rFonts w:ascii="Times New Roman" w:hAnsi="Times New Roman"/>
          <w:bCs/>
          <w:snapToGrid w:val="0"/>
          <w:sz w:val="24"/>
          <w:szCs w:val="24"/>
        </w:rPr>
        <w:lastRenderedPageBreak/>
        <w:t xml:space="preserve">reference standard of </w:t>
      </w:r>
      <w:r>
        <w:rPr>
          <w:rFonts w:ascii="Times New Roman" w:hAnsi="Times New Roman"/>
          <w:bCs/>
          <w:snapToGrid w:val="0"/>
          <w:sz w:val="24"/>
          <w:szCs w:val="24"/>
        </w:rPr>
        <w:t>7509 USD</w:t>
      </w:r>
      <w:r w:rsidRPr="0091084E">
        <w:rPr>
          <w:rFonts w:ascii="Times New Roman" w:hAnsi="Times New Roman"/>
          <w:bCs/>
          <w:snapToGrid w:val="0"/>
          <w:sz w:val="24"/>
          <w:szCs w:val="24"/>
        </w:rPr>
        <w:t xml:space="preserve"> (2 household</w:t>
      </w:r>
      <w:r w:rsidRPr="0091084E">
        <w:rPr>
          <w:rFonts w:ascii="Times New Roman" w:hAnsi="Times New Roman" w:hint="eastAsia"/>
          <w:bCs/>
          <w:snapToGrid w:val="0"/>
          <w:sz w:val="24"/>
          <w:szCs w:val="24"/>
        </w:rPr>
        <w:t>s</w:t>
      </w:r>
      <w:r w:rsidRPr="0091084E">
        <w:rPr>
          <w:rFonts w:ascii="Times New Roman" w:hAnsi="Times New Roman"/>
          <w:bCs/>
          <w:snapToGrid w:val="0"/>
          <w:sz w:val="24"/>
          <w:szCs w:val="24"/>
        </w:rPr>
        <w:t xml:space="preserve"> per family) (S</w:t>
      </w:r>
      <w:r w:rsidRPr="0091084E">
        <w:rPr>
          <w:rFonts w:ascii="Times New Roman" w:hAnsi="Times New Roman" w:hint="eastAsia"/>
          <w:bCs/>
          <w:snapToGrid w:val="0"/>
          <w:sz w:val="24"/>
          <w:szCs w:val="24"/>
        </w:rPr>
        <w:t>urvey</w:t>
      </w:r>
      <w:r w:rsidRPr="0091084E">
        <w:rPr>
          <w:rFonts w:ascii="Times New Roman" w:hAnsi="Times New Roman"/>
          <w:bCs/>
          <w:snapToGrid w:val="0"/>
          <w:sz w:val="24"/>
          <w:szCs w:val="24"/>
        </w:rPr>
        <w:t xml:space="preserve"> office of the National Bureau of Statistics in Shenzhen, 2015). The high-income class was those whose income is 2.5 times or more than the average level, and the middle-income class were those whose income is between the average level and 2.5 times, and the low-income class was those whose income is 50% of the average level to the average level, and the lower-income class was those whose income is less than 50% of the average level</w:t>
      </w:r>
      <w:r>
        <w:rPr>
          <w:rFonts w:ascii="Times New Roman" w:hAnsi="Times New Roman"/>
          <w:bCs/>
          <w:snapToGrid w:val="0"/>
          <w:sz w:val="24"/>
          <w:szCs w:val="24"/>
        </w:rPr>
        <w:t xml:space="preserve"> [</w:t>
      </w:r>
      <w:r w:rsidR="00B54844">
        <w:rPr>
          <w:rFonts w:ascii="Times New Roman" w:hAnsi="Times New Roman"/>
          <w:bCs/>
          <w:snapToGrid w:val="0"/>
          <w:sz w:val="24"/>
          <w:szCs w:val="24"/>
        </w:rPr>
        <w:t>2</w:t>
      </w:r>
      <w:r>
        <w:rPr>
          <w:rFonts w:ascii="Times New Roman" w:hAnsi="Times New Roman"/>
          <w:bCs/>
          <w:snapToGrid w:val="0"/>
          <w:sz w:val="24"/>
          <w:szCs w:val="24"/>
        </w:rPr>
        <w:t>]</w:t>
      </w:r>
      <w:r w:rsidRPr="0091084E">
        <w:rPr>
          <w:rFonts w:ascii="Times New Roman" w:hAnsi="Times New Roman"/>
          <w:bCs/>
          <w:snapToGrid w:val="0"/>
          <w:sz w:val="24"/>
          <w:szCs w:val="24"/>
        </w:rPr>
        <w:t>.</w:t>
      </w:r>
      <w:r w:rsidRPr="0091084E">
        <w:rPr>
          <w:rFonts w:ascii="Times New Roman" w:hAnsi="Times New Roman" w:hint="eastAsia"/>
          <w:bCs/>
          <w:snapToGrid w:val="0"/>
          <w:sz w:val="24"/>
          <w:szCs w:val="24"/>
        </w:rPr>
        <w:t xml:space="preserve"> </w:t>
      </w:r>
      <w:r w:rsidRPr="0091084E">
        <w:rPr>
          <w:rFonts w:ascii="Times New Roman" w:hAnsi="Times New Roman"/>
          <w:bCs/>
          <w:snapToGrid w:val="0"/>
          <w:sz w:val="24"/>
          <w:szCs w:val="24"/>
        </w:rPr>
        <w:t xml:space="preserve">It </w:t>
      </w:r>
      <w:r w:rsidRPr="0091084E">
        <w:rPr>
          <w:rFonts w:ascii="Times New Roman" w:hAnsi="Times New Roman"/>
          <w:bCs/>
          <w:sz w:val="24"/>
          <w:szCs w:val="24"/>
        </w:rPr>
        <w:t xml:space="preserve">can be seen that the annual family income of various social classes in Shenzhen. The per capita income of the high-income class was </w:t>
      </w:r>
      <w:r>
        <w:rPr>
          <w:rFonts w:ascii="Times New Roman" w:hAnsi="Times New Roman"/>
          <w:bCs/>
          <w:sz w:val="24"/>
          <w:szCs w:val="24"/>
        </w:rPr>
        <w:t>37544</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above, and the per capita income of the middle-income class was between </w:t>
      </w:r>
      <w:r>
        <w:rPr>
          <w:rFonts w:ascii="Times New Roman" w:hAnsi="Times New Roman"/>
          <w:bCs/>
          <w:sz w:val="24"/>
          <w:szCs w:val="24"/>
        </w:rPr>
        <w:t>15018</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w:t>
      </w:r>
      <w:r>
        <w:rPr>
          <w:rFonts w:ascii="Times New Roman" w:hAnsi="Times New Roman"/>
          <w:bCs/>
          <w:sz w:val="24"/>
          <w:szCs w:val="24"/>
        </w:rPr>
        <w:t>37544</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the per capita income of the low-income class was between </w:t>
      </w:r>
      <w:r>
        <w:rPr>
          <w:rFonts w:ascii="Times New Roman" w:hAnsi="Times New Roman"/>
          <w:bCs/>
          <w:sz w:val="24"/>
          <w:szCs w:val="24"/>
        </w:rPr>
        <w:t>7509</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w:t>
      </w:r>
      <w:r>
        <w:rPr>
          <w:rFonts w:ascii="Times New Roman" w:hAnsi="Times New Roman"/>
          <w:bCs/>
          <w:sz w:val="24"/>
          <w:szCs w:val="24"/>
        </w:rPr>
        <w:t>15018</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the per capita income of the lower-income class was </w:t>
      </w:r>
      <w:r>
        <w:rPr>
          <w:rFonts w:ascii="Times New Roman" w:hAnsi="Times New Roman"/>
          <w:bCs/>
          <w:sz w:val="24"/>
          <w:szCs w:val="24"/>
        </w:rPr>
        <w:t>7509</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 xml:space="preserve"> and below.</w:t>
      </w:r>
      <w:r w:rsidRPr="0091084E">
        <w:rPr>
          <w:rFonts w:ascii="Times New Roman" w:hAnsi="Times New Roman" w:hint="eastAsia"/>
          <w:bCs/>
          <w:sz w:val="24"/>
          <w:szCs w:val="24"/>
        </w:rPr>
        <w:t xml:space="preserve"> </w:t>
      </w:r>
      <w:r w:rsidRPr="0091084E">
        <w:rPr>
          <w:rFonts w:ascii="Times New Roman" w:hAnsi="Times New Roman"/>
          <w:bCs/>
          <w:sz w:val="24"/>
          <w:szCs w:val="24"/>
        </w:rPr>
        <w:t>Reversely, we can see that in 2016, the affordable housing prices of households of various social classes (based on 80m</w:t>
      </w:r>
      <w:r w:rsidRPr="00AB0528">
        <w:rPr>
          <w:rFonts w:ascii="Times New Roman" w:hAnsi="Times New Roman"/>
          <w:bCs/>
          <w:sz w:val="24"/>
          <w:szCs w:val="24"/>
          <w:vertAlign w:val="superscript"/>
        </w:rPr>
        <w:t>2</w:t>
      </w:r>
      <w:r w:rsidRPr="0091084E">
        <w:rPr>
          <w:rFonts w:ascii="Times New Roman" w:hAnsi="Times New Roman"/>
          <w:bCs/>
          <w:sz w:val="24"/>
          <w:szCs w:val="24"/>
        </w:rPr>
        <w:t xml:space="preserve"> for high-income and middle-income households, 60m</w:t>
      </w:r>
      <w:r w:rsidRPr="00AB0528">
        <w:rPr>
          <w:rFonts w:ascii="Times New Roman" w:hAnsi="Times New Roman"/>
          <w:bCs/>
          <w:sz w:val="24"/>
          <w:szCs w:val="24"/>
          <w:vertAlign w:val="superscript"/>
        </w:rPr>
        <w:t>2</w:t>
      </w:r>
      <w:r w:rsidRPr="0091084E">
        <w:rPr>
          <w:rFonts w:ascii="Times New Roman" w:hAnsi="Times New Roman"/>
          <w:bCs/>
          <w:sz w:val="24"/>
          <w:szCs w:val="24"/>
        </w:rPr>
        <w:t xml:space="preserve"> for low-income and lower-income households): High-income families have the ability to purchase commercial houses or villas with a house price of </w:t>
      </w:r>
      <w:r>
        <w:rPr>
          <w:rFonts w:ascii="Times New Roman" w:hAnsi="Times New Roman"/>
          <w:bCs/>
          <w:sz w:val="24"/>
          <w:szCs w:val="24"/>
        </w:rPr>
        <w:t>12953</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/m</w:t>
      </w:r>
      <w:r w:rsidRPr="00AB0528">
        <w:rPr>
          <w:rFonts w:ascii="Times New Roman" w:hAnsi="Times New Roman"/>
          <w:bCs/>
          <w:sz w:val="24"/>
          <w:szCs w:val="24"/>
          <w:vertAlign w:val="superscript"/>
        </w:rPr>
        <w:t>2</w:t>
      </w:r>
      <w:r w:rsidRPr="0091084E">
        <w:rPr>
          <w:rFonts w:ascii="Times New Roman" w:hAnsi="Times New Roman"/>
          <w:bCs/>
          <w:sz w:val="24"/>
          <w:szCs w:val="24"/>
        </w:rPr>
        <w:t xml:space="preserve"> or more;</w:t>
      </w:r>
      <w:r w:rsidRPr="0091084E">
        <w:rPr>
          <w:rFonts w:ascii="Times New Roman" w:hAnsi="Times New Roman" w:hint="eastAsia"/>
          <w:bCs/>
          <w:sz w:val="24"/>
          <w:szCs w:val="24"/>
        </w:rPr>
        <w:t xml:space="preserve"> </w:t>
      </w:r>
      <w:r w:rsidRPr="0091084E">
        <w:rPr>
          <w:rFonts w:ascii="Times New Roman" w:hAnsi="Times New Roman"/>
          <w:bCs/>
          <w:sz w:val="24"/>
          <w:szCs w:val="24"/>
        </w:rPr>
        <w:t xml:space="preserve">the highest affordable house price for the middle-income families is </w:t>
      </w:r>
      <w:r>
        <w:rPr>
          <w:rFonts w:ascii="Times New Roman" w:hAnsi="Times New Roman"/>
          <w:bCs/>
          <w:sz w:val="24"/>
          <w:szCs w:val="24"/>
        </w:rPr>
        <w:t>14953</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/m</w:t>
      </w:r>
      <w:r w:rsidRPr="00AB0528">
        <w:rPr>
          <w:rFonts w:ascii="Times New Roman" w:hAnsi="Times New Roman"/>
          <w:bCs/>
          <w:sz w:val="24"/>
          <w:szCs w:val="24"/>
          <w:vertAlign w:val="superscript"/>
        </w:rPr>
        <w:t>2</w:t>
      </w:r>
      <w:r w:rsidRPr="0091084E">
        <w:rPr>
          <w:rFonts w:ascii="Times New Roman" w:hAnsi="Times New Roman"/>
          <w:bCs/>
          <w:sz w:val="24"/>
          <w:szCs w:val="24"/>
        </w:rPr>
        <w:t xml:space="preserve">; the highest affordable house price for low-income families is </w:t>
      </w:r>
      <w:r>
        <w:rPr>
          <w:rFonts w:ascii="Times New Roman" w:hAnsi="Times New Roman"/>
          <w:bCs/>
          <w:sz w:val="24"/>
          <w:szCs w:val="24"/>
        </w:rPr>
        <w:t>6924</w:t>
      </w:r>
      <w:r w:rsidRPr="0091084E">
        <w:rPr>
          <w:rFonts w:ascii="Times New Roman" w:hAnsi="Times New Roman"/>
          <w:bCs/>
          <w:sz w:val="24"/>
          <w:szCs w:val="24"/>
        </w:rPr>
        <w:t xml:space="preserve"> </w:t>
      </w:r>
      <w:r>
        <w:rPr>
          <w:rFonts w:ascii="Times New Roman" w:hAnsi="Times New Roman"/>
          <w:bCs/>
          <w:sz w:val="24"/>
          <w:szCs w:val="24"/>
        </w:rPr>
        <w:t>USD</w:t>
      </w:r>
      <w:r w:rsidRPr="0091084E">
        <w:rPr>
          <w:rFonts w:ascii="Times New Roman" w:hAnsi="Times New Roman"/>
          <w:bCs/>
          <w:sz w:val="24"/>
          <w:szCs w:val="24"/>
        </w:rPr>
        <w:t>/m</w:t>
      </w:r>
      <w:r w:rsidRPr="00AB0528">
        <w:rPr>
          <w:rFonts w:ascii="Times New Roman" w:hAnsi="Times New Roman"/>
          <w:bCs/>
          <w:sz w:val="24"/>
          <w:szCs w:val="24"/>
          <w:vertAlign w:val="superscript"/>
        </w:rPr>
        <w:t>2</w:t>
      </w:r>
      <w:r w:rsidRPr="0091084E">
        <w:rPr>
          <w:rFonts w:ascii="Times New Roman" w:hAnsi="Times New Roman"/>
          <w:bCs/>
          <w:sz w:val="24"/>
          <w:szCs w:val="24"/>
        </w:rPr>
        <w:t>; while lower-income families cannot afford to buy houses, and most of them live in urban villages and other affordable housing.</w:t>
      </w:r>
    </w:p>
    <w:p w:rsidR="007C5DAA" w:rsidRDefault="007C5DAA" w:rsidP="007C5DAA">
      <w:pPr>
        <w:spacing w:line="480" w:lineRule="auto"/>
        <w:ind w:firstLineChars="200" w:firstLine="480"/>
        <w:rPr>
          <w:rFonts w:ascii="Times New Roman" w:hAnsi="Times New Roman"/>
          <w:bCs/>
          <w:sz w:val="24"/>
          <w:szCs w:val="24"/>
        </w:rPr>
      </w:pPr>
      <w:r w:rsidRPr="0091084E">
        <w:rPr>
          <w:rFonts w:ascii="Times New Roman" w:hAnsi="Times New Roman"/>
          <w:bCs/>
          <w:sz w:val="24"/>
          <w:szCs w:val="24"/>
        </w:rPr>
        <w:t xml:space="preserve">The Shenzhen housing price </w:t>
      </w:r>
      <w:r w:rsidRPr="0091084E">
        <w:rPr>
          <w:rFonts w:ascii="Times New Roman" w:hAnsi="Times New Roman" w:hint="eastAsia"/>
          <w:bCs/>
          <w:sz w:val="24"/>
          <w:szCs w:val="24"/>
        </w:rPr>
        <w:t>data</w:t>
      </w:r>
      <w:r w:rsidRPr="0091084E">
        <w:rPr>
          <w:rFonts w:ascii="Times New Roman" w:hAnsi="Times New Roman"/>
          <w:bCs/>
          <w:sz w:val="24"/>
          <w:szCs w:val="24"/>
        </w:rPr>
        <w:t xml:space="preserve"> used in this article comes from the Home Link database</w:t>
      </w:r>
      <w:r w:rsidRPr="0091084E">
        <w:rPr>
          <w:rFonts w:ascii="Times New Roman" w:hAnsi="Times New Roman" w:hint="eastAsia"/>
          <w:bCs/>
          <w:sz w:val="24"/>
          <w:szCs w:val="24"/>
        </w:rPr>
        <w:t>,</w:t>
      </w:r>
      <w:r w:rsidRPr="0091084E">
        <w:rPr>
          <w:rFonts w:ascii="Times New Roman" w:hAnsi="Times New Roman"/>
          <w:bCs/>
          <w:sz w:val="24"/>
          <w:szCs w:val="24"/>
        </w:rPr>
        <w:t xml:space="preserve"> which is the largest housing trading platform in Shenzhen - </w:t>
      </w:r>
      <w:r w:rsidRPr="0091084E">
        <w:rPr>
          <w:rFonts w:ascii="Times New Roman" w:hAnsi="Times New Roman" w:hint="eastAsia"/>
          <w:bCs/>
          <w:sz w:val="24"/>
          <w:szCs w:val="24"/>
        </w:rPr>
        <w:t>u</w:t>
      </w:r>
      <w:r w:rsidRPr="0091084E">
        <w:rPr>
          <w:rFonts w:ascii="Times New Roman" w:hAnsi="Times New Roman"/>
          <w:bCs/>
          <w:sz w:val="24"/>
          <w:szCs w:val="24"/>
        </w:rPr>
        <w:t xml:space="preserve">sing calculated affordable housing price, combined with the real housing prices of the corresponding </w:t>
      </w:r>
      <w:r w:rsidRPr="0091084E">
        <w:rPr>
          <w:rFonts w:ascii="Times New Roman" w:hAnsi="Times New Roman"/>
          <w:bCs/>
          <w:sz w:val="24"/>
          <w:szCs w:val="24"/>
        </w:rPr>
        <w:lastRenderedPageBreak/>
        <w:t>residential areas in the PA data, to determine the social class of the participants corresponding to each group of PA data.</w:t>
      </w:r>
    </w:p>
    <w:p w:rsidR="00B54844" w:rsidRDefault="00B54844" w:rsidP="007C5DAA">
      <w:pPr>
        <w:spacing w:line="480" w:lineRule="auto"/>
        <w:ind w:firstLineChars="200" w:firstLine="480"/>
        <w:rPr>
          <w:rFonts w:ascii="Times New Roman" w:hAnsi="Times New Roman"/>
          <w:bCs/>
          <w:sz w:val="24"/>
          <w:szCs w:val="24"/>
        </w:rPr>
      </w:pPr>
    </w:p>
    <w:p w:rsidR="00B54844" w:rsidRPr="00B54844" w:rsidRDefault="00B54844" w:rsidP="00B54844">
      <w:pPr>
        <w:spacing w:line="480" w:lineRule="auto"/>
        <w:outlineLvl w:val="0"/>
        <w:rPr>
          <w:rFonts w:ascii="Times New Roman" w:eastAsia="宋体" w:hAnsi="Times New Roman" w:cs="Times New Roman"/>
          <w:b/>
          <w:bCs/>
          <w:sz w:val="28"/>
          <w:szCs w:val="28"/>
        </w:rPr>
      </w:pPr>
      <w:r w:rsidRPr="00B54844">
        <w:rPr>
          <w:rFonts w:ascii="Times New Roman" w:eastAsia="宋体" w:hAnsi="Times New Roman" w:cs="Times New Roman"/>
          <w:b/>
          <w:bCs/>
          <w:sz w:val="28"/>
          <w:szCs w:val="28"/>
        </w:rPr>
        <w:t>R</w:t>
      </w:r>
      <w:r w:rsidRPr="00B54844">
        <w:rPr>
          <w:rFonts w:ascii="Times New Roman" w:eastAsia="宋体" w:hAnsi="Times New Roman" w:cs="Times New Roman" w:hint="eastAsia"/>
          <w:b/>
          <w:bCs/>
          <w:sz w:val="28"/>
          <w:szCs w:val="28"/>
        </w:rPr>
        <w:t>eference</w:t>
      </w:r>
    </w:p>
    <w:p w:rsidR="00B54844" w:rsidRPr="00B54844" w:rsidRDefault="00B54844" w:rsidP="00B54844">
      <w:pPr>
        <w:spacing w:line="480" w:lineRule="auto"/>
        <w:rPr>
          <w:rFonts w:ascii="Times New Roman" w:hAnsi="Times New Roman" w:hint="eastAsia"/>
          <w:color w:val="000000"/>
          <w:sz w:val="24"/>
          <w:szCs w:val="24"/>
        </w:rPr>
      </w:pPr>
      <w:r w:rsidRPr="00624406">
        <w:rPr>
          <w:rFonts w:ascii="Times New Roman" w:hAnsi="Times New Roman"/>
          <w:color w:val="000000"/>
          <w:sz w:val="24"/>
          <w:szCs w:val="24"/>
        </w:rPr>
        <w:t>[</w:t>
      </w:r>
      <w:r>
        <w:rPr>
          <w:rFonts w:ascii="Times New Roman" w:hAnsi="Times New Roman"/>
          <w:color w:val="000000"/>
          <w:sz w:val="24"/>
          <w:szCs w:val="24"/>
        </w:rPr>
        <w:t>1</w:t>
      </w:r>
      <w:r w:rsidRPr="00624406">
        <w:rPr>
          <w:rFonts w:ascii="Times New Roman" w:hAnsi="Times New Roman"/>
          <w:color w:val="000000"/>
          <w:sz w:val="24"/>
          <w:szCs w:val="24"/>
        </w:rPr>
        <w:t>] R. Ewing, R. Cervero, Travel and the built environment: A meta-analysis, Journal of the American planning association 76(3) (2010) 265-294.</w:t>
      </w:r>
      <w:r>
        <w:rPr>
          <w:rFonts w:ascii="Times New Roman" w:hAnsi="Times New Roman"/>
          <w:noProof/>
          <w:sz w:val="24"/>
        </w:rPr>
        <w:fldChar w:fldCharType="begin"/>
      </w:r>
      <w:r>
        <w:rPr>
          <w:rFonts w:ascii="Times New Roman" w:hAnsi="Times New Roman"/>
          <w:noProof/>
          <w:sz w:val="24"/>
        </w:rPr>
        <w:instrText xml:space="preserve"> ADDIN EN.REFLIST </w:instrText>
      </w:r>
      <w:r>
        <w:rPr>
          <w:rFonts w:ascii="Times New Roman" w:hAnsi="Times New Roman"/>
          <w:noProof/>
          <w:sz w:val="24"/>
        </w:rPr>
        <w:fldChar w:fldCharType="end"/>
      </w:r>
    </w:p>
    <w:p w:rsidR="00B54844" w:rsidRPr="00624406" w:rsidRDefault="00B54844" w:rsidP="00B54844">
      <w:pPr>
        <w:spacing w:line="480" w:lineRule="auto"/>
        <w:rPr>
          <w:rFonts w:ascii="Times New Roman" w:hAnsi="Times New Roman"/>
          <w:color w:val="000000"/>
          <w:sz w:val="24"/>
          <w:szCs w:val="24"/>
        </w:rPr>
      </w:pPr>
      <w:r w:rsidRPr="00624406">
        <w:rPr>
          <w:rFonts w:ascii="Times New Roman" w:hAnsi="Times New Roman"/>
          <w:color w:val="000000"/>
          <w:sz w:val="24"/>
          <w:szCs w:val="24"/>
        </w:rPr>
        <w:t>[</w:t>
      </w:r>
      <w:r>
        <w:rPr>
          <w:rFonts w:ascii="Times New Roman" w:hAnsi="Times New Roman"/>
          <w:color w:val="000000"/>
          <w:sz w:val="24"/>
          <w:szCs w:val="24"/>
        </w:rPr>
        <w:t>2</w:t>
      </w:r>
      <w:r w:rsidRPr="00624406">
        <w:rPr>
          <w:rFonts w:ascii="Times New Roman" w:hAnsi="Times New Roman"/>
          <w:color w:val="000000"/>
          <w:sz w:val="24"/>
          <w:szCs w:val="24"/>
        </w:rPr>
        <w:t>] P. Li, Y. Zhan</w:t>
      </w:r>
      <w:bookmarkStart w:id="0" w:name="_GoBack"/>
      <w:bookmarkEnd w:id="0"/>
      <w:r w:rsidRPr="00624406">
        <w:rPr>
          <w:rFonts w:ascii="Times New Roman" w:hAnsi="Times New Roman"/>
          <w:color w:val="000000"/>
          <w:sz w:val="24"/>
          <w:szCs w:val="24"/>
        </w:rPr>
        <w:t>g, The size of the Chinese middle class, identity and social attitudes, Society 28(2) (2008) 1-19.</w:t>
      </w:r>
    </w:p>
    <w:p w:rsidR="00B54844" w:rsidRPr="00B54844" w:rsidRDefault="00B54844" w:rsidP="00B54844">
      <w:pPr>
        <w:spacing w:line="480" w:lineRule="auto"/>
        <w:rPr>
          <w:rFonts w:ascii="Times New Roman" w:hAnsi="Times New Roman" w:hint="eastAsia"/>
          <w:bCs/>
          <w:sz w:val="24"/>
          <w:szCs w:val="24"/>
        </w:rPr>
      </w:pPr>
    </w:p>
    <w:sectPr w:rsidR="00B54844" w:rsidRPr="00B54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C0E" w:rsidRDefault="00D55C0E" w:rsidP="007C5DAA">
      <w:r>
        <w:separator/>
      </w:r>
    </w:p>
  </w:endnote>
  <w:endnote w:type="continuationSeparator" w:id="0">
    <w:p w:rsidR="00D55C0E" w:rsidRDefault="00D55C0E" w:rsidP="007C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C0E" w:rsidRDefault="00D55C0E" w:rsidP="007C5DAA">
      <w:r>
        <w:separator/>
      </w:r>
    </w:p>
  </w:footnote>
  <w:footnote w:type="continuationSeparator" w:id="0">
    <w:p w:rsidR="00D55C0E" w:rsidRDefault="00D55C0E" w:rsidP="007C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F4"/>
    <w:rsid w:val="00075FE4"/>
    <w:rsid w:val="00221D12"/>
    <w:rsid w:val="00330271"/>
    <w:rsid w:val="00422B42"/>
    <w:rsid w:val="00445960"/>
    <w:rsid w:val="00450908"/>
    <w:rsid w:val="004D2B85"/>
    <w:rsid w:val="004E0A83"/>
    <w:rsid w:val="005B12FA"/>
    <w:rsid w:val="005C5CAA"/>
    <w:rsid w:val="006228F4"/>
    <w:rsid w:val="006D7BC5"/>
    <w:rsid w:val="00714DA0"/>
    <w:rsid w:val="007C5DAA"/>
    <w:rsid w:val="00961A24"/>
    <w:rsid w:val="009A5538"/>
    <w:rsid w:val="009E345E"/>
    <w:rsid w:val="00A516B8"/>
    <w:rsid w:val="00B3230A"/>
    <w:rsid w:val="00B3697A"/>
    <w:rsid w:val="00B54844"/>
    <w:rsid w:val="00B83613"/>
    <w:rsid w:val="00D55C0E"/>
    <w:rsid w:val="00E849FA"/>
    <w:rsid w:val="00FF09A8"/>
    <w:rsid w:val="00FF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08A0C"/>
  <w15:chartTrackingRefBased/>
  <w15:docId w15:val="{4CA44E8A-DA3B-4BB2-B30A-71349F7D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D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5DAA"/>
    <w:rPr>
      <w:sz w:val="18"/>
      <w:szCs w:val="18"/>
    </w:rPr>
  </w:style>
  <w:style w:type="paragraph" w:styleId="a5">
    <w:name w:val="footer"/>
    <w:basedOn w:val="a"/>
    <w:link w:val="a6"/>
    <w:uiPriority w:val="99"/>
    <w:unhideWhenUsed/>
    <w:rsid w:val="007C5DAA"/>
    <w:pPr>
      <w:tabs>
        <w:tab w:val="center" w:pos="4153"/>
        <w:tab w:val="right" w:pos="8306"/>
      </w:tabs>
      <w:snapToGrid w:val="0"/>
      <w:jc w:val="left"/>
    </w:pPr>
    <w:rPr>
      <w:sz w:val="18"/>
      <w:szCs w:val="18"/>
    </w:rPr>
  </w:style>
  <w:style w:type="character" w:customStyle="1" w:styleId="a6">
    <w:name w:val="页脚 字符"/>
    <w:basedOn w:val="a0"/>
    <w:link w:val="a5"/>
    <w:uiPriority w:val="99"/>
    <w:rsid w:val="007C5DAA"/>
    <w:rPr>
      <w:sz w:val="18"/>
      <w:szCs w:val="18"/>
    </w:rPr>
  </w:style>
  <w:style w:type="character" w:styleId="a7">
    <w:name w:val="Hyperlink"/>
    <w:uiPriority w:val="99"/>
    <w:unhideWhenUsed/>
    <w:rsid w:val="007C5D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lzhou@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uk@hit.edu.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tiplano.39@163.com" TargetMode="External"/><Relationship Id="rId11" Type="http://schemas.openxmlformats.org/officeDocument/2006/relationships/oleObject" Target="embeddings/oleObject1.bin"/><Relationship Id="rId5" Type="http://schemas.openxmlformats.org/officeDocument/2006/relationships/endnotes" Target="endnotes.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mailto:xiehongkun@gemda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altiplano</dc:creator>
  <cp:keywords/>
  <dc:description/>
  <cp:lastModifiedBy>altiplano</cp:lastModifiedBy>
  <cp:revision>4</cp:revision>
  <dcterms:created xsi:type="dcterms:W3CDTF">2021-01-22T04:08:00Z</dcterms:created>
  <dcterms:modified xsi:type="dcterms:W3CDTF">2021-01-22T05:08:00Z</dcterms:modified>
</cp:coreProperties>
</file>