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41" w:rightFromText="141" w:vertAnchor="text" w:horzAnchor="page" w:tblpX="453" w:tblpY="-663"/>
        <w:tblW w:w="14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555"/>
        <w:gridCol w:w="1842"/>
        <w:gridCol w:w="1985"/>
        <w:gridCol w:w="1984"/>
        <w:gridCol w:w="1843"/>
        <w:gridCol w:w="1985"/>
        <w:gridCol w:w="1984"/>
      </w:tblGrid>
      <w:tr w:rsidR="000A117B" w:rsidRPr="00093490" w:rsidTr="001B3B5D">
        <w:trPr>
          <w:trHeight w:val="20"/>
        </w:trPr>
        <w:tc>
          <w:tcPr>
            <w:tcW w:w="14312" w:type="dxa"/>
            <w:gridSpan w:val="8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Table 1</w:t>
            </w:r>
            <w:r w:rsidRPr="00093490">
              <w:rPr>
                <w:sz w:val="16"/>
                <w:szCs w:val="16"/>
              </w:rPr>
              <w:t xml:space="preserve"> Association of HLA-G allele sharing with HPV concordance among 134 father-child dyads of the Finnish Family HPV study. The father-child dyads with both parties being negative for these specific alleles served as a reference in high resolution HLA-allele groups. In low resolution groups, discordant father-child dyads served as a reference.</w:t>
            </w:r>
          </w:p>
        </w:tc>
      </w:tr>
      <w:tr w:rsidR="000A117B" w:rsidRPr="00093490" w:rsidTr="001B3B5D">
        <w:trPr>
          <w:trHeight w:val="20"/>
        </w:trPr>
        <w:tc>
          <w:tcPr>
            <w:tcW w:w="1431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r w:rsidRPr="00093490">
              <w:rPr>
                <w:b/>
                <w:bCs/>
                <w:sz w:val="18"/>
                <w:szCs w:val="18"/>
              </w:rPr>
              <w:t>Children Oral HPV</w:t>
            </w:r>
            <w:r w:rsidRPr="00093490">
              <w:rPr>
                <w:b/>
                <w:bCs/>
                <w:sz w:val="18"/>
                <w:szCs w:val="18"/>
                <w:vertAlign w:val="superscript"/>
              </w:rPr>
              <w:t>b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8"/>
                <w:szCs w:val="18"/>
              </w:rPr>
              <w:t>OR (95 % CI)</w:t>
            </w:r>
          </w:p>
        </w:tc>
      </w:tr>
      <w:tr w:rsidR="000A117B" w:rsidRPr="00093490" w:rsidTr="001B3B5D">
        <w:trPr>
          <w:trHeight w:val="20"/>
        </w:trPr>
        <w:tc>
          <w:tcPr>
            <w:tcW w:w="1134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555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vertAlign w:val="superscript"/>
              </w:rPr>
            </w:pPr>
            <w:r w:rsidRPr="00093490">
              <w:rPr>
                <w:sz w:val="16"/>
                <w:szCs w:val="16"/>
              </w:rPr>
              <w:t>Father semen</w:t>
            </w:r>
            <w:r w:rsidRPr="00093490">
              <w:rPr>
                <w:sz w:val="16"/>
                <w:szCs w:val="16"/>
                <w:vertAlign w:val="superscript"/>
              </w:rPr>
              <w:t>b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–––––––––––––––––––––––––––––––––––––––––––––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vertAlign w:val="superscript"/>
              </w:rPr>
            </w:pPr>
            <w:r w:rsidRPr="00093490">
              <w:rPr>
                <w:sz w:val="16"/>
                <w:szCs w:val="16"/>
              </w:rPr>
              <w:t>Father urethral</w:t>
            </w:r>
            <w:r w:rsidRPr="00093490">
              <w:rPr>
                <w:sz w:val="16"/>
                <w:szCs w:val="16"/>
                <w:vertAlign w:val="superscript"/>
              </w:rPr>
              <w:t>b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–––––––––––––––––––––––––––––––––––––––––––––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vertAlign w:val="superscript"/>
              </w:rPr>
            </w:pPr>
            <w:r w:rsidRPr="00093490">
              <w:rPr>
                <w:sz w:val="16"/>
                <w:szCs w:val="16"/>
              </w:rPr>
              <w:t>Father oral</w:t>
            </w:r>
            <w:r w:rsidRPr="00093490">
              <w:rPr>
                <w:sz w:val="16"/>
                <w:szCs w:val="16"/>
                <w:vertAlign w:val="superscript"/>
              </w:rPr>
              <w:t>b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–––––––––––––––––––––––––––––––––––––––––––––––</w:t>
            </w:r>
          </w:p>
        </w:tc>
      </w:tr>
      <w:tr w:rsidR="000A117B" w:rsidRPr="00093490" w:rsidTr="001B3B5D">
        <w:trPr>
          <w:trHeight w:val="20"/>
        </w:trPr>
        <w:tc>
          <w:tcPr>
            <w:tcW w:w="1134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  <w:vertAlign w:val="superscript"/>
              </w:rPr>
            </w:pPr>
            <w:r w:rsidRPr="00093490">
              <w:rPr>
                <w:sz w:val="16"/>
                <w:szCs w:val="16"/>
              </w:rPr>
              <w:t>HLA-G allele concordance</w:t>
            </w:r>
            <w:r w:rsidRPr="00093490"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555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allele sharing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any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HR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any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HR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any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HR</w:t>
            </w:r>
          </w:p>
        </w:tc>
      </w:tr>
      <w:tr w:rsidR="000A117B" w:rsidRPr="00093490" w:rsidTr="001B3B5D">
        <w:trPr>
          <w:trHeight w:val="2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b/>
                <w:bCs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At birth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</w:tr>
      <w:tr w:rsidR="000A117B" w:rsidRPr="00093490" w:rsidTr="001B3B5D">
        <w:trPr>
          <w:trHeight w:val="2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  <w:highlight w:val="yellow"/>
              </w:rPr>
            </w:pPr>
            <w:r w:rsidRPr="00093490">
              <w:rPr>
                <w:sz w:val="16"/>
                <w:szCs w:val="16"/>
              </w:rPr>
              <w:t>01:01:02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≥2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0.27 (0.03-2.53)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highlight w:val="yellow"/>
              </w:rPr>
            </w:pPr>
            <w:r w:rsidRPr="00093490">
              <w:rPr>
                <w:sz w:val="16"/>
                <w:szCs w:val="16"/>
              </w:rPr>
              <w:t>0.36 (0.04-3.52)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highlight w:val="yellow"/>
              </w:rPr>
            </w:pPr>
            <w:r w:rsidRPr="00093490">
              <w:rPr>
                <w:sz w:val="16"/>
                <w:szCs w:val="16"/>
              </w:rPr>
              <w:t>0.43 (0.04-4.26)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0.39 (0.07-2.15)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highlight w:val="yellow"/>
              </w:rPr>
            </w:pPr>
            <w:r w:rsidRPr="00093490">
              <w:rPr>
                <w:sz w:val="16"/>
                <w:szCs w:val="16"/>
              </w:rPr>
              <w:t>1.18 (0.24-5.70)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0.32 (0.03-3.14)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highlight w:val="yellow"/>
              </w:rPr>
            </w:pPr>
            <w:r w:rsidRPr="00093490">
              <w:rPr>
                <w:sz w:val="16"/>
                <w:szCs w:val="16"/>
              </w:rPr>
              <w:t>0.59 (0.06-6.18)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1.18 (0.28-4.96)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highlight w:val="yellow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1.04 (0.21-5.20)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highlight w:val="yellow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</w:tr>
      <w:tr w:rsidR="000A117B" w:rsidRPr="00093490" w:rsidTr="001B3B5D">
        <w:trPr>
          <w:trHeight w:val="2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01:01:03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≥2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2.22 (0.20-25.00)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0.60 (0.07-5.54)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8.44 (0.69-103.70)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17.00 (1.24-232.22)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1.08 (0.11-10.89)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1.18 (0.11-12.21)</w:t>
            </w:r>
          </w:p>
        </w:tc>
      </w:tr>
      <w:tr w:rsidR="000A117B" w:rsidRPr="00093490" w:rsidTr="001B3B5D">
        <w:trPr>
          <w:trHeight w:val="2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  <w:highlight w:val="yellow"/>
              </w:rPr>
            </w:pPr>
            <w:r w:rsidRPr="00093490">
              <w:rPr>
                <w:sz w:val="16"/>
                <w:szCs w:val="16"/>
              </w:rPr>
              <w:t>01:04:01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≥2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2.67 (0.23-30.80)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highlight w:val="yellow"/>
              </w:rPr>
            </w:pPr>
            <w:r w:rsidRPr="00093490">
              <w:rPr>
                <w:sz w:val="16"/>
                <w:szCs w:val="16"/>
              </w:rPr>
              <w:t>2.67 (0.23-30.80)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8.50 (0.44-163.89)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highlight w:val="yellow"/>
              </w:rPr>
            </w:pPr>
            <w:r w:rsidRPr="00093490">
              <w:rPr>
                <w:sz w:val="16"/>
                <w:szCs w:val="16"/>
              </w:rPr>
              <w:t>2.83 (0.24-34.14)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0.46 (0.05-4.15)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highlight w:val="yellow"/>
              </w:rPr>
            </w:pPr>
            <w:r w:rsidRPr="00093490">
              <w:rPr>
                <w:sz w:val="16"/>
                <w:szCs w:val="16"/>
              </w:rPr>
              <w:t>3.70 (0.21-64.51)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1.06 (0.10-10.84)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highlight w:val="yellow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0.52 (0.06-4.74)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highlight w:val="yellow"/>
              </w:rPr>
            </w:pPr>
            <w:r w:rsidRPr="00093490">
              <w:rPr>
                <w:sz w:val="16"/>
                <w:szCs w:val="16"/>
              </w:rPr>
              <w:t>0.83 (0.08-8.08)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0.56 (0.06-5.39)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highlight w:val="yellow"/>
              </w:rPr>
            </w:pPr>
            <w:r w:rsidRPr="00093490">
              <w:rPr>
                <w:sz w:val="16"/>
                <w:szCs w:val="16"/>
              </w:rPr>
              <w:t>1.13 (0.11-11.95)</w:t>
            </w:r>
          </w:p>
        </w:tc>
      </w:tr>
      <w:tr w:rsidR="000A117B" w:rsidRPr="00093490" w:rsidTr="001B3B5D">
        <w:trPr>
          <w:trHeight w:val="2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01:06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≥2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3.58 (0.28-45.80)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3.50 (0.27-46.05)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3.91 (0.23-67.57)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4.89 (0.28-85.63)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</w:tr>
      <w:tr w:rsidR="000A117B" w:rsidRPr="00093490" w:rsidTr="001B3B5D">
        <w:trPr>
          <w:trHeight w:val="2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Low resolution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</w:tr>
      <w:tr w:rsidR="000A117B" w:rsidRPr="00093490" w:rsidTr="001B3B5D">
        <w:trPr>
          <w:trHeight w:val="2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01:01+</w:t>
            </w:r>
          </w:p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3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0.33 (0.01-11.94)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0.18 (0.01-4.26)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0.26 (0.01-4.59)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0.10 (0.003-3.15)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0.14 (0.01-2.67)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</w:tr>
      <w:tr w:rsidR="000A117B" w:rsidRPr="00093490" w:rsidTr="001B3B5D">
        <w:trPr>
          <w:trHeight w:val="2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93490">
              <w:rPr>
                <w:b/>
                <w:bCs/>
                <w:color w:val="000000" w:themeColor="text1"/>
                <w:sz w:val="16"/>
                <w:szCs w:val="16"/>
              </w:rPr>
              <w:t>Postpartum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0A117B" w:rsidRPr="00093490" w:rsidTr="001B3B5D">
        <w:trPr>
          <w:trHeight w:val="2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01:01:02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≥2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0.83 (0.20-3.54)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0.15 (0.02-1.39)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1.60 (0.33-7.65)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0.32 (0.03-3.15)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1.55 (0.40-5.99)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0.58 (0.10-3.23)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2.50 (0.56-11.21)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1.63 (0.41-6.51)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0.40 (0.04-3.79)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1.92 (0.46-7.95)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0.51 (0.05-5.00)</w:t>
            </w:r>
          </w:p>
        </w:tc>
      </w:tr>
      <w:tr w:rsidR="000A117B" w:rsidRPr="00093490" w:rsidTr="001B3B5D">
        <w:trPr>
          <w:trHeight w:val="2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01:01:03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≥2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3.90 (0.49-31.20)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3.88 (0.47-31.91)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4.90 (0.86-27.88)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6.67 (1.08-40.97)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</w:tr>
      <w:tr w:rsidR="000A117B" w:rsidRPr="00093490" w:rsidTr="001B3B5D">
        <w:trPr>
          <w:trHeight w:val="2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01:04:01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≥2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1.54 (0.14-16.80)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6.94 (0.99-48.55)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6.43 (0.90-46.06)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2.25 (0.36-14.03)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0.75 (0.08-6.94)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3.08 (0.46-20.70)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1.23 (0.12-12.47)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1.25 (0.13-12.24)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7.50 (1.47-38.16)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0.97 (0.10-9.57)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7.78 (1.38-43.85)</w:t>
            </w:r>
          </w:p>
        </w:tc>
      </w:tr>
      <w:tr w:rsidR="000A117B" w:rsidRPr="00093490" w:rsidTr="001B3B5D">
        <w:trPr>
          <w:trHeight w:val="2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01:06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≥2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3.55 (0.20-61.38)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3.56 (0.20-62.63)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4.91 (0.28-84.58)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</w:tr>
      <w:tr w:rsidR="000A117B" w:rsidRPr="00093490" w:rsidTr="001B3B5D">
        <w:trPr>
          <w:trHeight w:val="2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Low resolution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0A117B" w:rsidRPr="00093490" w:rsidTr="001B3B5D">
        <w:trPr>
          <w:trHeight w:val="2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01:01+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3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0.13 (0.004-4.00)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0.57 (0.03-11.85)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0.18 (0.01-3.22)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0.33 (0.01-8.18)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0.18 (0.01-3.32)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</w:tr>
      <w:tr w:rsidR="000A117B" w:rsidRPr="00093490" w:rsidTr="001B3B5D">
        <w:trPr>
          <w:trHeight w:val="20"/>
        </w:trPr>
        <w:tc>
          <w:tcPr>
            <w:tcW w:w="14312" w:type="dxa"/>
            <w:gridSpan w:val="8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  <w:vertAlign w:val="superscript"/>
              </w:rPr>
              <w:t>a</w:t>
            </w:r>
            <w:r w:rsidRPr="00093490">
              <w:rPr>
                <w:color w:val="000000" w:themeColor="text1"/>
                <w:sz w:val="16"/>
                <w:szCs w:val="16"/>
              </w:rPr>
              <w:t>Only those alleles that were ≥3 % prevalent were included in the analyses.</w:t>
            </w:r>
          </w:p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Pr="00093490">
              <w:rPr>
                <w:color w:val="000000" w:themeColor="text1"/>
                <w:sz w:val="16"/>
                <w:szCs w:val="16"/>
              </w:rPr>
              <w:t>Father’s semen, urethral or oral HPV at baseline and child’s oral HPV at birth and postpartum.</w:t>
            </w:r>
          </w:p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 = no shared alleles; 1 = discordant for the allele; ≥2 = at least 2 shared alleles i.e. both heterozygous or homozygous for the allele; 2 = 2 shared alleles, 3 = 3 shared alleles, 4 = 4 shared alleles</w:t>
            </w:r>
          </w:p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LR-HPV groups as HLA-G alleles 01:01:01, 01:01:14 and 01:03:01 were taken out due to small number of cases.</w:t>
            </w:r>
          </w:p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NA=not applicable.</w:t>
            </w:r>
          </w:p>
        </w:tc>
      </w:tr>
    </w:tbl>
    <w:p w:rsidR="000A117B" w:rsidRPr="00093490" w:rsidRDefault="000A117B" w:rsidP="000A117B"/>
    <w:p w:rsidR="000A117B" w:rsidRPr="00093490" w:rsidRDefault="000A117B" w:rsidP="000A117B"/>
    <w:p w:rsidR="000A117B" w:rsidRPr="00093490" w:rsidRDefault="000A117B" w:rsidP="000A117B"/>
    <w:p w:rsidR="000A117B" w:rsidRPr="00093490" w:rsidRDefault="000A117B" w:rsidP="000A117B"/>
    <w:p w:rsidR="000A117B" w:rsidRPr="00093490" w:rsidRDefault="000A117B" w:rsidP="000A117B"/>
    <w:p w:rsidR="000A117B" w:rsidRPr="00093490" w:rsidRDefault="000A117B" w:rsidP="000A117B"/>
    <w:p w:rsidR="000A117B" w:rsidRPr="00093490" w:rsidRDefault="000A117B" w:rsidP="000A117B"/>
    <w:p w:rsidR="000A117B" w:rsidRPr="00093490" w:rsidRDefault="000A117B" w:rsidP="000A117B"/>
    <w:p w:rsidR="000A117B" w:rsidRPr="00093490" w:rsidRDefault="000A117B" w:rsidP="000A117B"/>
    <w:p w:rsidR="000A117B" w:rsidRPr="00093490" w:rsidRDefault="000A117B" w:rsidP="000A117B"/>
    <w:p w:rsidR="000A117B" w:rsidRPr="00093490" w:rsidRDefault="000A117B" w:rsidP="000A117B"/>
    <w:p w:rsidR="000A117B" w:rsidRPr="00093490" w:rsidRDefault="000A117B" w:rsidP="000A117B"/>
    <w:p w:rsidR="000A117B" w:rsidRPr="00093490" w:rsidRDefault="000A117B" w:rsidP="000A117B"/>
    <w:p w:rsidR="000A117B" w:rsidRPr="00093490" w:rsidRDefault="000A117B" w:rsidP="000A117B">
      <w:pPr>
        <w:spacing w:after="0"/>
      </w:pPr>
      <w:r w:rsidRPr="00093490">
        <w:br w:type="page"/>
      </w:r>
    </w:p>
    <w:tbl>
      <w:tblPr>
        <w:tblStyle w:val="TaulukkoRuudukko2"/>
        <w:tblpPr w:leftFromText="141" w:rightFromText="141" w:horzAnchor="margin" w:tblpXSpec="center" w:tblpY="-335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709"/>
        <w:gridCol w:w="1554"/>
        <w:gridCol w:w="1565"/>
        <w:gridCol w:w="1412"/>
        <w:gridCol w:w="1565"/>
        <w:gridCol w:w="1559"/>
        <w:gridCol w:w="1559"/>
        <w:gridCol w:w="1418"/>
        <w:gridCol w:w="1417"/>
        <w:gridCol w:w="1554"/>
      </w:tblGrid>
      <w:tr w:rsidR="000A117B" w:rsidRPr="00093490" w:rsidTr="001B3B5D">
        <w:trPr>
          <w:trHeight w:val="368"/>
        </w:trPr>
        <w:tc>
          <w:tcPr>
            <w:tcW w:w="15446" w:type="dxa"/>
            <w:gridSpan w:val="11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lastRenderedPageBreak/>
              <w:t>Table 2</w:t>
            </w:r>
            <w:r w:rsidRPr="00093490">
              <w:rPr>
                <w:sz w:val="16"/>
                <w:szCs w:val="16"/>
              </w:rPr>
              <w:t xml:space="preserve"> Association of HLA-G allele sharing with HPV prevalence at birth among 134 father-child dyads of the Finnish Family HPV study. The father-child dyads with both parties being negative for these specific alleles served as a reference in high resolution HLA-allele groups. In low resolution HLA-G allele groups, discordant father-child dyads served as a reference.</w:t>
            </w:r>
          </w:p>
        </w:tc>
      </w:tr>
      <w:tr w:rsidR="000A117B" w:rsidRPr="00093490" w:rsidTr="001B3B5D">
        <w:trPr>
          <w:trHeight w:val="524"/>
        </w:trPr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4531" w:type="dxa"/>
            <w:gridSpan w:val="3"/>
            <w:tcBorders>
              <w:top w:val="single" w:sz="4" w:space="0" w:color="auto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vertAlign w:val="superscript"/>
              </w:rPr>
            </w:pPr>
            <w:r w:rsidRPr="00093490">
              <w:rPr>
                <w:sz w:val="16"/>
                <w:szCs w:val="16"/>
              </w:rPr>
              <w:t>HPV: father semen/child oral</w:t>
            </w:r>
            <w:r w:rsidRPr="00093490">
              <w:rPr>
                <w:sz w:val="16"/>
                <w:szCs w:val="16"/>
                <w:vertAlign w:val="superscript"/>
              </w:rPr>
              <w:t>b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OR (95 % CI)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––––––––––––––––––––––––––––––––––––––––––––––––––––––</w:t>
            </w:r>
          </w:p>
        </w:tc>
        <w:tc>
          <w:tcPr>
            <w:tcW w:w="4683" w:type="dxa"/>
            <w:gridSpan w:val="3"/>
            <w:tcBorders>
              <w:top w:val="single" w:sz="4" w:space="0" w:color="auto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vertAlign w:val="superscript"/>
              </w:rPr>
            </w:pPr>
            <w:r w:rsidRPr="00093490">
              <w:rPr>
                <w:sz w:val="16"/>
                <w:szCs w:val="16"/>
              </w:rPr>
              <w:t>HPV: farther urethral/child oral</w:t>
            </w:r>
            <w:r w:rsidRPr="00093490">
              <w:rPr>
                <w:sz w:val="16"/>
                <w:szCs w:val="16"/>
                <w:vertAlign w:val="superscript"/>
              </w:rPr>
              <w:t>b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OR (95 % CI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––––––––––––––––––––––––––––––––––––––––––––––––––––––</w:t>
            </w:r>
          </w:p>
        </w:tc>
        <w:tc>
          <w:tcPr>
            <w:tcW w:w="4389" w:type="dxa"/>
            <w:gridSpan w:val="3"/>
            <w:tcBorders>
              <w:top w:val="single" w:sz="4" w:space="0" w:color="auto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vertAlign w:val="superscript"/>
              </w:rPr>
            </w:pPr>
            <w:r w:rsidRPr="00093490">
              <w:rPr>
                <w:sz w:val="16"/>
                <w:szCs w:val="16"/>
              </w:rPr>
              <w:t>HPV: father oral/child oral</w:t>
            </w:r>
            <w:r w:rsidRPr="00093490">
              <w:rPr>
                <w:sz w:val="16"/>
                <w:szCs w:val="16"/>
                <w:vertAlign w:val="superscript"/>
              </w:rPr>
              <w:t>b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OR (95 % CI)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––––––––––––––––––––––––––––––––––––––––––––––––––––</w:t>
            </w:r>
          </w:p>
        </w:tc>
      </w:tr>
      <w:tr w:rsidR="000A117B" w:rsidRPr="00093490" w:rsidTr="001B3B5D">
        <w:trPr>
          <w:trHeight w:val="368"/>
        </w:trPr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HLA-G allele concordance</w:t>
            </w:r>
            <w:r w:rsidRPr="00093490"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allele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sharing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any</w:t>
            </w:r>
          </w:p>
        </w:tc>
        <w:tc>
          <w:tcPr>
            <w:tcW w:w="1565" w:type="dxa"/>
            <w:tcBorders>
              <w:top w:val="nil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LR</w:t>
            </w:r>
          </w:p>
        </w:tc>
        <w:tc>
          <w:tcPr>
            <w:tcW w:w="1412" w:type="dxa"/>
            <w:tcBorders>
              <w:top w:val="nil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HR</w:t>
            </w:r>
          </w:p>
        </w:tc>
        <w:tc>
          <w:tcPr>
            <w:tcW w:w="1565" w:type="dxa"/>
            <w:tcBorders>
              <w:top w:val="nil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any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LR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HR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any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LR</w:t>
            </w:r>
          </w:p>
        </w:tc>
        <w:tc>
          <w:tcPr>
            <w:tcW w:w="1554" w:type="dxa"/>
            <w:tcBorders>
              <w:top w:val="nil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HR</w:t>
            </w:r>
          </w:p>
        </w:tc>
      </w:tr>
      <w:tr w:rsidR="000A117B" w:rsidRPr="00093490" w:rsidTr="001B3B5D">
        <w:trPr>
          <w:trHeight w:val="368"/>
        </w:trPr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A117B" w:rsidRPr="00093490" w:rsidRDefault="000A117B" w:rsidP="001B3B5D">
            <w:pPr>
              <w:spacing w:after="0"/>
              <w:rPr>
                <w:b/>
                <w:bCs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*01:01:01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≥2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single" w:sz="4" w:space="0" w:color="auto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0.60 (0.03-10.51)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1.06 (0.06-17.47)</w:t>
            </w:r>
          </w:p>
        </w:tc>
        <w:tc>
          <w:tcPr>
            <w:tcW w:w="1565" w:type="dxa"/>
            <w:tcBorders>
              <w:top w:val="single" w:sz="4" w:space="0" w:color="auto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412" w:type="dxa"/>
            <w:tcBorders>
              <w:top w:val="single" w:sz="4" w:space="0" w:color="auto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0.45 (0.03-8.02)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0.81 (0.05-13.40)</w:t>
            </w:r>
          </w:p>
        </w:tc>
        <w:tc>
          <w:tcPr>
            <w:tcW w:w="1565" w:type="dxa"/>
            <w:tcBorders>
              <w:top w:val="single" w:sz="4" w:space="0" w:color="auto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0.68 (0.04-11.95)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0.88 (0.05-14.55)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0.63 (0.04-11.08)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0.71 (0.04-11.76)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0.68 (0.04-11.95)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0.75 (0.05-12.34)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54" w:type="dxa"/>
            <w:tcBorders>
              <w:top w:val="single" w:sz="4" w:space="0" w:color="auto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0.60 (0.03-10.51)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0.58 (0.04-9.57)</w:t>
            </w:r>
          </w:p>
        </w:tc>
      </w:tr>
      <w:tr w:rsidR="000A117B" w:rsidRPr="00093490" w:rsidTr="001B3B5D">
        <w:trPr>
          <w:trHeight w:val="368"/>
        </w:trPr>
        <w:tc>
          <w:tcPr>
            <w:tcW w:w="113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rPr>
                <w:b/>
                <w:bCs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*01:01:02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≥2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1.46 (0.64-3.35)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1.14 (0.48-2.70)</w:t>
            </w:r>
          </w:p>
        </w:tc>
        <w:tc>
          <w:tcPr>
            <w:tcW w:w="1565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1.32 (0.39-4.44)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1.56 (0.46-5.30)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1.41 (0.61-3.25)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0.92 (0.38-2.23)</w:t>
            </w:r>
          </w:p>
        </w:tc>
        <w:tc>
          <w:tcPr>
            <w:tcW w:w="1565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1.66 (0.72-3.85)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0.79 (0.33-1.91)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0.81 (0.23-2.83)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0.44 (0.09-2.14)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1.87 (0.80-4.38)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0.92 (0.37-2.29)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1.64 (0.71-3.80)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0.76 (0.31-1.88)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1.34 (0.36-4.98)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0.31 (0.04-2.65)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1.62 (0.70-3.79)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0.83 (0.33-2.09)</w:t>
            </w:r>
          </w:p>
        </w:tc>
      </w:tr>
      <w:tr w:rsidR="000A117B" w:rsidRPr="00093490" w:rsidTr="001B3B5D">
        <w:trPr>
          <w:trHeight w:val="348"/>
        </w:trPr>
        <w:tc>
          <w:tcPr>
            <w:tcW w:w="113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rPr>
                <w:b/>
                <w:bCs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*01:01:03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≥2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1.09 (0.30-3.96)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1.09 (0.21-5.62)</w:t>
            </w:r>
          </w:p>
        </w:tc>
        <w:tc>
          <w:tcPr>
            <w:tcW w:w="1565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3.03 (0.68-13.45)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1.47 (0.40-5.35)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1.47 (0.28-7.59)</w:t>
            </w:r>
          </w:p>
        </w:tc>
        <w:tc>
          <w:tcPr>
            <w:tcW w:w="1565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5.47 (1.11-26.89)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1.37 (0.26-7.06)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0.73 (0.09-6.15)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6.76 (1.37-33.35)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1.69 (0.33-8.76)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0.61 (0.15-2.47)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7.08 (0.80-62.57)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1.02 (0.12-8.83)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0.44 (0.09-2.17)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8.81 (1.00-77.94)</w:t>
            </w:r>
          </w:p>
        </w:tc>
      </w:tr>
      <w:tr w:rsidR="000A117B" w:rsidRPr="00093490" w:rsidTr="001B3B5D">
        <w:trPr>
          <w:trHeight w:val="368"/>
        </w:trPr>
        <w:tc>
          <w:tcPr>
            <w:tcW w:w="113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rPr>
                <w:b/>
                <w:bCs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*01:01:14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≥2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0.54 (0.05-6.11)</w:t>
            </w:r>
          </w:p>
        </w:tc>
        <w:tc>
          <w:tcPr>
            <w:tcW w:w="1565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2.94 (0.25-34.25)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65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2.41 (0.21-27.30)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3.60 (0.31-42.16)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1.42 (0.09-23.27)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0.66 (0.06-7.51)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5.09 (0.43-60.73)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</w:tr>
      <w:tr w:rsidR="000A117B" w:rsidRPr="00093490" w:rsidTr="001B3B5D">
        <w:trPr>
          <w:trHeight w:val="368"/>
        </w:trPr>
        <w:tc>
          <w:tcPr>
            <w:tcW w:w="113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rPr>
                <w:b/>
                <w:bCs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*01:03:01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≥2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0.69 (0.11-4.26)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0.34 (0.03-3.40)</w:t>
            </w:r>
          </w:p>
        </w:tc>
        <w:tc>
          <w:tcPr>
            <w:tcW w:w="1565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0.91 (0.15-5.64)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0.46 (0.05-4.50)</w:t>
            </w:r>
          </w:p>
        </w:tc>
        <w:tc>
          <w:tcPr>
            <w:tcW w:w="1565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0.80 (0.13-4.94)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1.20 (0.16-8.77)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0.97 (0.16-6.00)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1.45 (0.20-10.64)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0.88 (0.14-5.46)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0.44 (0.04-4.35)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1.12 (0.18-6.93)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0.56 (0.06-5.52)</w:t>
            </w:r>
          </w:p>
        </w:tc>
      </w:tr>
      <w:tr w:rsidR="000A117B" w:rsidRPr="00093490" w:rsidTr="001B3B5D">
        <w:trPr>
          <w:trHeight w:val="348"/>
        </w:trPr>
        <w:tc>
          <w:tcPr>
            <w:tcW w:w="113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rPr>
                <w:b/>
                <w:bCs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*01:04:01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≥2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0.60 (0.23-1.58)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0.82 (0.23-2.85)</w:t>
            </w:r>
          </w:p>
        </w:tc>
        <w:tc>
          <w:tcPr>
            <w:tcW w:w="1565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0.76 (0.16-3.70)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0.59 (0.07-5.03)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0.51 (0.18-1.42)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1.06 (0.30-3.70)</w:t>
            </w:r>
          </w:p>
        </w:tc>
        <w:tc>
          <w:tcPr>
            <w:tcW w:w="1565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0.90 (0.34-2.37)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0.41 (0.10-1.65)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0.34 (0.04-2.76)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1.62 (0.31-8.46)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1.09 (0.41-2.87)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0.30 (0.06-1.44)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1.20 (0.46-3.15)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1.76 (0.50-6.14)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1.93 (0.37-10.23)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1.54 (0.58-4.08)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1.57 (0.45-5.52)</w:t>
            </w:r>
          </w:p>
        </w:tc>
      </w:tr>
      <w:tr w:rsidR="000A117B" w:rsidRPr="00093490" w:rsidTr="001B3B5D">
        <w:trPr>
          <w:trHeight w:val="348"/>
        </w:trPr>
        <w:tc>
          <w:tcPr>
            <w:tcW w:w="113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rPr>
                <w:b/>
                <w:bCs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*01:06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≥2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0.21 (0.02-1.88)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65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12.00 (1.03-140.19)</w:t>
            </w:r>
          </w:p>
        </w:tc>
        <w:tc>
          <w:tcPr>
            <w:tcW w:w="1412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0.28 (0.03-2.49)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65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0.60 (0.11-3.39)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2.39 (0.21-27.09)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1.62 (0.17-14.92)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16.15 (1.37-190.72)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0.28 (0.03-2.47)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2.80 (0.25-31.73)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0.26 (0.03-2.33)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2.64 (0.23-29.91)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4.86 (0.41-58.04)</w:t>
            </w:r>
          </w:p>
        </w:tc>
        <w:tc>
          <w:tcPr>
            <w:tcW w:w="1554" w:type="dxa"/>
            <w:tcBorders>
              <w:top w:val="nil"/>
              <w:bottom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0.33 (0.04-2.96)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3.35 (0.30-37.95)</w:t>
            </w:r>
          </w:p>
        </w:tc>
      </w:tr>
      <w:tr w:rsidR="000A117B" w:rsidRPr="00093490" w:rsidTr="001B3B5D">
        <w:trPr>
          <w:trHeight w:val="348"/>
        </w:trPr>
        <w:tc>
          <w:tcPr>
            <w:tcW w:w="1134" w:type="dxa"/>
            <w:tcBorders>
              <w:top w:val="nil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 xml:space="preserve">Low resolution </w:t>
            </w:r>
          </w:p>
        </w:tc>
        <w:tc>
          <w:tcPr>
            <w:tcW w:w="709" w:type="dxa"/>
            <w:tcBorders>
              <w:top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65" w:type="dxa"/>
            <w:tcBorders>
              <w:top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412" w:type="dxa"/>
            <w:tcBorders>
              <w:top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65" w:type="dxa"/>
            <w:tcBorders>
              <w:top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il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</w:tr>
      <w:tr w:rsidR="000A117B" w:rsidRPr="00093490" w:rsidTr="001B3B5D">
        <w:trPr>
          <w:trHeight w:val="348"/>
        </w:trPr>
        <w:tc>
          <w:tcPr>
            <w:tcW w:w="1134" w:type="dxa"/>
          </w:tcPr>
          <w:p w:rsidR="000A117B" w:rsidRPr="00093490" w:rsidRDefault="000A117B" w:rsidP="001B3B5D">
            <w:pPr>
              <w:spacing w:after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93490">
              <w:rPr>
                <w:b/>
                <w:bCs/>
                <w:color w:val="000000" w:themeColor="text1"/>
                <w:sz w:val="16"/>
                <w:szCs w:val="16"/>
              </w:rPr>
              <w:t>*01:01+</w:t>
            </w:r>
          </w:p>
        </w:tc>
        <w:tc>
          <w:tcPr>
            <w:tcW w:w="709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3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4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3.43 (0.29-40.95)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2.29 (0.21-24.68)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3.00 (0.30-30.02)</w:t>
            </w:r>
          </w:p>
        </w:tc>
        <w:tc>
          <w:tcPr>
            <w:tcW w:w="1565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412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3.43 (0.29-40.95)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1.50 (0.14-16.32)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2.30 (0.23-23.02)</w:t>
            </w:r>
          </w:p>
        </w:tc>
        <w:tc>
          <w:tcPr>
            <w:tcW w:w="1565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0.50 (0.05-4.67)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0.81 (0.10-6.58)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0.91 (0.12-6.76)</w:t>
            </w:r>
          </w:p>
        </w:tc>
        <w:tc>
          <w:tcPr>
            <w:tcW w:w="1559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59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0.36 (0.04-3.52)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0.71 (0.09-5.73)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0.76 (0.10-5.67)</w:t>
            </w:r>
          </w:p>
        </w:tc>
        <w:tc>
          <w:tcPr>
            <w:tcW w:w="1418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3.43 (0.29-40.95)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2.44 (0.23-26.30)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2.04 (0.20-20.44)</w:t>
            </w:r>
          </w:p>
        </w:tc>
        <w:tc>
          <w:tcPr>
            <w:tcW w:w="1417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1.00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2.63 (0.22-31.35)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2.44 (0.23-26.30)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1.50 (0.15-15.08)</w:t>
            </w:r>
          </w:p>
        </w:tc>
      </w:tr>
      <w:tr w:rsidR="000A117B" w:rsidRPr="00093490" w:rsidTr="001B3B5D">
        <w:trPr>
          <w:trHeight w:val="348"/>
        </w:trPr>
        <w:tc>
          <w:tcPr>
            <w:tcW w:w="15446" w:type="dxa"/>
            <w:gridSpan w:val="11"/>
          </w:tcPr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  <w:vertAlign w:val="superscript"/>
              </w:rPr>
              <w:t>a</w:t>
            </w:r>
            <w:r w:rsidRPr="00093490">
              <w:rPr>
                <w:color w:val="000000" w:themeColor="text1"/>
                <w:sz w:val="16"/>
                <w:szCs w:val="16"/>
              </w:rPr>
              <w:t>Only those alleles that were ≥3 % prevalent were included in the analyses.</w:t>
            </w:r>
          </w:p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Pr="00093490">
              <w:rPr>
                <w:color w:val="000000" w:themeColor="text1"/>
                <w:sz w:val="16"/>
                <w:szCs w:val="16"/>
              </w:rPr>
              <w:t>Father’s semen, urethral or oral HPV prevalence at baseline and/or child’s oral HPV prevalence at birth.</w:t>
            </w:r>
          </w:p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 = no shared alleles; 1 = discordant for the allele; ≥2 = at least 2 shared alleles i.e. both heterozygous or homozygous for the allele; 2 = 2 shared alleles, 3 = 3 shared alleles, 4 = 4 shared alleles</w:t>
            </w:r>
          </w:p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NA=not applicable.</w:t>
            </w:r>
          </w:p>
        </w:tc>
      </w:tr>
    </w:tbl>
    <w:p w:rsidR="000A117B" w:rsidRPr="00093490" w:rsidRDefault="000A117B" w:rsidP="000A117B">
      <w:pPr>
        <w:spacing w:after="0"/>
      </w:pPr>
    </w:p>
    <w:p w:rsidR="000A117B" w:rsidRPr="00093490" w:rsidRDefault="000A117B" w:rsidP="000A117B">
      <w:pPr>
        <w:spacing w:after="0"/>
      </w:pPr>
      <w:r w:rsidRPr="00093490">
        <w:br w:type="page"/>
      </w:r>
    </w:p>
    <w:tbl>
      <w:tblPr>
        <w:tblStyle w:val="TaulukkoRuudukko3"/>
        <w:tblpPr w:leftFromText="141" w:rightFromText="141" w:vertAnchor="text" w:horzAnchor="margin" w:tblpXSpec="center" w:tblpY="-181"/>
        <w:tblW w:w="15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1"/>
        <w:gridCol w:w="1417"/>
        <w:gridCol w:w="1553"/>
        <w:gridCol w:w="1553"/>
        <w:gridCol w:w="1553"/>
        <w:gridCol w:w="1694"/>
        <w:gridCol w:w="1553"/>
        <w:gridCol w:w="1554"/>
        <w:gridCol w:w="1553"/>
        <w:gridCol w:w="1489"/>
      </w:tblGrid>
      <w:tr w:rsidR="000A117B" w:rsidRPr="00093490" w:rsidTr="001B3B5D">
        <w:trPr>
          <w:trHeight w:val="20"/>
        </w:trPr>
        <w:tc>
          <w:tcPr>
            <w:tcW w:w="15540" w:type="dxa"/>
            <w:gridSpan w:val="10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lastRenderedPageBreak/>
              <w:t>Table 3</w:t>
            </w:r>
            <w:r w:rsidRPr="00093490">
              <w:rPr>
                <w:sz w:val="16"/>
                <w:szCs w:val="16"/>
              </w:rPr>
              <w:t xml:space="preserve"> Association of HLA-G genotype concordance with HPV prevalence at birth and postpartum among 134 father-child dyads of the Finnish Family HPV study.  HLA-G genotype discordant father-child dyads served as a reference.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13919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6"/>
                <w:szCs w:val="16"/>
                <w:vertAlign w:val="superscript"/>
              </w:rPr>
            </w:pPr>
            <w:r w:rsidRPr="00093490">
              <w:rPr>
                <w:b/>
                <w:bCs/>
                <w:sz w:val="16"/>
                <w:szCs w:val="16"/>
              </w:rPr>
              <w:t>Children Oral HPV</w:t>
            </w:r>
            <w:r w:rsidRPr="00093490">
              <w:rPr>
                <w:b/>
                <w:bCs/>
                <w:sz w:val="16"/>
                <w:szCs w:val="16"/>
                <w:vertAlign w:val="superscript"/>
              </w:rPr>
              <w:t>b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OR (95 % CI)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4523" w:type="dxa"/>
            <w:gridSpan w:val="3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vertAlign w:val="superscript"/>
              </w:rPr>
            </w:pPr>
            <w:r w:rsidRPr="00093490">
              <w:rPr>
                <w:sz w:val="16"/>
                <w:szCs w:val="16"/>
              </w:rPr>
              <w:t>Father semen</w:t>
            </w:r>
            <w:r w:rsidRPr="00093490">
              <w:rPr>
                <w:sz w:val="16"/>
                <w:szCs w:val="16"/>
                <w:vertAlign w:val="superscript"/>
              </w:rPr>
              <w:t>b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––––––––––––––––––––––––––––––––––––––––––––––––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vertAlign w:val="superscript"/>
              </w:rPr>
            </w:pPr>
            <w:r w:rsidRPr="00093490">
              <w:rPr>
                <w:sz w:val="16"/>
                <w:szCs w:val="16"/>
              </w:rPr>
              <w:t>Father urethral</w:t>
            </w:r>
            <w:r w:rsidRPr="00093490">
              <w:rPr>
                <w:sz w:val="16"/>
                <w:szCs w:val="16"/>
                <w:vertAlign w:val="superscript"/>
              </w:rPr>
              <w:t>b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softHyphen/>
            </w:r>
            <w:r w:rsidRPr="00093490">
              <w:rPr>
                <w:sz w:val="16"/>
                <w:szCs w:val="16"/>
              </w:rPr>
              <w:softHyphen/>
            </w:r>
            <w:r w:rsidRPr="00093490">
              <w:rPr>
                <w:sz w:val="16"/>
                <w:szCs w:val="16"/>
              </w:rPr>
              <w:softHyphen/>
            </w:r>
            <w:r w:rsidRPr="00093490">
              <w:rPr>
                <w:sz w:val="16"/>
                <w:szCs w:val="16"/>
              </w:rPr>
              <w:softHyphen/>
            </w:r>
            <w:r w:rsidRPr="00093490">
              <w:rPr>
                <w:sz w:val="16"/>
                <w:szCs w:val="16"/>
              </w:rPr>
              <w:softHyphen/>
            </w:r>
            <w:r w:rsidRPr="00093490">
              <w:rPr>
                <w:sz w:val="16"/>
                <w:szCs w:val="16"/>
              </w:rPr>
              <w:softHyphen/>
              <w:t>–––––––––––––––––––––––––––––––––––––––––––––––––––</w:t>
            </w:r>
          </w:p>
        </w:tc>
        <w:tc>
          <w:tcPr>
            <w:tcW w:w="4596" w:type="dxa"/>
            <w:gridSpan w:val="3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  <w:vertAlign w:val="superscript"/>
              </w:rPr>
            </w:pPr>
            <w:r w:rsidRPr="00093490">
              <w:rPr>
                <w:sz w:val="16"/>
                <w:szCs w:val="16"/>
              </w:rPr>
              <w:t>Father oral</w:t>
            </w:r>
            <w:r w:rsidRPr="00093490">
              <w:rPr>
                <w:sz w:val="16"/>
                <w:szCs w:val="16"/>
                <w:vertAlign w:val="superscript"/>
              </w:rPr>
              <w:t>b</w:t>
            </w:r>
          </w:p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softHyphen/>
            </w:r>
            <w:r w:rsidRPr="00093490">
              <w:rPr>
                <w:sz w:val="16"/>
                <w:szCs w:val="16"/>
              </w:rPr>
              <w:softHyphen/>
            </w:r>
            <w:r w:rsidRPr="00093490">
              <w:rPr>
                <w:sz w:val="16"/>
                <w:szCs w:val="16"/>
              </w:rPr>
              <w:softHyphen/>
            </w:r>
            <w:r w:rsidRPr="00093490">
              <w:rPr>
                <w:sz w:val="16"/>
                <w:szCs w:val="16"/>
              </w:rPr>
              <w:softHyphen/>
            </w:r>
            <w:r w:rsidRPr="00093490">
              <w:rPr>
                <w:sz w:val="16"/>
                <w:szCs w:val="16"/>
              </w:rPr>
              <w:softHyphen/>
            </w:r>
            <w:r w:rsidRPr="00093490">
              <w:rPr>
                <w:sz w:val="16"/>
                <w:szCs w:val="16"/>
              </w:rPr>
              <w:softHyphen/>
            </w:r>
            <w:r w:rsidRPr="00093490">
              <w:rPr>
                <w:sz w:val="16"/>
                <w:szCs w:val="16"/>
              </w:rPr>
              <w:softHyphen/>
            </w:r>
            <w:r w:rsidRPr="00093490">
              <w:rPr>
                <w:sz w:val="16"/>
                <w:szCs w:val="16"/>
              </w:rPr>
              <w:softHyphen/>
              <w:t>––––––––––––––––––––––––––––––––––––––––––––––––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HLA-G genotype concordance</w:t>
            </w:r>
            <w:r w:rsidRPr="00093490"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any</w:t>
            </w: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LR</w:t>
            </w: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HR</w:t>
            </w: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any</w:t>
            </w:r>
          </w:p>
        </w:tc>
        <w:tc>
          <w:tcPr>
            <w:tcW w:w="1694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LR</w:t>
            </w: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HR</w:t>
            </w:r>
          </w:p>
        </w:tc>
        <w:tc>
          <w:tcPr>
            <w:tcW w:w="1554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any</w:t>
            </w: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LR</w:t>
            </w: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HR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b/>
                <w:bCs/>
                <w:sz w:val="16"/>
                <w:szCs w:val="16"/>
              </w:rPr>
            </w:pPr>
            <w:r w:rsidRPr="00093490">
              <w:rPr>
                <w:b/>
                <w:bCs/>
                <w:sz w:val="16"/>
                <w:szCs w:val="16"/>
              </w:rPr>
              <w:t>At Birth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01:01:01/01:01:01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0.84 (0.32-2.24)</w:t>
            </w:r>
          </w:p>
        </w:tc>
        <w:tc>
          <w:tcPr>
            <w:tcW w:w="1553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1.93 (0.32-11.43)</w:t>
            </w:r>
          </w:p>
        </w:tc>
        <w:tc>
          <w:tcPr>
            <w:tcW w:w="1553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0.90 (0.33-2.44)</w:t>
            </w:r>
          </w:p>
        </w:tc>
        <w:tc>
          <w:tcPr>
            <w:tcW w:w="1553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0.75 (0.28-1.99)</w:t>
            </w:r>
          </w:p>
        </w:tc>
        <w:tc>
          <w:tcPr>
            <w:tcW w:w="1694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2.59 (0.46-14.46)</w:t>
            </w:r>
          </w:p>
        </w:tc>
        <w:tc>
          <w:tcPr>
            <w:tcW w:w="1553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0.79 (0.29-2.16)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0.98 (0.36-2.67)</w:t>
            </w:r>
          </w:p>
        </w:tc>
        <w:tc>
          <w:tcPr>
            <w:tcW w:w="1553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1.79 (0.30-10.61)</w:t>
            </w:r>
          </w:p>
        </w:tc>
        <w:tc>
          <w:tcPr>
            <w:tcW w:w="1489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0.87 (0.31-2.43)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01:01:01/01:01:02</w:t>
            </w:r>
          </w:p>
        </w:tc>
        <w:tc>
          <w:tcPr>
            <w:tcW w:w="1417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1.84 (0.31-11.01)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0.90 (0.09-8.80)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1.29 (0.24-7.03)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0.18 (0.02-1.62)</w:t>
            </w:r>
          </w:p>
        </w:tc>
        <w:tc>
          <w:tcPr>
            <w:tcW w:w="1694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0.20 (0.02-1.85)</w:t>
            </w: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0.23 (0.02-2.10)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489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0.29 (0.03-2.73)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01:01:01/01:01:03</w:t>
            </w:r>
          </w:p>
        </w:tc>
        <w:tc>
          <w:tcPr>
            <w:tcW w:w="1417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3.75 (0.27-51.37)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3.75 (0.27-51.37)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1.50 (0.11-21.31)</w:t>
            </w:r>
          </w:p>
        </w:tc>
        <w:tc>
          <w:tcPr>
            <w:tcW w:w="1694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1.50 (0.11-21.31)</w:t>
            </w: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489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01:01:01/01:04:01</w:t>
            </w:r>
          </w:p>
        </w:tc>
        <w:tc>
          <w:tcPr>
            <w:tcW w:w="1417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1.11 (0.18-6.97)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1.20 (0.09-16.44)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1.71 (0.27-10.92)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0.63 (0.09-4.33)</w:t>
            </w:r>
          </w:p>
        </w:tc>
        <w:tc>
          <w:tcPr>
            <w:tcW w:w="1694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8.00 (0.57-111.96)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0.25 (0.02-2.59)</w:t>
            </w: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1.00 (0.16-6.35)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489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0.50 (0.07-3.45)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</w:tcPr>
          <w:p w:rsidR="000A117B" w:rsidRPr="00093490" w:rsidRDefault="000A117B" w:rsidP="001B3B5D">
            <w:pPr>
              <w:spacing w:after="0"/>
              <w:rPr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 xml:space="preserve">low resolution </w:t>
            </w:r>
          </w:p>
        </w:tc>
        <w:tc>
          <w:tcPr>
            <w:tcW w:w="1417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694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489" w:type="dxa"/>
          </w:tcPr>
          <w:p w:rsidR="000A117B" w:rsidRPr="00093490" w:rsidRDefault="000A117B" w:rsidP="001B3B5D">
            <w:pPr>
              <w:spacing w:after="0"/>
              <w:jc w:val="center"/>
              <w:rPr>
                <w:sz w:val="16"/>
                <w:szCs w:val="16"/>
              </w:rPr>
            </w:pP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</w:tcPr>
          <w:p w:rsidR="000A117B" w:rsidRPr="00093490" w:rsidRDefault="000A117B" w:rsidP="001B3B5D">
            <w:pPr>
              <w:spacing w:after="0"/>
              <w:jc w:val="right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01:01+/01:01+</w:t>
            </w:r>
          </w:p>
        </w:tc>
        <w:tc>
          <w:tcPr>
            <w:tcW w:w="1417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1.31 (0.56-3.03)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1.31 (0.34-5.09)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1.53 (0.64-3.67)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1.12 (0.48-2.61)</w:t>
            </w:r>
          </w:p>
        </w:tc>
        <w:tc>
          <w:tcPr>
            <w:tcW w:w="169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1.10 (0.28-4.37)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1.08 (0.46-2.55)</w:t>
            </w: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0.84 (0.36-1.96)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489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0.62 (0.26-1.46)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</w:tcPr>
          <w:p w:rsidR="000A117B" w:rsidRPr="00093490" w:rsidRDefault="000A117B" w:rsidP="001B3B5D">
            <w:pPr>
              <w:spacing w:after="0"/>
              <w:jc w:val="right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01:01+/01:03+</w:t>
            </w:r>
          </w:p>
        </w:tc>
        <w:tc>
          <w:tcPr>
            <w:tcW w:w="1417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2.50 (0.10-62.60)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…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2.50 (0.10-62.60)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1.33 (0.06-31.12)</w:t>
            </w:r>
          </w:p>
        </w:tc>
        <w:tc>
          <w:tcPr>
            <w:tcW w:w="169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…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1.33 (0.06-31.12)</w:t>
            </w: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2.50 (0.10-62.60)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…</w:t>
            </w:r>
          </w:p>
        </w:tc>
        <w:tc>
          <w:tcPr>
            <w:tcW w:w="1489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2.50 (0.10-62.60)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</w:tcPr>
          <w:p w:rsidR="000A117B" w:rsidRPr="00093490" w:rsidRDefault="000A117B" w:rsidP="001B3B5D">
            <w:pPr>
              <w:spacing w:after="0"/>
              <w:jc w:val="right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01:01+/01:04+</w:t>
            </w:r>
          </w:p>
        </w:tc>
        <w:tc>
          <w:tcPr>
            <w:tcW w:w="1417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1.07 (0.22-5.14)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0.81 (0.06-10.48)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1.60 (0.32-7.90)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0.35 (0.06-2.12)</w:t>
            </w:r>
          </w:p>
        </w:tc>
        <w:tc>
          <w:tcPr>
            <w:tcW w:w="169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5.14 (0.40-66.15)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0.15 (0.02-1.46)</w:t>
            </w: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1.25 (0.26-6.07)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489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0.80 (0.16-3.88)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right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01:01+/01:06+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3.00 (0.15-59.89)</w:t>
            </w:r>
          </w:p>
        </w:tc>
        <w:tc>
          <w:tcPr>
            <w:tcW w:w="1694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8.00 (0.31-206.37)</w:t>
            </w: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8.00 (0.31-206.37)</w:t>
            </w:r>
          </w:p>
        </w:tc>
        <w:tc>
          <w:tcPr>
            <w:tcW w:w="1554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8.00 (0.31-206.37)</w:t>
            </w: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8.00 (0.31-206.37)</w:t>
            </w:r>
          </w:p>
        </w:tc>
      </w:tr>
      <w:tr w:rsidR="000A117B" w:rsidRPr="00093490" w:rsidTr="001B3B5D">
        <w:trPr>
          <w:trHeight w:val="20"/>
        </w:trPr>
        <w:tc>
          <w:tcPr>
            <w:tcW w:w="15540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93490">
              <w:rPr>
                <w:b/>
                <w:bCs/>
                <w:color w:val="000000" w:themeColor="text1"/>
                <w:sz w:val="16"/>
                <w:szCs w:val="16"/>
              </w:rPr>
              <w:t>Postpartum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01:01:01/01:01:01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1.20 (0.45-3.18)</w:t>
            </w:r>
          </w:p>
        </w:tc>
        <w:tc>
          <w:tcPr>
            <w:tcW w:w="1553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0.80 (0.19-3.35)</w:t>
            </w:r>
          </w:p>
        </w:tc>
        <w:tc>
          <w:tcPr>
            <w:tcW w:w="1553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1.29 (0.48-3.44)</w:t>
            </w:r>
          </w:p>
        </w:tc>
        <w:tc>
          <w:tcPr>
            <w:tcW w:w="1553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1.07 (0.40-2.82)</w:t>
            </w:r>
          </w:p>
        </w:tc>
        <w:tc>
          <w:tcPr>
            <w:tcW w:w="1694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1.03 (0.28-3.80)</w:t>
            </w:r>
          </w:p>
        </w:tc>
        <w:tc>
          <w:tcPr>
            <w:tcW w:w="1553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1.23 (0.46-3.28)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0.95 (0.36-2.51)</w:t>
            </w:r>
          </w:p>
        </w:tc>
        <w:tc>
          <w:tcPr>
            <w:tcW w:w="1553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0.71 (0.17-2.96)</w:t>
            </w:r>
          </w:p>
        </w:tc>
        <w:tc>
          <w:tcPr>
            <w:tcW w:w="1489" w:type="dxa"/>
            <w:tcBorders>
              <w:top w:val="single" w:sz="4" w:space="0" w:color="auto"/>
            </w:tcBorders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1.09 (0.41-2.92)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</w:tcPr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01:01:01/01:01:02</w:t>
            </w:r>
          </w:p>
        </w:tc>
        <w:tc>
          <w:tcPr>
            <w:tcW w:w="1417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0.48 (0.05-4.49)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7.11 (0.77-65.80)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0.68 (0.12-3.73)</w:t>
            </w:r>
          </w:p>
        </w:tc>
        <w:tc>
          <w:tcPr>
            <w:tcW w:w="169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1.05 (0.19-5.74)</w:t>
            </w: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0.88 (0.16-4.82)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489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1.47 (0.27-8.09)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</w:tcPr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01:01:01/01:01:03</w:t>
            </w:r>
          </w:p>
        </w:tc>
        <w:tc>
          <w:tcPr>
            <w:tcW w:w="1417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0.67 (0.05-9.47)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1.17 (0.07-18.35)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0.67 (0.05-9.47)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3.75 (0.27-51.37)</w:t>
            </w:r>
          </w:p>
        </w:tc>
        <w:tc>
          <w:tcPr>
            <w:tcW w:w="169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3.75 (0.27-51.37)</w:t>
            </w: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3.75 (0.27-51.37)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489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3.75 (0.27-51.37)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</w:tcPr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01:01:01/01:04:01</w:t>
            </w:r>
          </w:p>
        </w:tc>
        <w:tc>
          <w:tcPr>
            <w:tcW w:w="1417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2.75 (0.40-18.88)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NA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3.43 (0.49-23.77)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3.14 (0.45-21.96)</w:t>
            </w:r>
          </w:p>
        </w:tc>
        <w:tc>
          <w:tcPr>
            <w:tcW w:w="169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1.75 (0.12-24.65)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1.57 (0.24-10.09)</w:t>
            </w: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2.50 (0.36-17.32)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5.00 (0.24-104.15)</w:t>
            </w:r>
          </w:p>
        </w:tc>
        <w:tc>
          <w:tcPr>
            <w:tcW w:w="1489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>1.25 (0.20-7.96)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</w:tcPr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sz w:val="16"/>
                <w:szCs w:val="16"/>
              </w:rPr>
              <w:t xml:space="preserve">low resolution </w:t>
            </w:r>
          </w:p>
        </w:tc>
        <w:tc>
          <w:tcPr>
            <w:tcW w:w="1417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69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89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</w:tcPr>
          <w:p w:rsidR="000A117B" w:rsidRPr="00093490" w:rsidRDefault="000A117B" w:rsidP="001B3B5D">
            <w:pPr>
              <w:spacing w:after="0"/>
              <w:jc w:val="right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01:01+/01:01+</w:t>
            </w:r>
          </w:p>
        </w:tc>
        <w:tc>
          <w:tcPr>
            <w:tcW w:w="1417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1.32 (0.57-3.04)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0.99 (0.35-2.87)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1.90 (0.79-4.56)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1.80 (0.77-4.23)</w:t>
            </w:r>
          </w:p>
        </w:tc>
        <w:tc>
          <w:tcPr>
            <w:tcW w:w="169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0.99 (0.32-3.06)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1.67 (0.69-4.06)</w:t>
            </w: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1.02 (0.44-2.38)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1.45 (0.38-5.56)</w:t>
            </w:r>
          </w:p>
        </w:tc>
        <w:tc>
          <w:tcPr>
            <w:tcW w:w="1489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1.01 (0.43-2.38)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</w:tcPr>
          <w:p w:rsidR="000A117B" w:rsidRPr="00093490" w:rsidRDefault="000A117B" w:rsidP="001B3B5D">
            <w:pPr>
              <w:spacing w:after="0"/>
              <w:jc w:val="right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01:01+/01:03+</w:t>
            </w:r>
          </w:p>
        </w:tc>
        <w:tc>
          <w:tcPr>
            <w:tcW w:w="1417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1.33 (0.06-31.12)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69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0.75 (0.03-17.51)</w:t>
            </w: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489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1.33 (0.06-31.12)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</w:tcPr>
          <w:p w:rsidR="000A117B" w:rsidRPr="00093490" w:rsidRDefault="000A117B" w:rsidP="001B3B5D">
            <w:pPr>
              <w:spacing w:after="0"/>
              <w:jc w:val="right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01:01+/01:04+</w:t>
            </w:r>
          </w:p>
        </w:tc>
        <w:tc>
          <w:tcPr>
            <w:tcW w:w="1417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5.69 (0.94-34.46)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b/>
                <w:bCs/>
                <w:color w:val="000000" w:themeColor="text1"/>
                <w:sz w:val="16"/>
                <w:szCs w:val="16"/>
              </w:rPr>
              <w:t>7.00 (1.14-42.97)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b/>
                <w:bCs/>
                <w:color w:val="000000" w:themeColor="text1"/>
                <w:sz w:val="16"/>
                <w:szCs w:val="16"/>
              </w:rPr>
              <w:t>6.50 (1.05-40.13)</w:t>
            </w:r>
          </w:p>
        </w:tc>
        <w:tc>
          <w:tcPr>
            <w:tcW w:w="169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1.14 (0.09-14.78)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3.71 (0.70-19.59)</w:t>
            </w: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4.28 (0.71-25.92)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4.50 (0.23-88.24)</w:t>
            </w:r>
          </w:p>
        </w:tc>
        <w:tc>
          <w:tcPr>
            <w:tcW w:w="1489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2.44 (0.47-12.63)</w:t>
            </w:r>
          </w:p>
        </w:tc>
      </w:tr>
      <w:tr w:rsidR="000A117B" w:rsidRPr="00093490" w:rsidTr="001B3B5D">
        <w:trPr>
          <w:trHeight w:val="20"/>
        </w:trPr>
        <w:tc>
          <w:tcPr>
            <w:tcW w:w="1621" w:type="dxa"/>
          </w:tcPr>
          <w:p w:rsidR="000A117B" w:rsidRPr="00093490" w:rsidRDefault="000A117B" w:rsidP="001B3B5D">
            <w:pPr>
              <w:spacing w:after="0"/>
              <w:jc w:val="right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01:01+/01:06+</w:t>
            </w:r>
          </w:p>
        </w:tc>
        <w:tc>
          <w:tcPr>
            <w:tcW w:w="1417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3.00 (0.15-59.89)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2.00 (0.08-51.59)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8.00 (0.31-206.37)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0.75 (0.04-14.97)</w:t>
            </w:r>
          </w:p>
        </w:tc>
        <w:tc>
          <w:tcPr>
            <w:tcW w:w="169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0.75 (0.04-14.97)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2.00 (0.08-51.59)</w:t>
            </w:r>
          </w:p>
        </w:tc>
        <w:tc>
          <w:tcPr>
            <w:tcW w:w="1554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3.00 (0.15-59.89)</w:t>
            </w:r>
          </w:p>
        </w:tc>
        <w:tc>
          <w:tcPr>
            <w:tcW w:w="1553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2.00 (0.08-51.59)</w:t>
            </w:r>
          </w:p>
        </w:tc>
        <w:tc>
          <w:tcPr>
            <w:tcW w:w="1489" w:type="dxa"/>
          </w:tcPr>
          <w:p w:rsidR="000A117B" w:rsidRPr="00093490" w:rsidRDefault="000A117B" w:rsidP="001B3B5D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2.00 (0.08-51.59)</w:t>
            </w:r>
          </w:p>
        </w:tc>
      </w:tr>
      <w:tr w:rsidR="000A117B" w:rsidRPr="00093490" w:rsidTr="001B3B5D">
        <w:trPr>
          <w:trHeight w:val="20"/>
        </w:trPr>
        <w:tc>
          <w:tcPr>
            <w:tcW w:w="15540" w:type="dxa"/>
            <w:gridSpan w:val="10"/>
          </w:tcPr>
          <w:p w:rsidR="000A117B" w:rsidRPr="00093490" w:rsidRDefault="000A117B" w:rsidP="001B3B5D">
            <w:pPr>
              <w:pBdr>
                <w:top w:val="single" w:sz="4" w:space="1" w:color="auto"/>
              </w:pBd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  <w:vertAlign w:val="superscript"/>
              </w:rPr>
              <w:t>a</w:t>
            </w:r>
            <w:r w:rsidRPr="00093490">
              <w:rPr>
                <w:color w:val="000000" w:themeColor="text1"/>
                <w:sz w:val="16"/>
                <w:szCs w:val="16"/>
              </w:rPr>
              <w:t>Only those genotypes that were ≥3 % prevalent were included in the analyses.</w:t>
            </w:r>
          </w:p>
          <w:p w:rsidR="000A117B" w:rsidRPr="00093490" w:rsidRDefault="000A117B" w:rsidP="001B3B5D">
            <w:pPr>
              <w:pBdr>
                <w:top w:val="single" w:sz="4" w:space="1" w:color="auto"/>
              </w:pBd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  <w:vertAlign w:val="superscript"/>
              </w:rPr>
              <w:t xml:space="preserve">b </w:t>
            </w:r>
            <w:r w:rsidRPr="00093490">
              <w:rPr>
                <w:color w:val="000000" w:themeColor="text1"/>
                <w:sz w:val="16"/>
                <w:szCs w:val="16"/>
              </w:rPr>
              <w:t>Father’s semen, urethral or oral HPV prevalence at baseline and/or child’s oral HPV prevalence at birth and postpartum.</w:t>
            </w:r>
          </w:p>
          <w:p w:rsidR="000A117B" w:rsidRPr="00093490" w:rsidRDefault="000A117B" w:rsidP="001B3B5D">
            <w:pPr>
              <w:pBdr>
                <w:top w:val="single" w:sz="4" w:space="1" w:color="auto"/>
              </w:pBd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Genotype 01:01:02/01:01:02 were taken out due to small number of cases.</w:t>
            </w:r>
          </w:p>
          <w:p w:rsidR="000A117B" w:rsidRPr="00093490" w:rsidRDefault="000A117B" w:rsidP="001B3B5D">
            <w:pPr>
              <w:spacing w:after="0"/>
              <w:rPr>
                <w:color w:val="000000" w:themeColor="text1"/>
                <w:sz w:val="16"/>
                <w:szCs w:val="16"/>
              </w:rPr>
            </w:pPr>
            <w:r w:rsidRPr="00093490">
              <w:rPr>
                <w:color w:val="000000" w:themeColor="text1"/>
                <w:sz w:val="16"/>
                <w:szCs w:val="16"/>
              </w:rPr>
              <w:t>NA=not applicable.</w:t>
            </w:r>
          </w:p>
        </w:tc>
      </w:tr>
    </w:tbl>
    <w:p w:rsidR="000A117B" w:rsidRPr="00093490" w:rsidRDefault="000A117B" w:rsidP="000A117B">
      <w:pPr>
        <w:spacing w:after="0"/>
      </w:pPr>
    </w:p>
    <w:p w:rsidR="00AF5724" w:rsidRDefault="00AF5724">
      <w:bookmarkStart w:id="0" w:name="_GoBack"/>
      <w:bookmarkEnd w:id="0"/>
    </w:p>
    <w:sectPr w:rsidR="00AF5724" w:rsidSect="00B95755">
      <w:pgSz w:w="16840" w:h="11900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CA68EC"/>
    <w:multiLevelType w:val="multilevel"/>
    <w:tmpl w:val="CA408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133537F"/>
    <w:multiLevelType w:val="hybridMultilevel"/>
    <w:tmpl w:val="4604942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CEC7588">
      <w:start w:val="1"/>
      <w:numFmt w:val="bullet"/>
      <w:pStyle w:val="ListParagraph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D51880"/>
    <w:multiLevelType w:val="multilevel"/>
    <w:tmpl w:val="2192253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17B"/>
    <w:rsid w:val="000A117B"/>
    <w:rsid w:val="00AF5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FBD9D0-91C0-489E-AB39-FA79C73A8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117B"/>
    <w:pPr>
      <w:spacing w:after="360" w:line="240" w:lineRule="auto"/>
    </w:pPr>
    <w:rPr>
      <w:rFonts w:ascii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A117B"/>
    <w:pPr>
      <w:keepNext/>
      <w:keepLines/>
      <w:spacing w:before="480" w:after="240" w:line="360" w:lineRule="auto"/>
      <w:ind w:left="431" w:hanging="431"/>
      <w:outlineLvl w:val="0"/>
    </w:pPr>
    <w:rPr>
      <w:rFonts w:eastAsiaTheme="majorEastAsia"/>
      <w:b/>
      <w:bCs/>
      <w:color w:val="000000" w:themeColor="text1"/>
      <w:sz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0A117B"/>
    <w:pPr>
      <w:keepNext/>
      <w:keepLines/>
      <w:spacing w:before="360" w:after="120" w:line="480" w:lineRule="auto"/>
      <w:contextualSpacing/>
      <w:jc w:val="both"/>
      <w:outlineLvl w:val="1"/>
    </w:pPr>
    <w:rPr>
      <w:b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117B"/>
    <w:rPr>
      <w:rFonts w:ascii="Times New Roman" w:eastAsiaTheme="majorEastAsia" w:hAnsi="Times New Roman"/>
      <w:b/>
      <w:bCs/>
      <w:color w:val="000000" w:themeColor="text1"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0A117B"/>
    <w:rPr>
      <w:rFonts w:ascii="Times New Roman" w:hAnsi="Times New Roman"/>
      <w:b/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0A117B"/>
    <w:pPr>
      <w:spacing w:before="720" w:after="720" w:line="480" w:lineRule="auto"/>
      <w:contextualSpacing/>
      <w:jc w:val="center"/>
    </w:pPr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117B"/>
    <w:rPr>
      <w:rFonts w:ascii="Times New Roman" w:eastAsiaTheme="majorEastAsia" w:hAnsi="Times New Roman" w:cstheme="majorBidi"/>
      <w:b/>
      <w:spacing w:val="-10"/>
      <w:kern w:val="28"/>
      <w:sz w:val="32"/>
      <w:szCs w:val="56"/>
    </w:rPr>
  </w:style>
  <w:style w:type="paragraph" w:styleId="ListParagraph">
    <w:name w:val="List Paragraph"/>
    <w:basedOn w:val="Normal"/>
    <w:autoRedefine/>
    <w:uiPriority w:val="34"/>
    <w:qFormat/>
    <w:rsid w:val="000A117B"/>
    <w:pPr>
      <w:numPr>
        <w:ilvl w:val="1"/>
        <w:numId w:val="2"/>
      </w:numPr>
      <w:spacing w:before="60" w:after="100" w:afterAutospacing="1"/>
      <w:contextualSpacing/>
    </w:pPr>
    <w:rPr>
      <w:rFonts w:eastAsia="Times New Roman" w:cstheme="minorHAnsi"/>
      <w:lang w:val="fi-FI" w:eastAsia="fi-FI"/>
    </w:rPr>
  </w:style>
  <w:style w:type="paragraph" w:styleId="NormalWeb">
    <w:name w:val="Normal (Web)"/>
    <w:basedOn w:val="Normal"/>
    <w:uiPriority w:val="99"/>
    <w:unhideWhenUsed/>
    <w:rsid w:val="000A117B"/>
    <w:pPr>
      <w:spacing w:before="100" w:beforeAutospacing="1" w:after="100" w:afterAutospacing="1"/>
    </w:pPr>
    <w:rPr>
      <w:rFonts w:eastAsia="Times New Roman" w:cs="Times New Roman"/>
      <w:lang w:val="fi-FI" w:eastAsia="fi-FI"/>
    </w:rPr>
  </w:style>
  <w:style w:type="character" w:styleId="CommentReference">
    <w:name w:val="annotation reference"/>
    <w:basedOn w:val="DefaultParagraphFont"/>
    <w:uiPriority w:val="99"/>
    <w:semiHidden/>
    <w:unhideWhenUsed/>
    <w:rsid w:val="000A11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A117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A117B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11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117B"/>
    <w:rPr>
      <w:rFonts w:ascii="Times New Roman" w:hAnsi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0A117B"/>
    <w:pPr>
      <w:spacing w:after="0" w:line="240" w:lineRule="auto"/>
    </w:pPr>
    <w:rPr>
      <w:sz w:val="24"/>
      <w:szCs w:val="24"/>
      <w:lang w:val="fi-F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A117B"/>
    <w:pPr>
      <w:tabs>
        <w:tab w:val="center" w:pos="4819"/>
        <w:tab w:val="right" w:pos="9638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A117B"/>
    <w:rPr>
      <w:rFonts w:ascii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A117B"/>
    <w:pPr>
      <w:tabs>
        <w:tab w:val="center" w:pos="4819"/>
        <w:tab w:val="right" w:pos="9638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A117B"/>
    <w:rPr>
      <w:rFonts w:ascii="Times New Roman" w:hAnsi="Times New Roman"/>
      <w:sz w:val="24"/>
      <w:szCs w:val="24"/>
    </w:rPr>
  </w:style>
  <w:style w:type="table" w:customStyle="1" w:styleId="TaulukkoRuudukko1">
    <w:name w:val="Taulukko Ruudukko1"/>
    <w:basedOn w:val="TableNormal"/>
    <w:next w:val="TableGrid"/>
    <w:uiPriority w:val="39"/>
    <w:rsid w:val="000A117B"/>
    <w:pPr>
      <w:spacing w:after="0" w:line="240" w:lineRule="auto"/>
    </w:pPr>
    <w:rPr>
      <w:sz w:val="24"/>
      <w:szCs w:val="24"/>
      <w:lang w:val="fi-F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ulukkoRuudukko2">
    <w:name w:val="Taulukko Ruudukko2"/>
    <w:basedOn w:val="TableNormal"/>
    <w:next w:val="TableGrid"/>
    <w:uiPriority w:val="39"/>
    <w:rsid w:val="000A117B"/>
    <w:pPr>
      <w:spacing w:after="0" w:line="240" w:lineRule="auto"/>
    </w:pPr>
    <w:rPr>
      <w:sz w:val="24"/>
      <w:szCs w:val="24"/>
      <w:lang w:val="fi-F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ulukkoRuudukko3">
    <w:name w:val="Taulukko Ruudukko3"/>
    <w:basedOn w:val="TableNormal"/>
    <w:next w:val="TableGrid"/>
    <w:uiPriority w:val="39"/>
    <w:rsid w:val="000A117B"/>
    <w:pPr>
      <w:spacing w:after="0" w:line="240" w:lineRule="auto"/>
    </w:pPr>
    <w:rPr>
      <w:sz w:val="24"/>
      <w:szCs w:val="24"/>
      <w:lang w:val="fi-F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ulukkoRuudukko4">
    <w:name w:val="Taulukko Ruudukko4"/>
    <w:basedOn w:val="TableNormal"/>
    <w:next w:val="TableGrid"/>
    <w:uiPriority w:val="39"/>
    <w:rsid w:val="000A117B"/>
    <w:pPr>
      <w:spacing w:after="0" w:line="240" w:lineRule="auto"/>
    </w:pPr>
    <w:rPr>
      <w:sz w:val="24"/>
      <w:szCs w:val="24"/>
      <w:lang w:val="fi-F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A117B"/>
    <w:pPr>
      <w:spacing w:after="0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A117B"/>
    <w:rPr>
      <w:color w:val="0563C1" w:themeColor="hyperlink"/>
      <w:u w:val="single"/>
    </w:rPr>
  </w:style>
  <w:style w:type="character" w:customStyle="1" w:styleId="Ratkaisematonmaininta1">
    <w:name w:val="Ratkaisematon maininta1"/>
    <w:basedOn w:val="DefaultParagraphFont"/>
    <w:uiPriority w:val="99"/>
    <w:semiHidden/>
    <w:unhideWhenUsed/>
    <w:rsid w:val="000A117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A117B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0A117B"/>
  </w:style>
  <w:style w:type="character" w:styleId="PageNumber">
    <w:name w:val="page number"/>
    <w:basedOn w:val="DefaultParagraphFont"/>
    <w:uiPriority w:val="99"/>
    <w:semiHidden/>
    <w:unhideWhenUsed/>
    <w:rsid w:val="000A117B"/>
  </w:style>
  <w:style w:type="paragraph" w:styleId="BalloonText">
    <w:name w:val="Balloon Text"/>
    <w:basedOn w:val="Normal"/>
    <w:link w:val="BalloonTextChar"/>
    <w:uiPriority w:val="99"/>
    <w:semiHidden/>
    <w:unhideWhenUsed/>
    <w:rsid w:val="000A117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17B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0A117B"/>
    <w:pPr>
      <w:spacing w:before="120" w:after="0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A11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1513</Words>
  <Characters>8625</Characters>
  <Application>Microsoft Office Word</Application>
  <DocSecurity>0</DocSecurity>
  <Lines>71</Lines>
  <Paragraphs>20</Paragraphs>
  <ScaleCrop>false</ScaleCrop>
  <Company>Springer Nature</Company>
  <LinksUpToDate>false</LinksUpToDate>
  <CharactersWithSpaces>10118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2022-05-16T09:29:00Z</dcterms:created>
  <dcterms:modified xsi:type="dcterms:W3CDTF">2022-05-16T09:30:00Z</dcterms:modified>
</cp:coreProperties>
</file>