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Tabke 7</w:t>
      </w:r>
      <w:bookmarkStart w:id="0" w:name="OLE_LINK1"/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NEI-RQL-42 scores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 xml:space="preserve"> before and 3 months after </w:t>
      </w:r>
      <w:bookmarkStart w:id="1" w:name="OLE_LINK22"/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surgery</w:t>
      </w:r>
      <w:bookmarkEnd w:id="1"/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 xml:space="preserve"> between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the p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ure ICL implantation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and standard ICL implantation groups</w:t>
      </w:r>
    </w:p>
    <w:bookmarkEnd w:id="0"/>
    <w:p>
      <w:pPr>
        <w:spacing w:line="360" w:lineRule="auto"/>
        <w:rPr>
          <w:rFonts w:ascii="Times New Roman" w:hAnsi="Times New Roman" w:eastAsia="宋体" w:cs="Times New Roman"/>
          <w:kern w:val="0"/>
          <w:sz w:val="24"/>
          <w:szCs w:val="24"/>
        </w:rPr>
      </w:pPr>
    </w:p>
    <w:tbl>
      <w:tblPr>
        <w:tblStyle w:val="2"/>
        <w:tblW w:w="13935" w:type="dxa"/>
        <w:tblInd w:w="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935" w:type="dxa"/>
            <w:tcBorders>
              <w:left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pre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     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3 mo post</w:t>
            </w:r>
          </w:p>
          <w:p>
            <w:pPr>
              <w:ind w:left="1080" w:hanging="1080" w:hangingChars="600"/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23495</wp:posOffset>
                      </wp:positionV>
                      <wp:extent cx="8825230" cy="19685"/>
                      <wp:effectExtent l="0" t="4445" r="13970" b="635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825230" cy="19685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3.05pt;margin-top:1.85pt;height:1.55pt;width:694.9pt;z-index:251716608;mso-width-relative:page;mso-height-relative:page;" filled="f" stroked="t" coordsize="21600,21600" o:gfxdata="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icv+n1AAAAAcBAAAPAAAAAAAAAAEAIAAAACIAAABkcnMvZG93bnJldi54bWxQ&#10;SwECFAAUAAAACACHTuJAJTnNevsBAADyAwAADgAAAAAAAAABACAAAAAjAQAAZHJzL2Uyb0RvYy54&#10;bWxQSwUGAAAAAAYABgBZAQAAkAUAAAAA&#10;">
                      <v:fill on="f" focussize="0,0"/>
                      <v:stroke weight="0.5pt" color="#000000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</w:t>
            </w:r>
          </w:p>
          <w:p>
            <w:pPr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pure method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standard method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sz w:val="18"/>
                <w:szCs w:val="18"/>
              </w:rPr>
              <w:t>P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value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pure method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standard method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i/>
                <w:iCs/>
                <w:sz w:val="18"/>
                <w:szCs w:val="18"/>
              </w:rPr>
              <w:t xml:space="preserve">P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value</w:t>
            </w:r>
          </w:p>
          <w:tbl>
            <w:tblPr>
              <w:tblStyle w:val="2"/>
              <w:tblW w:w="1790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9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17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>
                  <w:pPr>
                    <w:widowControl/>
                    <w:jc w:val="left"/>
                    <w:rPr>
                      <w:rFonts w:ascii="Times New Roman" w:hAnsi="Times New Roman" w:eastAsia="等线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等线" w:cs="Times New Roman"/>
                      <w:sz w:val="18"/>
                      <w:szCs w:val="1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7632" behindDoc="0" locked="0" layoutInCell="1" allowOverlap="1">
                            <wp:simplePos x="0" y="0"/>
                            <wp:positionH relativeFrom="column">
                              <wp:posOffset>-33020</wp:posOffset>
                            </wp:positionH>
                            <wp:positionV relativeFrom="paragraph">
                              <wp:posOffset>-5080</wp:posOffset>
                            </wp:positionV>
                            <wp:extent cx="8825230" cy="19685"/>
                            <wp:effectExtent l="0" t="4445" r="13970" b="6350"/>
                            <wp:wrapNone/>
                            <wp:docPr id="2" name="直接连接符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8825230" cy="19685"/>
                                    </a:xfrm>
                                    <a:prstGeom prst="line">
                                      <a:avLst/>
                                    </a:prstGeom>
                                    <a:ln w="6350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</wps:spPr>
                                  <wps:bodyPr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line id="_x0000_s1026" o:spid="_x0000_s1026" o:spt="20" style="position:absolute;left:0pt;margin-left:-2.6pt;margin-top:-0.4pt;height:1.55pt;width:694.9pt;z-index:251717632;mso-width-relative:page;mso-height-relative:page;" filled="f" stroked="t" coordsize="21600,21600" o:gfxdata="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prCnn1gAAAAcBAAAPAAAAAAAAAAEAIAAAACIAAABkcnMvZG93bnJldi54&#10;bWxQSwECFAAUAAAACACHTuJAlWIJRvwBAADyAwAADgAAAAAAAAABACAAAAAlAQAAZHJzL2Uyb0Rv&#10;Yy54bWxQSwUGAAAAAAYABgBZAQAAkwUAAAAA&#10;">
                            <v:fill on="f" focussize="0,0"/>
                            <v:stroke weight="0.5pt" color="#000000" joinstyle="miter"/>
                            <v:imagedata o:title=""/>
                            <o:lock v:ext="edit" aspectratio="f"/>
                          </v:line>
                        </w:pict>
                      </mc:Fallback>
                    </mc:AlternateContent>
                  </w:r>
                </w:p>
              </w:tc>
            </w:tr>
          </w:tbl>
          <w:p>
            <w:pPr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Total score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  <w:t>60.568±3.772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  <w:t>60.495±3.866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0.932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  83.685±2.675          83.493±2.663        0.748</w:t>
            </w:r>
          </w:p>
          <w:p>
            <w:pPr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Clarity of vision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64.327±2.894          64.422±2.825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0.926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ascii="Calibri" w:hAnsi="Calibri" w:eastAsia="宋体" w:cs="Times New Roman"/>
                <w:szCs w:val="22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Cs w:val="22"/>
              </w:rPr>
              <w:t xml:space="preserve">        </w:t>
            </w:r>
            <w:r>
              <w:rPr>
                <w:rFonts w:hint="eastAsia" w:ascii="Calibri" w:hAnsi="Calibri" w:eastAsia="宋体" w:cs="Times New Roman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Calibri" w:hAnsi="Calibri" w:eastAsia="宋体" w:cs="Times New Roman"/>
                <w:szCs w:val="22"/>
              </w:rPr>
              <w:t xml:space="preserve">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87.045±3.184          86.284±3.551        0.316</w:t>
            </w:r>
          </w:p>
          <w:p>
            <w:pPr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Expectation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30.500±3.558          30.555±3.561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0.946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81.436±3.721          80.143±4.276        0.153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</w:t>
            </w:r>
          </w:p>
          <w:p>
            <w:pPr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Near vision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81.508±3.361          82.244±3.383        0.332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81.217±3.448          81.722±3.404        </w:t>
            </w:r>
            <w:r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  <w:t>0.5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</w:t>
            </w:r>
          </w:p>
          <w:p>
            <w:pPr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Far vision</w:t>
            </w:r>
            <w:r>
              <w:rPr>
                <w:rFonts w:ascii="Times New Roman" w:hAnsi="Times New Roman" w:eastAsia="等线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81.920±3.687          81.925±3.751        </w:t>
            </w:r>
            <w:r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995                    83.720±3.105           83.666±3.231       </w:t>
            </w:r>
            <w:r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939</w:t>
            </w:r>
          </w:p>
          <w:p>
            <w:pPr>
              <w:tabs>
                <w:tab w:val="left" w:pos="4485"/>
              </w:tabs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Visual fatigue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74.548±2.447          74.488±2.407        0.912                    77.835±2.589           77.580±2.824       0.675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</w:t>
            </w:r>
          </w:p>
          <w:p>
            <w:pPr>
              <w:tabs>
                <w:tab w:val="left" w:pos="4485"/>
              </w:tabs>
              <w:rPr>
                <w:rFonts w:hint="default" w:ascii="Times New Roman" w:hAnsi="Times New Roman" w:eastAsia="等线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Activity limitations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40.516±3.346           40.463±3.250        0.943                    87.687±2.288          87.210±3.065        0.433 </w:t>
            </w:r>
          </w:p>
          <w:p>
            <w:pPr>
              <w:tabs>
                <w:tab w:val="left" w:pos="4485"/>
              </w:tabs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Glare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73.504±3.083          73.548±3.136        </w:t>
            </w:r>
            <w:r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950  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70.596±3.300           70.509±3.337       0.907</w:t>
            </w:r>
          </w:p>
          <w:p>
            <w:pPr>
              <w:tabs>
                <w:tab w:val="left" w:pos="4485"/>
              </w:tabs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Symptoms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73.155±3.114           72.491±2.859        0.324                    78.344±2.407           78.413±2.092       0.891</w:t>
            </w:r>
          </w:p>
          <w:p>
            <w:pPr>
              <w:tabs>
                <w:tab w:val="left" w:pos="4485"/>
              </w:tabs>
              <w:rPr>
                <w:rFonts w:ascii="Times New Roman" w:hAnsi="Times New Roman" w:eastAsia="等线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Dependence on correction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28.493±1.818         28.528±1.782        0.931  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98.288±0.952           98.454±0.916      0.429</w:t>
            </w:r>
          </w:p>
          <w:p>
            <w:pPr>
              <w:tabs>
                <w:tab w:val="left" w:pos="4485"/>
              </w:tabs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Worry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49.473±2.213         49.704±2.152        0.637  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75.534±3.335            75.643±3.284      0.883</w:t>
            </w:r>
          </w:p>
          <w:p>
            <w:pPr>
              <w:tabs>
                <w:tab w:val="left" w:pos="4485"/>
              </w:tabs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Suboptimal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correction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74.518±3.777         74.072±3.870        0.603          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89.625±3.951            89.407±4.006      0.807</w:t>
            </w:r>
          </w:p>
          <w:p>
            <w:pPr>
              <w:rPr>
                <w:rFonts w:hint="default" w:ascii="Times New Roman" w:hAnsi="Times New Roman" w:eastAsia="等线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Appearance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>48.555±3.042         49.154±2.878       0.368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               90.819±3.666            90.475±3.415      0.665</w:t>
            </w:r>
          </w:p>
          <w:p>
            <w:pPr>
              <w:tabs>
                <w:tab w:val="left" w:pos="4485"/>
              </w:tabs>
              <w:rPr>
                <w:rFonts w:hint="default" w:ascii="Times New Roman" w:hAnsi="Times New Roman" w:eastAsia="等线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>Satisfaction with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correction  </w:t>
            </w:r>
            <w:r>
              <w:rPr>
                <w:rFonts w:hint="eastAsia" w:ascii="Times New Roman" w:hAnsi="Times New Roman" w:eastAsia="等线" w:cs="Times New Roman"/>
                <w:sz w:val="18"/>
                <w:szCs w:val="18"/>
                <w:lang w:val="en-US" w:eastAsia="zh-CN"/>
              </w:rPr>
              <w:t xml:space="preserve">    58.498±3.490         57.490±3.387       0.194                     90.211±3.704            89.448±3.383      0.339</w:t>
            </w:r>
          </w:p>
        </w:tc>
      </w:tr>
    </w:tbl>
    <w:p>
      <w:pPr>
        <w:rPr>
          <w:rFonts w:hint="eastAsia" w:ascii="Times New Roman" w:hAnsi="Times New Roman" w:eastAsia="宋体" w:cs="Times New Roman"/>
          <w:i w:val="0"/>
          <w:iCs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i/>
          <w:kern w:val="0"/>
          <w:sz w:val="24"/>
          <w:szCs w:val="24"/>
          <w:lang w:val="en-US" w:eastAsia="zh-CN"/>
        </w:rPr>
        <w:t xml:space="preserve">P </w:t>
      </w:r>
      <w:r>
        <w:rPr>
          <w:rFonts w:hint="eastAsia" w:ascii="Times New Roman" w:hAnsi="Times New Roman" w:eastAsia="宋体" w:cs="Times New Roman"/>
          <w:i w:val="0"/>
          <w:iCs/>
          <w:kern w:val="0"/>
          <w:sz w:val="24"/>
          <w:szCs w:val="24"/>
          <w:lang w:val="en-US" w:eastAsia="zh-CN"/>
        </w:rPr>
        <w:t xml:space="preserve">value </w:t>
      </w:r>
      <w:r>
        <w:rPr>
          <w:rFonts w:ascii="Times New Roman" w:hAnsi="Times New Roman" w:eastAsia="宋体" w:cs="Times New Roman"/>
          <w:i/>
          <w:kern w:val="0"/>
          <w:sz w:val="24"/>
          <w:szCs w:val="24"/>
        </w:rPr>
        <w:t>=</w:t>
      </w:r>
      <w:r>
        <w:rPr>
          <w:rFonts w:hint="eastAsia" w:ascii="Times New Roman" w:hAnsi="Times New Roman" w:eastAsia="宋体" w:cs="Times New Roman"/>
          <w:i w:val="0"/>
          <w:iCs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i w:val="0"/>
          <w:iCs/>
          <w:kern w:val="0"/>
          <w:sz w:val="24"/>
          <w:szCs w:val="24"/>
        </w:rPr>
        <w:t>NEI-RQL-42</w:t>
      </w:r>
      <w:r>
        <w:rPr>
          <w:rFonts w:hint="eastAsia" w:ascii="Times New Roman" w:hAnsi="Times New Roman" w:eastAsia="宋体" w:cs="Times New Roman"/>
          <w:i w:val="0"/>
          <w:iCs/>
          <w:kern w:val="0"/>
          <w:sz w:val="24"/>
          <w:szCs w:val="24"/>
          <w:lang w:val="en-US" w:eastAsia="zh-CN"/>
        </w:rPr>
        <w:t xml:space="preserve"> scores before and 3 months after surgery</w:t>
      </w:r>
      <w:bookmarkStart w:id="2" w:name="_GoBack"/>
      <w:bookmarkEnd w:id="2"/>
      <w:r>
        <w:rPr>
          <w:rFonts w:hint="eastAsia" w:ascii="Times New Roman" w:hAnsi="Times New Roman" w:eastAsia="宋体" w:cs="Times New Roman"/>
          <w:i w:val="0"/>
          <w:iCs/>
          <w:kern w:val="0"/>
          <w:sz w:val="24"/>
          <w:szCs w:val="24"/>
          <w:lang w:val="en-US" w:eastAsia="zh-CN"/>
        </w:rPr>
        <w:t xml:space="preserve"> statistically compared between the pure ICL implantation and standard ICL implantation groups</w:t>
      </w:r>
      <w:r>
        <w:rPr>
          <w:rFonts w:hint="default" w:ascii="Times New Roman" w:hAnsi="Times New Roman" w:eastAsia="宋体" w:cs="Times New Roman"/>
          <w:i w:val="0"/>
          <w:iCs/>
          <w:kern w:val="0"/>
          <w:sz w:val="24"/>
          <w:szCs w:val="24"/>
          <w:lang w:val="en-US" w:eastAsia="zh-CN"/>
        </w:rPr>
        <w:t>.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4100B"/>
    <w:rsid w:val="06A1233A"/>
    <w:rsid w:val="08376D2C"/>
    <w:rsid w:val="0B110B3E"/>
    <w:rsid w:val="1D4C3B7B"/>
    <w:rsid w:val="21E80402"/>
    <w:rsid w:val="3D3751C8"/>
    <w:rsid w:val="480E07CF"/>
    <w:rsid w:val="4BE8399D"/>
    <w:rsid w:val="4C094EC1"/>
    <w:rsid w:val="561F640D"/>
    <w:rsid w:val="5EBF6F30"/>
    <w:rsid w:val="5EC2237D"/>
    <w:rsid w:val="67ED421D"/>
    <w:rsid w:val="74D710B8"/>
    <w:rsid w:val="78586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2021-01-03T06:58:00Z</dcterms:created>
  <dc:creator>Administrator</dc:creator>
  <cp:lastModifiedBy>秦勤</cp:lastModifiedBy>
  <dcterms:modified xsi:type="dcterms:W3CDTF">2021-01-23T03:13:05Z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