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8963DF" w14:textId="765FB64E" w:rsidR="0056047B" w:rsidRDefault="008F7DCB" w:rsidP="008F7DCB">
      <w:pPr>
        <w:jc w:val="center"/>
      </w:pPr>
      <w:r>
        <w:rPr>
          <w:noProof/>
        </w:rPr>
        <w:drawing>
          <wp:inline distT="0" distB="0" distL="0" distR="0" wp14:anchorId="10D98693" wp14:editId="31286963">
            <wp:extent cx="4073236" cy="290957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NOS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7944" cy="2920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E1C925" w14:textId="12E98299" w:rsidR="008F7DCB" w:rsidRDefault="008F7DCB" w:rsidP="008F7DCB">
      <w:pPr>
        <w:rPr>
          <w:rFonts w:ascii="Times New Roman" w:hAnsi="Times New Roman"/>
          <w:color w:val="000000"/>
          <w:kern w:val="0"/>
          <w:sz w:val="24"/>
        </w:rPr>
      </w:pPr>
      <w:r w:rsidRPr="008F7DCB">
        <w:rPr>
          <w:rFonts w:ascii="Times New Roman" w:hAnsi="Times New Roman" w:cs="Times New Roman"/>
          <w:b/>
          <w:bCs/>
          <w:sz w:val="24"/>
          <w:szCs w:val="28"/>
        </w:rPr>
        <w:t>Supplementary figure 1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. FA suppressed iNOS expression in LPS 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>stimulated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BV2 cells.</w:t>
      </w:r>
      <w:r w:rsidRPr="00935D30">
        <w:rPr>
          <w:rFonts w:ascii="Times New Roman" w:hAnsi="Times New Roman" w:cs="Times New Roman"/>
          <w:sz w:val="24"/>
          <w:szCs w:val="28"/>
        </w:rPr>
        <w:t xml:space="preserve"> </w:t>
      </w:r>
      <w:r w:rsidR="00935D30" w:rsidRPr="00935D30">
        <w:rPr>
          <w:rFonts w:ascii="Times New Roman" w:hAnsi="Times New Roman" w:cs="Times New Roman"/>
          <w:sz w:val="24"/>
          <w:szCs w:val="28"/>
        </w:rPr>
        <w:t xml:space="preserve">To choose optimal dose for treating microglia cells in vitro. </w:t>
      </w:r>
      <w:r w:rsidRPr="008F7DCB">
        <w:rPr>
          <w:rFonts w:ascii="Times New Roman" w:hAnsi="Times New Roman" w:cs="Times New Roman"/>
          <w:sz w:val="24"/>
          <w:szCs w:val="28"/>
        </w:rPr>
        <w:t xml:space="preserve">We set FA concentration gradient: 0.05 mg/mL, 0.1 mg/mL, 0.2 mg/mL, 0.5mg/ml, 1mg/ml, 2mg/ml and 5mg/ml. INOS mRNA in BV2 cells was detected to confirm the optimal dose and used for further investigation. As shown in the figure below, 0.5 mg/mL is minimal dose while achieving the best therapeutic effect. </w:t>
      </w:r>
      <w:r w:rsidRPr="00ED6558">
        <w:rPr>
          <w:rFonts w:ascii="Times New Roman" w:hAnsi="Times New Roman"/>
          <w:color w:val="000000"/>
          <w:kern w:val="0"/>
          <w:sz w:val="24"/>
        </w:rPr>
        <w:t>(**p&lt;0.01, ***p&lt;0.001, n=6).</w:t>
      </w:r>
    </w:p>
    <w:p w14:paraId="3E3CCEB7" w14:textId="3DD31D98" w:rsidR="008F7DCB" w:rsidRDefault="008F7DCB" w:rsidP="008F7DCB">
      <w:pPr>
        <w:rPr>
          <w:rFonts w:ascii="Times New Roman" w:hAnsi="Times New Roman"/>
          <w:color w:val="000000"/>
          <w:kern w:val="0"/>
          <w:sz w:val="24"/>
        </w:rPr>
      </w:pPr>
    </w:p>
    <w:p w14:paraId="67232543" w14:textId="087A94DD" w:rsidR="008F7DCB" w:rsidRDefault="008F7DCB" w:rsidP="008F7DCB">
      <w:pPr>
        <w:rPr>
          <w:rFonts w:ascii="Times New Roman" w:hAnsi="Times New Roman"/>
          <w:color w:val="000000"/>
          <w:kern w:val="0"/>
          <w:sz w:val="24"/>
        </w:rPr>
      </w:pPr>
    </w:p>
    <w:p w14:paraId="61AD88DF" w14:textId="77777777" w:rsidR="008F7DCB" w:rsidRDefault="008F7DCB" w:rsidP="008F7DCB">
      <w:pPr>
        <w:rPr>
          <w:rFonts w:ascii="Times New Roman" w:hAnsi="Times New Roman"/>
          <w:color w:val="000000"/>
          <w:kern w:val="0"/>
          <w:sz w:val="24"/>
        </w:rPr>
      </w:pPr>
    </w:p>
    <w:p w14:paraId="0FDBA938" w14:textId="4B8A01F9" w:rsidR="008F7DCB" w:rsidRPr="008F7DCB" w:rsidRDefault="008F7DCB" w:rsidP="008F7D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F7DCB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8F7DCB">
        <w:rPr>
          <w:rFonts w:ascii="Times New Roman" w:hAnsi="Times New Roman" w:cs="Times New Roman"/>
          <w:b/>
          <w:bCs/>
          <w:sz w:val="24"/>
          <w:szCs w:val="24"/>
        </w:rPr>
        <w:t xml:space="preserve"> FA suppressed NO expression in activated BV2 cells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756"/>
        <w:gridCol w:w="925"/>
        <w:gridCol w:w="945"/>
        <w:gridCol w:w="996"/>
        <w:gridCol w:w="996"/>
        <w:gridCol w:w="956"/>
        <w:gridCol w:w="956"/>
        <w:gridCol w:w="956"/>
      </w:tblGrid>
      <w:tr w:rsidR="008F7DCB" w:rsidRPr="008F7DCB" w14:paraId="1C0F6DFE" w14:textId="77777777" w:rsidTr="008F7DCB"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78F786A2" w14:textId="77777777" w:rsidR="008F7DCB" w:rsidRPr="008F7DCB" w:rsidRDefault="008F7DCB" w:rsidP="008F7DCB">
            <w:pPr>
              <w:rPr>
                <w:rFonts w:ascii="Times New Roman" w:hAnsi="Times New Roman" w:cs="Times New Roman"/>
                <w:color w:val="7F7F7F" w:themeColor="text1" w:themeTint="80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4AF4E505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PS</w:t>
            </w:r>
          </w:p>
        </w:tc>
        <w:tc>
          <w:tcPr>
            <w:tcW w:w="925" w:type="dxa"/>
            <w:tcBorders>
              <w:top w:val="single" w:sz="4" w:space="0" w:color="auto"/>
              <w:bottom w:val="single" w:sz="4" w:space="0" w:color="auto"/>
            </w:tcBorders>
          </w:tcPr>
          <w:p w14:paraId="3002C782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.05FA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</w:tcPr>
          <w:p w14:paraId="75ACA622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.1FA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</w:tcPr>
          <w:p w14:paraId="7B6E535E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.2FA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</w:tcPr>
          <w:p w14:paraId="52814870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.5FA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</w:tcPr>
          <w:p w14:paraId="44C4E44D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.0FA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</w:tcPr>
          <w:p w14:paraId="5077423A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.0FA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</w:tcPr>
          <w:p w14:paraId="0A348643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.0FA</w:t>
            </w:r>
          </w:p>
        </w:tc>
      </w:tr>
      <w:tr w:rsidR="008F7DCB" w:rsidRPr="008F7DCB" w14:paraId="4164A6E3" w14:textId="77777777" w:rsidTr="008F7DCB">
        <w:tc>
          <w:tcPr>
            <w:tcW w:w="1838" w:type="dxa"/>
            <w:tcBorders>
              <w:top w:val="single" w:sz="4" w:space="0" w:color="auto"/>
            </w:tcBorders>
          </w:tcPr>
          <w:p w14:paraId="16FB5EDA" w14:textId="77777777" w:rsidR="008F7DCB" w:rsidRPr="008F7DCB" w:rsidRDefault="008F7DCB" w:rsidP="008F7DCB">
            <w:pPr>
              <w:rPr>
                <w:rFonts w:ascii="Times New Roman" w:hAnsi="Times New Roman" w:cs="Times New Roman"/>
                <w:color w:val="7F7F7F" w:themeColor="text1" w:themeTint="80"/>
                <w:sz w:val="22"/>
              </w:rPr>
            </w:pPr>
            <w:r w:rsidRPr="008F7DCB">
              <w:rPr>
                <w:rFonts w:ascii="Times New Roman" w:hAnsi="Times New Roman" w:cs="Times New Roman" w:hint="eastAsia"/>
                <w:sz w:val="22"/>
              </w:rPr>
              <w:t>N</w:t>
            </w:r>
            <w:r w:rsidRPr="008F7DCB">
              <w:rPr>
                <w:rFonts w:ascii="Times New Roman" w:hAnsi="Times New Roman" w:cs="Times New Roman"/>
                <w:sz w:val="22"/>
              </w:rPr>
              <w:t>O Average value</w:t>
            </w:r>
            <w:r w:rsidRPr="008F7DCB">
              <w:rPr>
                <w:rFonts w:ascii="Times New Roman" w:hAnsi="Times New Roman" w:cs="Times New Roman" w:hint="eastAsia"/>
                <w:sz w:val="22"/>
              </w:rPr>
              <w:t xml:space="preserve"> (</w:t>
            </w:r>
            <w:r w:rsidRPr="008F7DCB">
              <w:rPr>
                <w:rFonts w:ascii="Times New Roman" w:hAnsi="Times New Roman" w:cs="Times New Roman" w:hint="eastAsia"/>
                <w:sz w:val="22"/>
              </w:rPr>
              <w:t>μ</w:t>
            </w:r>
            <w:r w:rsidRPr="008F7DCB">
              <w:rPr>
                <w:rFonts w:ascii="Times New Roman" w:hAnsi="Times New Roman" w:cs="Times New Roman"/>
                <w:sz w:val="22"/>
              </w:rPr>
              <w:t>g/ml)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44727FCD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925" w:type="dxa"/>
            <w:tcBorders>
              <w:top w:val="single" w:sz="4" w:space="0" w:color="auto"/>
            </w:tcBorders>
          </w:tcPr>
          <w:p w14:paraId="779DB48F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45" w:type="dxa"/>
            <w:tcBorders>
              <w:top w:val="single" w:sz="4" w:space="0" w:color="auto"/>
            </w:tcBorders>
          </w:tcPr>
          <w:p w14:paraId="7824D106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14:paraId="3773D5C8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14:paraId="71DD2435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956" w:type="dxa"/>
            <w:tcBorders>
              <w:top w:val="single" w:sz="4" w:space="0" w:color="auto"/>
            </w:tcBorders>
          </w:tcPr>
          <w:p w14:paraId="4BC2FB31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56" w:type="dxa"/>
            <w:tcBorders>
              <w:top w:val="single" w:sz="4" w:space="0" w:color="auto"/>
            </w:tcBorders>
          </w:tcPr>
          <w:p w14:paraId="122B5D0C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56" w:type="dxa"/>
            <w:tcBorders>
              <w:top w:val="single" w:sz="4" w:space="0" w:color="auto"/>
            </w:tcBorders>
          </w:tcPr>
          <w:p w14:paraId="249D4B76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</w:tr>
      <w:tr w:rsidR="008F7DCB" w:rsidRPr="008F7DCB" w14:paraId="27D568F2" w14:textId="77777777" w:rsidTr="008F7DCB">
        <w:tc>
          <w:tcPr>
            <w:tcW w:w="1838" w:type="dxa"/>
          </w:tcPr>
          <w:p w14:paraId="3FD2FDB9" w14:textId="77777777" w:rsidR="008F7DCB" w:rsidRDefault="008F7DCB" w:rsidP="008F7DCB">
            <w:pPr>
              <w:rPr>
                <w:rFonts w:ascii="Times New Roman" w:hAnsi="Times New Roman" w:cs="Times New Roman"/>
                <w:sz w:val="22"/>
              </w:rPr>
            </w:pPr>
            <w:r w:rsidRPr="008F7DCB">
              <w:rPr>
                <w:rFonts w:ascii="Times New Roman" w:hAnsi="Times New Roman" w:cs="Times New Roman"/>
                <w:sz w:val="22"/>
              </w:rPr>
              <w:t>Inhibition rate</w:t>
            </w:r>
          </w:p>
          <w:p w14:paraId="4D633512" w14:textId="28938B2A" w:rsidR="0004241C" w:rsidRPr="008F7DCB" w:rsidRDefault="0004241C" w:rsidP="008F7DCB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FA-LPS/LPS)</w:t>
            </w:r>
          </w:p>
        </w:tc>
        <w:tc>
          <w:tcPr>
            <w:tcW w:w="756" w:type="dxa"/>
          </w:tcPr>
          <w:p w14:paraId="71F7CEE0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14:paraId="4AC85153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7.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</w:p>
        </w:tc>
        <w:tc>
          <w:tcPr>
            <w:tcW w:w="945" w:type="dxa"/>
          </w:tcPr>
          <w:p w14:paraId="01E4B100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14:paraId="3D670A4B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14:paraId="3502A90E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</w:p>
        </w:tc>
        <w:tc>
          <w:tcPr>
            <w:tcW w:w="956" w:type="dxa"/>
          </w:tcPr>
          <w:p w14:paraId="421C4558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34%</w:t>
            </w:r>
          </w:p>
        </w:tc>
        <w:tc>
          <w:tcPr>
            <w:tcW w:w="956" w:type="dxa"/>
          </w:tcPr>
          <w:p w14:paraId="519D10D7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56%</w:t>
            </w:r>
          </w:p>
        </w:tc>
        <w:tc>
          <w:tcPr>
            <w:tcW w:w="956" w:type="dxa"/>
          </w:tcPr>
          <w:p w14:paraId="119BFA13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98%</w:t>
            </w:r>
          </w:p>
        </w:tc>
      </w:tr>
    </w:tbl>
    <w:p w14:paraId="61142CA6" w14:textId="5E8C67AC" w:rsidR="008F7DCB" w:rsidRDefault="008F7DCB" w:rsidP="008F7DCB">
      <w:pPr>
        <w:rPr>
          <w:rFonts w:ascii="Times New Roman" w:hAnsi="Times New Roman" w:cs="Times New Roman"/>
          <w:sz w:val="24"/>
          <w:szCs w:val="28"/>
        </w:rPr>
      </w:pPr>
      <w:r w:rsidRPr="008F7DCB">
        <w:rPr>
          <w:rFonts w:ascii="Times New Roman" w:hAnsi="Times New Roman" w:cs="Times New Roman"/>
          <w:sz w:val="24"/>
          <w:szCs w:val="28"/>
        </w:rPr>
        <w:t>LPS (50ng/ml) stimulated BV2 for 1h, and then FA of different concentration (0.05 mg/mL, 0.1 mg/mL, 0.2 mg/mL, 0.5mg/ml, 1mg/ml, 2mg/ml and 5mg/ml) treated for 24h. According to Griess method, we detected NO concentration in BV2 supernatant</w:t>
      </w:r>
      <w:r>
        <w:rPr>
          <w:rFonts w:ascii="Times New Roman" w:hAnsi="Times New Roman" w:cs="Times New Roman"/>
          <w:sz w:val="24"/>
          <w:szCs w:val="28"/>
        </w:rPr>
        <w:t>.</w:t>
      </w:r>
    </w:p>
    <w:p w14:paraId="4B722BD8" w14:textId="7608C8B2" w:rsidR="00570D5B" w:rsidRDefault="00570D5B" w:rsidP="008F7DCB">
      <w:pPr>
        <w:rPr>
          <w:rFonts w:ascii="Times New Roman" w:hAnsi="Times New Roman" w:cs="Times New Roman"/>
          <w:sz w:val="24"/>
          <w:szCs w:val="28"/>
        </w:rPr>
      </w:pPr>
    </w:p>
    <w:p w14:paraId="4A083C97" w14:textId="3909444C" w:rsidR="00570D5B" w:rsidRDefault="00570D5B" w:rsidP="008F7DCB">
      <w:pPr>
        <w:rPr>
          <w:rFonts w:ascii="Times New Roman" w:hAnsi="Times New Roman" w:cs="Times New Roman"/>
          <w:sz w:val="24"/>
          <w:szCs w:val="28"/>
        </w:rPr>
      </w:pPr>
    </w:p>
    <w:p w14:paraId="338DF07A" w14:textId="674F3C21" w:rsidR="00570D5B" w:rsidRDefault="00570D5B" w:rsidP="008F7DCB">
      <w:pPr>
        <w:rPr>
          <w:rFonts w:ascii="Times New Roman" w:hAnsi="Times New Roman" w:cs="Times New Roman"/>
          <w:sz w:val="24"/>
          <w:szCs w:val="28"/>
        </w:rPr>
      </w:pPr>
    </w:p>
    <w:p w14:paraId="65C2A696" w14:textId="777DB835" w:rsidR="00570D5B" w:rsidRDefault="00570D5B" w:rsidP="008F7DCB">
      <w:pPr>
        <w:rPr>
          <w:rFonts w:ascii="Times New Roman" w:hAnsi="Times New Roman" w:cs="Times New Roman"/>
          <w:sz w:val="24"/>
          <w:szCs w:val="28"/>
        </w:rPr>
      </w:pPr>
    </w:p>
    <w:p w14:paraId="2D10C2CA" w14:textId="770D8AD5" w:rsidR="00570D5B" w:rsidRDefault="00570D5B" w:rsidP="008F7DCB">
      <w:pPr>
        <w:rPr>
          <w:rFonts w:ascii="Times New Roman" w:hAnsi="Times New Roman" w:cs="Times New Roman"/>
          <w:sz w:val="24"/>
          <w:szCs w:val="28"/>
        </w:rPr>
      </w:pPr>
    </w:p>
    <w:p w14:paraId="5D940A35" w14:textId="135884C6" w:rsidR="00570D5B" w:rsidRDefault="00570D5B" w:rsidP="008F7DCB">
      <w:pPr>
        <w:rPr>
          <w:rFonts w:ascii="Times New Roman" w:hAnsi="Times New Roman" w:cs="Times New Roman"/>
          <w:sz w:val="24"/>
          <w:szCs w:val="28"/>
        </w:rPr>
      </w:pPr>
    </w:p>
    <w:p w14:paraId="45EA5A86" w14:textId="4A9FA22B" w:rsidR="00570D5B" w:rsidRDefault="00570D5B" w:rsidP="008F7DCB">
      <w:pPr>
        <w:rPr>
          <w:rFonts w:ascii="Times New Roman" w:hAnsi="Times New Roman" w:cs="Times New Roman"/>
          <w:sz w:val="24"/>
          <w:szCs w:val="28"/>
        </w:rPr>
      </w:pPr>
    </w:p>
    <w:p w14:paraId="691D1D24" w14:textId="1CF3DFE6" w:rsidR="00570D5B" w:rsidRDefault="00570D5B" w:rsidP="008F7DCB">
      <w:pPr>
        <w:rPr>
          <w:rFonts w:ascii="Times New Roman" w:hAnsi="Times New Roman" w:cs="Times New Roman"/>
          <w:sz w:val="24"/>
          <w:szCs w:val="28"/>
        </w:rPr>
      </w:pPr>
    </w:p>
    <w:p w14:paraId="52E12AA8" w14:textId="232E6066" w:rsidR="00570D5B" w:rsidRDefault="00570D5B" w:rsidP="008F7DCB">
      <w:pPr>
        <w:rPr>
          <w:rFonts w:ascii="Times New Roman" w:hAnsi="Times New Roman" w:cs="Times New Roman"/>
          <w:sz w:val="24"/>
          <w:szCs w:val="28"/>
        </w:rPr>
      </w:pPr>
    </w:p>
    <w:p w14:paraId="4534FC13" w14:textId="1CB748A2" w:rsidR="00570D5B" w:rsidRDefault="00570D5B" w:rsidP="008F7DCB">
      <w:pPr>
        <w:rPr>
          <w:rFonts w:ascii="Times New Roman" w:hAnsi="Times New Roman" w:cs="Times New Roman"/>
          <w:sz w:val="24"/>
          <w:szCs w:val="28"/>
        </w:rPr>
      </w:pPr>
    </w:p>
    <w:p w14:paraId="3E6A3FA0" w14:textId="0D17AFA0" w:rsidR="00570D5B" w:rsidRDefault="00570D5B" w:rsidP="008F7DCB">
      <w:pPr>
        <w:rPr>
          <w:rFonts w:ascii="Times New Roman" w:hAnsi="Times New Roman" w:cs="Times New Roman"/>
          <w:sz w:val="24"/>
          <w:szCs w:val="28"/>
        </w:rPr>
      </w:pPr>
    </w:p>
    <w:p w14:paraId="60B94013" w14:textId="3DDC0686" w:rsidR="00570D5B" w:rsidRDefault="00570D5B" w:rsidP="008F7DCB">
      <w:pPr>
        <w:rPr>
          <w:rFonts w:ascii="Times New Roman" w:hAnsi="Times New Roman" w:cs="Times New Roman"/>
          <w:sz w:val="24"/>
          <w:szCs w:val="28"/>
        </w:rPr>
      </w:pPr>
    </w:p>
    <w:p w14:paraId="3CF3128E" w14:textId="7049C420" w:rsidR="00570D5B" w:rsidRDefault="00570D5B" w:rsidP="008F7DCB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noProof/>
          <w:sz w:val="24"/>
          <w:szCs w:val="28"/>
        </w:rPr>
        <w:lastRenderedPageBreak/>
        <w:drawing>
          <wp:inline distT="0" distB="0" distL="0" distR="0" wp14:anchorId="7C2E073A" wp14:editId="0213CC70">
            <wp:extent cx="6188710" cy="368236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682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40FCC2" w14:textId="6BBA926D" w:rsidR="00570D5B" w:rsidRPr="00CC68B3" w:rsidRDefault="00570D5B" w:rsidP="00DA3167">
      <w:pPr>
        <w:widowControl/>
        <w:spacing w:before="240" w:after="240"/>
        <w:jc w:val="left"/>
        <w:rPr>
          <w:rFonts w:ascii="Times New Roman" w:hAnsi="Times New Roman"/>
          <w:b/>
          <w:color w:val="000000"/>
          <w:kern w:val="0"/>
          <w:sz w:val="24"/>
        </w:rPr>
      </w:pPr>
      <w:r w:rsidRPr="008F7DCB">
        <w:rPr>
          <w:rFonts w:ascii="Times New Roman" w:hAnsi="Times New Roman" w:cs="Times New Roman"/>
          <w:b/>
          <w:bCs/>
          <w:sz w:val="24"/>
          <w:szCs w:val="28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8"/>
        </w:rPr>
        <w:t>2</w:t>
      </w:r>
      <w:r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="00DA3167">
        <w:rPr>
          <w:rFonts w:ascii="Times New Roman" w:hAnsi="Times New Roman" w:cs="Times New Roman"/>
          <w:b/>
          <w:bCs/>
          <w:sz w:val="24"/>
          <w:szCs w:val="28"/>
        </w:rPr>
        <w:t xml:space="preserve">  </w:t>
      </w:r>
      <w:r w:rsidR="00DA3167" w:rsidRPr="00DA3167">
        <w:rPr>
          <w:rFonts w:ascii="Times New Roman" w:hAnsi="Times New Roman"/>
          <w:b/>
          <w:color w:val="000000"/>
          <w:kern w:val="0"/>
          <w:sz w:val="24"/>
        </w:rPr>
        <w:t>original blot</w:t>
      </w:r>
      <w:r w:rsidR="00DA3167" w:rsidRPr="00DA3167">
        <w:rPr>
          <w:rFonts w:ascii="Times New Roman" w:hAnsi="Times New Roman"/>
          <w:b/>
          <w:color w:val="000000"/>
          <w:kern w:val="0"/>
          <w:sz w:val="24"/>
        </w:rPr>
        <w:t xml:space="preserve"> of </w:t>
      </w:r>
      <w:r w:rsidR="00DA3167">
        <w:rPr>
          <w:rFonts w:ascii="Times New Roman" w:hAnsi="Times New Roman"/>
          <w:b/>
          <w:color w:val="000000"/>
          <w:kern w:val="0"/>
          <w:sz w:val="24"/>
        </w:rPr>
        <w:t>our research.</w:t>
      </w:r>
      <w:r w:rsidR="00CC68B3">
        <w:rPr>
          <w:rFonts w:ascii="Times New Roman" w:hAnsi="Times New Roman"/>
          <w:b/>
          <w:color w:val="000000"/>
          <w:kern w:val="0"/>
          <w:sz w:val="24"/>
        </w:rPr>
        <w:t xml:space="preserve">  </w:t>
      </w:r>
      <w:r w:rsidRPr="00DA3167">
        <w:rPr>
          <w:rFonts w:ascii="Times New Roman" w:hAnsi="Times New Roman"/>
          <w:bCs/>
          <w:color w:val="000000"/>
          <w:kern w:val="0"/>
          <w:sz w:val="24"/>
        </w:rPr>
        <w:t xml:space="preserve">FA modulated IRF8 activation and phosphorylation of STAT1 in microglia in </w:t>
      </w:r>
      <w:r w:rsidRPr="00DA3167">
        <w:rPr>
          <w:rFonts w:ascii="Times New Roman" w:hAnsi="Times New Roman" w:hint="eastAsia"/>
          <w:bCs/>
          <w:color w:val="000000"/>
          <w:kern w:val="0"/>
          <w:sz w:val="24"/>
        </w:rPr>
        <w:t>vivo</w:t>
      </w:r>
      <w:r w:rsidRPr="00DA3167">
        <w:rPr>
          <w:rFonts w:ascii="Times New Roman" w:hAnsi="Times New Roman"/>
          <w:bCs/>
          <w:color w:val="000000"/>
          <w:kern w:val="0"/>
          <w:sz w:val="24"/>
        </w:rPr>
        <w:t xml:space="preserve"> and vitro.</w:t>
      </w:r>
      <w:r w:rsidR="00935DCD" w:rsidRPr="00DA3167">
        <w:rPr>
          <w:rFonts w:ascii="Times New Roman" w:hAnsi="Times New Roman"/>
          <w:bCs/>
          <w:color w:val="000000"/>
          <w:kern w:val="0"/>
          <w:sz w:val="24"/>
        </w:rPr>
        <w:t xml:space="preserve"> </w:t>
      </w:r>
    </w:p>
    <w:p w14:paraId="58F5FCAE" w14:textId="142D8F19" w:rsidR="00570D5B" w:rsidRPr="00570D5B" w:rsidRDefault="00570D5B" w:rsidP="008F7DCB">
      <w:pPr>
        <w:rPr>
          <w:rFonts w:ascii="Times New Roman" w:hAnsi="Times New Roman" w:cs="Times New Roman" w:hint="eastAsia"/>
          <w:sz w:val="24"/>
          <w:szCs w:val="28"/>
        </w:rPr>
      </w:pPr>
    </w:p>
    <w:sectPr w:rsidR="00570D5B" w:rsidRPr="00570D5B" w:rsidSect="008F7DCB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DCB"/>
    <w:rsid w:val="0004241C"/>
    <w:rsid w:val="0056047B"/>
    <w:rsid w:val="00570D5B"/>
    <w:rsid w:val="008F7DCB"/>
    <w:rsid w:val="00935D30"/>
    <w:rsid w:val="00935DCD"/>
    <w:rsid w:val="00CC68B3"/>
    <w:rsid w:val="00DA3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C57D00"/>
  <w15:chartTrackingRefBased/>
  <w15:docId w15:val="{1086DD78-C086-44D6-9AF4-186A9BFC1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7D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174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sxw</dc:creator>
  <cp:keywords/>
  <dc:description/>
  <cp:lastModifiedBy>sxw</cp:lastModifiedBy>
  <cp:revision>6</cp:revision>
  <dcterms:created xsi:type="dcterms:W3CDTF">2020-04-25T13:26:00Z</dcterms:created>
  <dcterms:modified xsi:type="dcterms:W3CDTF">2020-12-09T15:39:00Z</dcterms:modified>
</cp:coreProperties>
</file>