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C43" w:rsidRPr="009A2094" w:rsidRDefault="00621C43" w:rsidP="009A209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9A2094">
        <w:rPr>
          <w:rFonts w:asciiTheme="majorBidi" w:eastAsia="Times New Roman" w:hAnsiTheme="majorBidi" w:cstheme="majorBidi"/>
          <w:sz w:val="24"/>
          <w:szCs w:val="24"/>
        </w:rPr>
        <w:t>DDW cause lethality in cancer cells</w:t>
      </w:r>
      <w:r w:rsidR="009A2094" w:rsidRPr="009A2094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9A2094" w:rsidRPr="009A2094" w:rsidRDefault="009A2094" w:rsidP="009A209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21C43">
        <w:rPr>
          <w:rFonts w:asciiTheme="majorBidi" w:eastAsia="Times New Roman" w:hAnsiTheme="majorBidi" w:cstheme="majorBidi"/>
          <w:sz w:val="24"/>
          <w:szCs w:val="24"/>
        </w:rPr>
        <w:t xml:space="preserve">DDW augmented </w:t>
      </w:r>
      <w:r w:rsidRPr="009A2094">
        <w:rPr>
          <w:rFonts w:asciiTheme="majorBidi" w:eastAsia="Times New Roman" w:hAnsiTheme="majorBidi" w:cstheme="majorBidi"/>
          <w:sz w:val="24"/>
          <w:szCs w:val="24"/>
        </w:rPr>
        <w:t>5-FU</w:t>
      </w:r>
      <w:r w:rsidRPr="00621C43">
        <w:rPr>
          <w:rFonts w:asciiTheme="majorBidi" w:eastAsia="Times New Roman" w:hAnsiTheme="majorBidi" w:cstheme="majorBidi"/>
          <w:sz w:val="24"/>
          <w:szCs w:val="24"/>
        </w:rPr>
        <w:t xml:space="preserve"> inhibitory effects on </w:t>
      </w:r>
      <w:r w:rsidRPr="009A2094">
        <w:rPr>
          <w:rFonts w:asciiTheme="majorBidi" w:eastAsia="Times New Roman" w:hAnsiTheme="majorBidi" w:cstheme="majorBidi"/>
          <w:sz w:val="24"/>
          <w:szCs w:val="24"/>
        </w:rPr>
        <w:t xml:space="preserve">colon cancer </w:t>
      </w:r>
      <w:r w:rsidRPr="00621C43">
        <w:rPr>
          <w:rFonts w:asciiTheme="majorBidi" w:eastAsia="Times New Roman" w:hAnsiTheme="majorBidi" w:cstheme="majorBidi"/>
          <w:sz w:val="24"/>
          <w:szCs w:val="24"/>
        </w:rPr>
        <w:t>cell lines</w:t>
      </w:r>
    </w:p>
    <w:p w:rsidR="009A2094" w:rsidRPr="009A2094" w:rsidRDefault="009A2094" w:rsidP="009A209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9A2094">
        <w:rPr>
          <w:rFonts w:asciiTheme="majorBidi" w:eastAsia="Times New Roman" w:hAnsiTheme="majorBidi" w:cstheme="majorBidi"/>
          <w:sz w:val="24"/>
          <w:szCs w:val="24"/>
        </w:rPr>
        <w:t>Cell inhibitory results lead to the discovery of synergic effects of DDW-drug combinations</w:t>
      </w:r>
    </w:p>
    <w:p w:rsidR="009A2094" w:rsidRPr="009A2094" w:rsidRDefault="009A2094" w:rsidP="009A209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9A2094">
        <w:rPr>
          <w:rFonts w:asciiTheme="majorBidi" w:eastAsia="Times New Roman" w:hAnsiTheme="majorBidi" w:cstheme="majorBidi"/>
          <w:sz w:val="24"/>
          <w:szCs w:val="24"/>
        </w:rPr>
        <w:t xml:space="preserve">Synergy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anti cancer effects </w:t>
      </w:r>
      <w:r w:rsidRPr="009A2094">
        <w:rPr>
          <w:rFonts w:asciiTheme="majorBidi" w:eastAsia="Times New Roman" w:hAnsiTheme="majorBidi" w:cstheme="majorBidi"/>
          <w:sz w:val="24"/>
          <w:szCs w:val="24"/>
        </w:rPr>
        <w:t>of DDW with 5-FU is enhanced by decreasing deuterium content of the DDW</w:t>
      </w:r>
    </w:p>
    <w:p w:rsidR="009A2094" w:rsidRPr="009A2094" w:rsidRDefault="009A2094" w:rsidP="009A209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Style w:val="Emphasis"/>
          <w:rFonts w:asciiTheme="majorBidi" w:eastAsia="Times New Roman" w:hAnsiTheme="majorBidi" w:cstheme="majorBidi"/>
          <w:i w:val="0"/>
          <w:iCs w:val="0"/>
          <w:sz w:val="24"/>
          <w:szCs w:val="24"/>
        </w:rPr>
      </w:pPr>
      <w:r w:rsidRPr="009A2094">
        <w:rPr>
          <w:rFonts w:asciiTheme="majorBidi" w:hAnsiTheme="majorBidi" w:cstheme="majorBidi"/>
          <w:sz w:val="24"/>
          <w:szCs w:val="24"/>
        </w:rPr>
        <w:t xml:space="preserve">DDW exerts effects on the cell cycle and changes in configuration and induces antioxidant enzymes </w:t>
      </w:r>
      <w:r w:rsidRPr="009A2094">
        <w:rPr>
          <w:rStyle w:val="Emphasis"/>
          <w:rFonts w:asciiTheme="majorBidi" w:hAnsiTheme="majorBidi" w:cstheme="majorBidi"/>
          <w:sz w:val="24"/>
          <w:szCs w:val="24"/>
        </w:rPr>
        <w:t>in vitro</w:t>
      </w:r>
    </w:p>
    <w:p w:rsidR="009A2094" w:rsidRPr="009A2094" w:rsidRDefault="009A2094" w:rsidP="009A209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9A2094">
        <w:rPr>
          <w:rFonts w:asciiTheme="majorBidi" w:hAnsiTheme="majorBidi" w:cstheme="majorBidi"/>
          <w:sz w:val="24"/>
          <w:szCs w:val="24"/>
        </w:rPr>
        <w:t>DDW</w:t>
      </w:r>
      <w:r w:rsidRPr="009A2094">
        <w:rPr>
          <w:rFonts w:asciiTheme="majorBidi" w:eastAsia="Times New Roman" w:hAnsiTheme="majorBidi" w:cstheme="majorBidi"/>
          <w:sz w:val="24"/>
          <w:szCs w:val="24"/>
        </w:rPr>
        <w:t xml:space="preserve"> can be </w:t>
      </w:r>
      <w:r w:rsidRPr="00621C43">
        <w:rPr>
          <w:rFonts w:asciiTheme="majorBidi" w:eastAsia="Times New Roman" w:hAnsiTheme="majorBidi" w:cstheme="majorBidi"/>
          <w:sz w:val="24"/>
          <w:szCs w:val="24"/>
        </w:rPr>
        <w:t>considered as an adjuvant to conventional anticancer agents in future trials</w:t>
      </w:r>
    </w:p>
    <w:p w:rsidR="008D20B1" w:rsidRDefault="008D20B1"/>
    <w:sectPr w:rsidR="008D20B1" w:rsidSect="008D2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50305040509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40902020509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9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048A3"/>
    <w:multiLevelType w:val="hybridMultilevel"/>
    <w:tmpl w:val="16F4F86A"/>
    <w:lvl w:ilvl="0" w:tplc="DD386F2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621C43"/>
    <w:rsid w:val="00621C43"/>
    <w:rsid w:val="008D20B1"/>
    <w:rsid w:val="009A2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0B1"/>
  </w:style>
  <w:style w:type="paragraph" w:styleId="Heading4">
    <w:name w:val="heading 4"/>
    <w:basedOn w:val="Normal"/>
    <w:link w:val="Heading4Char"/>
    <w:uiPriority w:val="9"/>
    <w:qFormat/>
    <w:rsid w:val="00621C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21C43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621C4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A209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7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2018-03-06T08:53:00Z</dcterms:created>
  <dcterms:modified xsi:type="dcterms:W3CDTF">2018-03-06T09:14:00Z</dcterms:modified>
</cp:coreProperties>
</file>