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A5BF5" w14:textId="34A89868" w:rsidR="008C63ED" w:rsidRDefault="008C63ED" w:rsidP="008C63ED">
      <w:pPr>
        <w:jc w:val="center"/>
        <w:rPr>
          <w:rFonts w:ascii="Times New Roman" w:hAnsi="Times New Roman" w:cs="Times New Roman"/>
          <w:b/>
          <w:sz w:val="24"/>
          <w:szCs w:val="24"/>
        </w:rPr>
      </w:pPr>
      <w:r w:rsidRPr="00557BAB">
        <w:rPr>
          <w:rFonts w:ascii="Times New Roman" w:hAnsi="Times New Roman" w:cs="Times New Roman"/>
          <w:b/>
          <w:sz w:val="24"/>
          <w:szCs w:val="24"/>
        </w:rPr>
        <w:t>Supplementary information</w:t>
      </w:r>
    </w:p>
    <w:p w14:paraId="42EBAFB6" w14:textId="66C0C277" w:rsidR="00302B34" w:rsidRDefault="00302B34" w:rsidP="008C63ED">
      <w:pPr>
        <w:jc w:val="center"/>
        <w:rPr>
          <w:rFonts w:ascii="Times New Roman" w:hAnsi="Times New Roman" w:cs="Times New Roman"/>
          <w:b/>
          <w:sz w:val="24"/>
          <w:szCs w:val="24"/>
        </w:rPr>
      </w:pPr>
    </w:p>
    <w:p w14:paraId="0BF137E9" w14:textId="3FFA8F9B" w:rsidR="00302B34" w:rsidRPr="00302B34" w:rsidRDefault="00302B34" w:rsidP="008C63ED">
      <w:pPr>
        <w:jc w:val="center"/>
        <w:rPr>
          <w:rFonts w:ascii="Times New Roman" w:hAnsi="Times New Roman" w:cs="Times New Roman"/>
          <w:b/>
          <w:sz w:val="24"/>
          <w:szCs w:val="24"/>
        </w:rPr>
      </w:pPr>
      <w:r w:rsidRPr="007A00C7">
        <w:rPr>
          <w:rFonts w:ascii="Times New Roman" w:hAnsi="Times New Roman"/>
          <w:b/>
          <w:color w:val="000000"/>
          <w:sz w:val="24"/>
          <w:szCs w:val="24"/>
        </w:rPr>
        <w:t xml:space="preserve">Formation of perfusion defects in </w:t>
      </w:r>
      <w:r w:rsidRPr="007A00C7">
        <w:rPr>
          <w:rFonts w:ascii="Times New Roman" w:hAnsi="Times New Roman"/>
          <w:b/>
          <w:bCs/>
          <w:color w:val="000000"/>
          <w:sz w:val="24"/>
          <w:szCs w:val="24"/>
        </w:rPr>
        <w:t>lymph nodes</w:t>
      </w:r>
      <w:r w:rsidRPr="007A00C7">
        <w:rPr>
          <w:rFonts w:ascii="Times New Roman" w:hAnsi="Times New Roman"/>
          <w:b/>
          <w:color w:val="000000"/>
          <w:sz w:val="24"/>
          <w:szCs w:val="24"/>
        </w:rPr>
        <w:t xml:space="preserve"> during the early stage of metastasis</w:t>
      </w:r>
    </w:p>
    <w:p w14:paraId="675EEC0F" w14:textId="77777777" w:rsidR="008C63ED" w:rsidRDefault="008C63ED" w:rsidP="008C63ED"/>
    <w:p w14:paraId="3F33132B" w14:textId="3F92E2C7" w:rsidR="008C63ED" w:rsidRDefault="008C63ED" w:rsidP="008C63ED">
      <w:pPr>
        <w:jc w:val="center"/>
      </w:pPr>
      <w:r>
        <w:t>YAMAKI Teppei 1,2, SUKHBAATAR Ariunbuyan 1,2, KIKUCHI Ryohei 1,2,</w:t>
      </w:r>
    </w:p>
    <w:p w14:paraId="2573390E" w14:textId="77777777" w:rsidR="008C63ED" w:rsidRDefault="008C63ED" w:rsidP="008C63ED">
      <w:pPr>
        <w:jc w:val="center"/>
      </w:pPr>
      <w:r>
        <w:t>SAKAMOTO Maya 1,2, MORI Shiro 1,2,3, KODAMA Tetsuya 1,2,4</w:t>
      </w:r>
    </w:p>
    <w:p w14:paraId="50609F28" w14:textId="77777777" w:rsidR="008C63ED" w:rsidRDefault="008C63ED" w:rsidP="008C63ED">
      <w:pPr>
        <w:jc w:val="center"/>
      </w:pPr>
    </w:p>
    <w:p w14:paraId="25C6AFE7" w14:textId="77777777" w:rsidR="008C63ED" w:rsidRDefault="008C63ED" w:rsidP="008C63ED">
      <w:pPr>
        <w:jc w:val="left"/>
      </w:pPr>
      <w:r>
        <w:t>1 Graduate School of Biomedical Engineering, Tohoku University, 4-1 Seiryo, Aoba, Sendai, Miyagi 980-8575, Japan</w:t>
      </w:r>
    </w:p>
    <w:p w14:paraId="5256F9BF" w14:textId="77777777" w:rsidR="008C63ED" w:rsidRDefault="008C63ED" w:rsidP="008C63ED">
      <w:pPr>
        <w:jc w:val="left"/>
      </w:pPr>
      <w:r>
        <w:t>2 Biomedical Engineering Cancer Research Center, Graduate School of Biomedical Engineering, Tohoku University, 4-1 Seiryo, Aoba, Sendai, Miyagi 980-8575, Japan</w:t>
      </w:r>
    </w:p>
    <w:p w14:paraId="6DB80381" w14:textId="0112B248" w:rsidR="008C63ED" w:rsidRDefault="008C63ED" w:rsidP="008C63ED">
      <w:pPr>
        <w:jc w:val="left"/>
      </w:pPr>
      <w:r>
        <w:t>3 Department of Oral and Maxillofacial Surgery, Tohoku University Hospital, 1-1 Seiryo, Aoba, Sendai, Miyagi 980-8575, Japan</w:t>
      </w:r>
    </w:p>
    <w:p w14:paraId="3F20F65F" w14:textId="517996C1" w:rsidR="008C63ED" w:rsidRDefault="008C63ED" w:rsidP="008C63ED">
      <w:pPr>
        <w:jc w:val="left"/>
      </w:pPr>
      <w:r>
        <w:t>4 Department of Electronic Engineering, Graduate School of Engineering, Tohoku University, Aoba, Sendai, Miyagi 980-8579, Japan</w:t>
      </w:r>
    </w:p>
    <w:p w14:paraId="40995D6E" w14:textId="56A20D57" w:rsidR="008C63ED" w:rsidRDefault="008C63ED" w:rsidP="008C63ED">
      <w:pPr>
        <w:jc w:val="left"/>
      </w:pPr>
    </w:p>
    <w:p w14:paraId="69CDCFC0" w14:textId="77777777" w:rsidR="008C63ED" w:rsidRDefault="008C63ED" w:rsidP="008C63ED">
      <w:pPr>
        <w:jc w:val="left"/>
        <w:rPr>
          <w:b/>
          <w:bCs/>
        </w:rPr>
      </w:pPr>
    </w:p>
    <w:p w14:paraId="37D238C5" w14:textId="24F4B033" w:rsidR="008C63ED" w:rsidRDefault="008C63ED" w:rsidP="008C63ED">
      <w:pPr>
        <w:jc w:val="left"/>
      </w:pPr>
      <w:r w:rsidRPr="008C63ED">
        <w:rPr>
          <w:b/>
          <w:bCs/>
        </w:rPr>
        <w:t>Figure S1.</w:t>
      </w:r>
      <w:r>
        <w:t xml:space="preserve"> Assessment of solid tumor growth using the </w:t>
      </w:r>
      <w:r w:rsidRPr="00843BDB">
        <w:rPr>
          <w:i/>
          <w:iCs/>
        </w:rPr>
        <w:t>in vivo</w:t>
      </w:r>
      <w:r>
        <w:t xml:space="preserve"> bioluminescence imaging system. a, Representative bioluminescence images of the solid tumor on days 0, 7, 14, 21 and 28 after the intradermal inoculation of FM3A-Luc cells into the right flank of the mouse. b, Luciferase activity. Data are </w:t>
      </w:r>
      <w:r w:rsidR="00210C3A">
        <w:t xml:space="preserve">presented </w:t>
      </w:r>
      <w:r>
        <w:t xml:space="preserve">as </w:t>
      </w:r>
      <w:r w:rsidR="00210C3A">
        <w:t xml:space="preserve">the </w:t>
      </w:r>
      <w:r>
        <w:t>mean</w:t>
      </w:r>
      <w:r w:rsidR="00210C3A">
        <w:t xml:space="preserve">± </w:t>
      </w:r>
      <w:r>
        <w:t>S.E.M. (n = 2). ns: not significant.</w:t>
      </w:r>
    </w:p>
    <w:p w14:paraId="16D8BDA1" w14:textId="77777777" w:rsidR="008C63ED" w:rsidRDefault="008C63ED" w:rsidP="008C63ED">
      <w:pPr>
        <w:jc w:val="left"/>
      </w:pPr>
    </w:p>
    <w:p w14:paraId="64D0AA74" w14:textId="44EF7807" w:rsidR="008C63ED" w:rsidRDefault="008C63ED" w:rsidP="008C63ED">
      <w:pPr>
        <w:jc w:val="left"/>
      </w:pPr>
      <w:r w:rsidRPr="008C63ED">
        <w:rPr>
          <w:b/>
          <w:bCs/>
        </w:rPr>
        <w:t>Video S1.</w:t>
      </w:r>
      <w:r>
        <w:t xml:space="preserve"> 3D micro-CT image of the PALN (control).</w:t>
      </w:r>
      <w:r>
        <w:rPr>
          <w:rFonts w:hint="eastAsia"/>
        </w:rPr>
        <w:t xml:space="preserve"> </w:t>
      </w:r>
      <w:r>
        <w:t xml:space="preserve">The shape of the PALN was a flat oval. When the mouse was surgically opened, the TEV was seen running over the surface of the SiLN and PALN. The densely vascularized side could be seen by the naked eye </w:t>
      </w:r>
      <w:r w:rsidR="00210C3A">
        <w:t xml:space="preserve">after </w:t>
      </w:r>
      <w:r>
        <w:t>the abdomen was opened. There were fewer vessels on the reverse side.</w:t>
      </w:r>
    </w:p>
    <w:p w14:paraId="34281176" w14:textId="77777777" w:rsidR="008C63ED" w:rsidRDefault="008C63ED" w:rsidP="008C63ED">
      <w:pPr>
        <w:jc w:val="left"/>
      </w:pPr>
    </w:p>
    <w:p w14:paraId="3485D186" w14:textId="63F603DF" w:rsidR="008C63ED" w:rsidRDefault="008C63ED" w:rsidP="008C63ED">
      <w:pPr>
        <w:jc w:val="left"/>
      </w:pPr>
      <w:r w:rsidRPr="008C63ED">
        <w:rPr>
          <w:b/>
          <w:bCs/>
        </w:rPr>
        <w:t xml:space="preserve">Video S2. </w:t>
      </w:r>
      <w:r>
        <w:t>3D micro-CT image of the perfusion defect area in the PALN after the inoculation of KM-Luc/GFP cells.</w:t>
      </w:r>
      <w:r>
        <w:rPr>
          <w:rFonts w:hint="eastAsia"/>
        </w:rPr>
        <w:t xml:space="preserve"> </w:t>
      </w:r>
      <w:r>
        <w:t xml:space="preserve">The PALN was obtained on day 7 after the inoculation of KM-Luc/GFP cells into the SiLN. </w:t>
      </w:r>
    </w:p>
    <w:p w14:paraId="0CC3BE3A" w14:textId="77777777" w:rsidR="008C63ED" w:rsidRDefault="008C63ED" w:rsidP="008C63ED">
      <w:pPr>
        <w:jc w:val="left"/>
      </w:pPr>
    </w:p>
    <w:p w14:paraId="6A844538" w14:textId="31DC71CC" w:rsidR="008C63ED" w:rsidRDefault="008C63ED" w:rsidP="008C63ED">
      <w:pPr>
        <w:jc w:val="left"/>
      </w:pPr>
      <w:r w:rsidRPr="008C63ED">
        <w:rPr>
          <w:b/>
          <w:bCs/>
        </w:rPr>
        <w:t>Video S3.</w:t>
      </w:r>
      <w:r>
        <w:t xml:space="preserve"> 3D micro-CT image of the perfusion defect area in the PALN after the inoculation of FM3A-Luc cells.</w:t>
      </w:r>
      <w:r>
        <w:rPr>
          <w:rFonts w:hint="eastAsia"/>
        </w:rPr>
        <w:t xml:space="preserve"> </w:t>
      </w:r>
      <w:r>
        <w:t xml:space="preserve">The PALN was </w:t>
      </w:r>
      <w:r w:rsidR="00210C3A">
        <w:t xml:space="preserve">examined </w:t>
      </w:r>
      <w:r>
        <w:t>at day 35 after the inoculation of FM3A-Luc cells into the SiLN.</w:t>
      </w:r>
    </w:p>
    <w:p w14:paraId="21E6AE48" w14:textId="17A7DA76" w:rsidR="008C63ED" w:rsidRDefault="008C63ED" w:rsidP="008C63ED">
      <w:pPr>
        <w:jc w:val="left"/>
      </w:pPr>
    </w:p>
    <w:p w14:paraId="1D748EF3" w14:textId="1B9CCEF4" w:rsidR="008C63ED" w:rsidRDefault="008C63ED" w:rsidP="008C63ED">
      <w:pPr>
        <w:jc w:val="left"/>
      </w:pPr>
    </w:p>
    <w:p w14:paraId="69BC35D6" w14:textId="746A52B8" w:rsidR="008C63ED" w:rsidRDefault="008C63ED" w:rsidP="008C63ED">
      <w:pPr>
        <w:jc w:val="left"/>
      </w:pPr>
    </w:p>
    <w:p w14:paraId="2DF43FFA" w14:textId="0E47194A" w:rsidR="008C63ED" w:rsidRDefault="008C63ED" w:rsidP="008C63ED">
      <w:pPr>
        <w:jc w:val="left"/>
      </w:pPr>
    </w:p>
    <w:p w14:paraId="58A1D997" w14:textId="5878E565" w:rsidR="008C63ED" w:rsidRDefault="008C63ED" w:rsidP="008C63ED">
      <w:pPr>
        <w:jc w:val="left"/>
      </w:pPr>
      <w:r>
        <w:rPr>
          <w:noProof/>
        </w:rPr>
        <mc:AlternateContent>
          <mc:Choice Requires="wps">
            <w:drawing>
              <wp:anchor distT="0" distB="0" distL="114300" distR="114300" simplePos="0" relativeHeight="251659264" behindDoc="0" locked="0" layoutInCell="1" allowOverlap="1" wp14:anchorId="31052D88" wp14:editId="77FA63E5">
                <wp:simplePos x="0" y="0"/>
                <wp:positionH relativeFrom="column">
                  <wp:posOffset>53340</wp:posOffset>
                </wp:positionH>
                <wp:positionV relativeFrom="paragraph">
                  <wp:posOffset>187324</wp:posOffset>
                </wp:positionV>
                <wp:extent cx="4543425" cy="4067175"/>
                <wp:effectExtent l="0" t="0" r="28575" b="28575"/>
                <wp:wrapNone/>
                <wp:docPr id="1" name="テキスト ボックス 1"/>
                <wp:cNvGraphicFramePr/>
                <a:graphic xmlns:a="http://schemas.openxmlformats.org/drawingml/2006/main">
                  <a:graphicData uri="http://schemas.microsoft.com/office/word/2010/wordprocessingShape">
                    <wps:wsp>
                      <wps:cNvSpPr txBox="1"/>
                      <wps:spPr>
                        <a:xfrm>
                          <a:off x="0" y="0"/>
                          <a:ext cx="4543425" cy="4067175"/>
                        </a:xfrm>
                        <a:prstGeom prst="rect">
                          <a:avLst/>
                        </a:prstGeom>
                        <a:solidFill>
                          <a:schemeClr val="lt1"/>
                        </a:solidFill>
                        <a:ln w="6350">
                          <a:solidFill>
                            <a:prstClr val="black"/>
                          </a:solidFill>
                        </a:ln>
                      </wps:spPr>
                      <wps:txbx>
                        <w:txbxContent>
                          <w:p w14:paraId="6FE032BA" w14:textId="179E0A0F" w:rsidR="008C63ED" w:rsidRDefault="00843BDB">
                            <w:r>
                              <w:rPr>
                                <w:noProof/>
                              </w:rPr>
                              <w:drawing>
                                <wp:inline distT="0" distB="0" distL="0" distR="0" wp14:anchorId="192B14C8" wp14:editId="7513E751">
                                  <wp:extent cx="4343400" cy="306705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43400" cy="30670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052D88" id="_x0000_t202" coordsize="21600,21600" o:spt="202" path="m,l,21600r21600,l21600,xe">
                <v:stroke joinstyle="miter"/>
                <v:path gradientshapeok="t" o:connecttype="rect"/>
              </v:shapetype>
              <v:shape id="テキスト ボックス 1" o:spid="_x0000_s1026" type="#_x0000_t202" style="position:absolute;margin-left:4.2pt;margin-top:14.75pt;width:357.75pt;height:320.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" fillcolor="white [3201]" strokeweight=".5pt">
                <v:textbox style="mso-fit-shape-to-text:t">
                  <w:txbxContent>
                    <w:p w14:paraId="6FE032BA" w14:textId="179E0A0F" w:rsidR="008C63ED" w:rsidRDefault="00843BDB">
                      <w:r>
                        <w:rPr>
                          <w:noProof/>
                        </w:rPr>
                        <w:drawing>
                          <wp:inline distT="0" distB="0" distL="0" distR="0" wp14:anchorId="192B14C8" wp14:editId="7513E751">
                            <wp:extent cx="4343400" cy="306705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43400" cy="3067050"/>
                                    </a:xfrm>
                                    <a:prstGeom prst="rect">
                                      <a:avLst/>
                                    </a:prstGeom>
                                    <a:noFill/>
                                    <a:ln>
                                      <a:noFill/>
                                    </a:ln>
                                  </pic:spPr>
                                </pic:pic>
                              </a:graphicData>
                            </a:graphic>
                          </wp:inline>
                        </w:drawing>
                      </w:r>
                    </w:p>
                  </w:txbxContent>
                </v:textbox>
              </v:shape>
            </w:pict>
          </mc:Fallback>
        </mc:AlternateContent>
      </w:r>
    </w:p>
    <w:p w14:paraId="3549FE87" w14:textId="77777777" w:rsidR="008C63ED" w:rsidRPr="008C63ED" w:rsidRDefault="008C63ED" w:rsidP="008C63ED">
      <w:pPr>
        <w:jc w:val="left"/>
      </w:pPr>
    </w:p>
    <w:sectPr w:rsidR="008C63ED" w:rsidRPr="008C63E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grammar="clean"/>
  <w:doNotTrackMoves/>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WxMDU2MzU0MzMxsDRU0lEKTi0uzszPAykwrgUAP3K6CywAAAA="/>
  </w:docVars>
  <w:rsids>
    <w:rsidRoot w:val="008C63ED"/>
    <w:rsid w:val="000C66F9"/>
    <w:rsid w:val="00210C3A"/>
    <w:rsid w:val="00302B34"/>
    <w:rsid w:val="0042718F"/>
    <w:rsid w:val="00843BDB"/>
    <w:rsid w:val="00895309"/>
    <w:rsid w:val="008C63ED"/>
    <w:rsid w:val="00C46548"/>
    <w:rsid w:val="00D65C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713D0A1"/>
  <w15:chartTrackingRefBased/>
  <w15:docId w15:val="{29F60B3F-A102-48EA-9363-D702162E0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63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0.jpeg"/><Relationship Id="rId4"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278</Words>
  <Characters>1585</Characters>
  <Application>Microsoft Office Word</Application>
  <DocSecurity>0</DocSecurity>
  <Lines>13</Lines>
  <Paragraphs>3</Paragraphs>
  <ScaleCrop>false</ScaleCrop>
  <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小玉　哲也</dc:creator>
  <cp:keywords/>
  <dc:description/>
  <cp:lastModifiedBy>小玉　哲也</cp:lastModifiedBy>
  <cp:revision>2</cp:revision>
  <dcterms:created xsi:type="dcterms:W3CDTF">2021-01-19T23:24:00Z</dcterms:created>
  <dcterms:modified xsi:type="dcterms:W3CDTF">2021-01-19T23:24:00Z</dcterms:modified>
</cp:coreProperties>
</file>