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09BED" w14:textId="77777777" w:rsidR="00A6055A" w:rsidRPr="00052CAB" w:rsidRDefault="00A6055A" w:rsidP="00380AD0">
      <w:pPr>
        <w:ind w:firstLineChars="0" w:firstLine="0"/>
        <w:rPr>
          <w:rFonts w:cs="Times New Roman"/>
          <w:b/>
          <w:sz w:val="20"/>
          <w:szCs w:val="20"/>
        </w:rPr>
      </w:pPr>
      <w:r w:rsidRPr="00052CAB">
        <w:rPr>
          <w:rFonts w:cs="Times New Roman"/>
          <w:b/>
          <w:sz w:val="20"/>
          <w:szCs w:val="20"/>
        </w:rPr>
        <w:t>Preparation of low-cost functionalized diatomite and its effective removal of ammonia nitrogen from wastewater</w:t>
      </w:r>
      <w:r w:rsidRPr="00052CAB">
        <w:rPr>
          <w:rFonts w:cs="Times New Roman"/>
          <w:b/>
          <w:sz w:val="20"/>
          <w:szCs w:val="20"/>
        </w:rPr>
        <w:fldChar w:fldCharType="begin"/>
      </w:r>
      <w:r w:rsidRPr="00052CAB">
        <w:rPr>
          <w:rFonts w:cs="Times New Roman"/>
          <w:b/>
          <w:sz w:val="20"/>
          <w:szCs w:val="20"/>
        </w:rPr>
        <w:instrText xml:space="preserve"> ADDIN ZOTERO_ITEM CSL_CITATION {"citationID":"a1nrlipe445","properties":{"formattedCitation":"\\uldash{(Li et al. 2020)}","plainCitation":"(Li et al. 2020)","dontUpdate":true,"noteIndex":0},"citationItems":[{"id":153,"uris":["http://zotero.org/users/7695463/items/TQCQR73C"],"itemData":{"id":153,"type":"article-journal","abstract":"In this work, zirconium chloride octahydrate/CTAB/vetiver grass-activated carbon (ZR/CTAB/VGAC) was prepared from vetiver grass-activated carbon (VGAC), using zirconium chloride octahydrate (ZR) and cetyltrimethylammonium bromide (CTAB) as modifiers. The optimized conditions of the simultaneous phosphate and nitrate removal by ZR/CTAB/VGAC were discussed, including amount of adsorbent, initial concentration, pH, contact time, and temperature. The simultaneous removal efficiency of phosphate and nitrate was 96.50% and 51.17% under optimized conditions. The structural and morphology of ZR/ CTAB/VGAC was investigated by using automatic volumetric adsorption analyzer (BET), scanning electron microscopy (SEM), energy dispersive x-ray analysis (EDAX), and Fourier transform infrared spectroscopy (FTIR). It was found that the removal efficiencies of phosphate and nitrate were enhanced dramatically because ZR and CTAB were introduced on the surface of VGAC after modification. Moreover, the adsorption data fitted significantly well with Freundlich isotherm model. It was described well by pseudo-second-order kinetic model. Phosphate and nitrate adsorbed via chemisorption (ion exchange) by ZR, CTAB, and functional groups of the surface of ZR/CTAB/VGAC. Electrostatic adsorption of AC in ZR/CTAB/VGAC also played an important role in the adsorption process. ZR/CTAB/VGAC is an excellent adsorbent, which could be applied to remove nitrate and phosphate from wastewater.","container-title":"Environmental Science and Pollution Research","DOI":"10.1007/s11356-020-09271-5","ISSN":"0944-1344, 1614-7499","journalAbbreviation":"Environ Sci Pollut Res","language":"en","source":"DOI.org (Crossref)","title":"The adsorption properties of functionalization vetiver grass-based activated carbon: the simultaneous adsorption of phosphate and nitrate","title-short":"The adsorption properties of functionalization vetiver grass-based activated carbon","URL":"http://link.springer.com/10.1007/s11356-020-09271-5","author":[{"family":"Li","given":"Jianmin"},{"family":"Fang","given":"Xiuying"},{"family":"Yang","given":"Min"},{"family":"Tan","given":"Wei"},{"family":"Zhang","given":"Haocheng"},{"family":"Zhang","given":"Yanyan"},{"family":"Li","given":"Guizhen"},{"family":"Wang","given":"Hongbin"}],"accessed":{"date-parts":[["2021",3,16]]},"issued":{"date-parts":[["2020",6,4]]},"citation-key":"liAdsorptionPropertiesFunctionalization2020"}}],"schema":"https://github.com/citation-style-language/schema/raw/master/csl-citation.json"} </w:instrText>
      </w:r>
      <w:r w:rsidR="00184320">
        <w:rPr>
          <w:rFonts w:cs="Times New Roman"/>
          <w:b/>
          <w:sz w:val="20"/>
          <w:szCs w:val="20"/>
        </w:rPr>
        <w:fldChar w:fldCharType="separate"/>
      </w:r>
      <w:r w:rsidRPr="00052CAB">
        <w:rPr>
          <w:rFonts w:cs="Times New Roman"/>
          <w:b/>
          <w:sz w:val="20"/>
          <w:szCs w:val="20"/>
        </w:rPr>
        <w:fldChar w:fldCharType="end"/>
      </w:r>
    </w:p>
    <w:p w14:paraId="7CCA87C5" w14:textId="77777777" w:rsidR="00A6055A" w:rsidRPr="00052CAB" w:rsidRDefault="00A6055A" w:rsidP="00A6055A">
      <w:pPr>
        <w:ind w:firstLineChars="0" w:firstLine="0"/>
        <w:rPr>
          <w:rFonts w:cs="Times New Roman"/>
          <w:b/>
          <w:sz w:val="20"/>
          <w:szCs w:val="20"/>
        </w:rPr>
      </w:pPr>
    </w:p>
    <w:p w14:paraId="00C78502" w14:textId="37A598D1" w:rsidR="00A6055A" w:rsidRPr="00052CAB" w:rsidRDefault="00A6055A" w:rsidP="00A6055A">
      <w:pPr>
        <w:widowControl/>
        <w:adjustRightInd w:val="0"/>
        <w:snapToGrid w:val="0"/>
        <w:ind w:firstLineChars="0" w:firstLine="0"/>
        <w:jc w:val="left"/>
        <w:rPr>
          <w:rFonts w:cs="Times New Roman"/>
          <w:sz w:val="20"/>
          <w:szCs w:val="20"/>
        </w:rPr>
      </w:pPr>
      <w:r w:rsidRPr="00052CAB">
        <w:rPr>
          <w:rFonts w:cs="Times New Roman"/>
          <w:sz w:val="20"/>
          <w:szCs w:val="20"/>
        </w:rPr>
        <w:t>Shuju Fang</w:t>
      </w:r>
      <w:r w:rsidRPr="00052CAB">
        <w:rPr>
          <w:rFonts w:cs="Times New Roman"/>
          <w:sz w:val="20"/>
          <w:szCs w:val="20"/>
          <w:vertAlign w:val="superscript"/>
        </w:rPr>
        <w:t>1†</w:t>
      </w:r>
      <w:r w:rsidRPr="00052CAB">
        <w:rPr>
          <w:rFonts w:cs="Times New Roman"/>
          <w:sz w:val="20"/>
          <w:szCs w:val="20"/>
        </w:rPr>
        <w:t>, Gufeng Li</w:t>
      </w:r>
      <w:r w:rsidRPr="00052CAB">
        <w:rPr>
          <w:rFonts w:cs="Times New Roman"/>
          <w:sz w:val="20"/>
          <w:szCs w:val="20"/>
          <w:vertAlign w:val="superscript"/>
        </w:rPr>
        <w:t>1†</w:t>
      </w:r>
      <w:r w:rsidRPr="00052CAB">
        <w:rPr>
          <w:rFonts w:cs="Times New Roman"/>
          <w:sz w:val="20"/>
          <w:szCs w:val="20"/>
        </w:rPr>
        <w:t>; Hongyu Shi</w:t>
      </w:r>
      <w:r w:rsidRPr="00052CAB">
        <w:rPr>
          <w:rFonts w:cs="Times New Roman"/>
          <w:sz w:val="20"/>
          <w:szCs w:val="20"/>
          <w:vertAlign w:val="superscript"/>
        </w:rPr>
        <w:t>1</w:t>
      </w:r>
      <w:r w:rsidRPr="00052CAB">
        <w:rPr>
          <w:rFonts w:cs="Times New Roman"/>
          <w:sz w:val="20"/>
          <w:szCs w:val="20"/>
        </w:rPr>
        <w:t>; Junxiu Ye</w:t>
      </w:r>
      <w:r w:rsidRPr="00052CAB">
        <w:rPr>
          <w:rFonts w:cs="Times New Roman"/>
          <w:sz w:val="20"/>
          <w:szCs w:val="20"/>
          <w:vertAlign w:val="superscript"/>
        </w:rPr>
        <w:t>1</w:t>
      </w:r>
      <w:r w:rsidRPr="00052CAB">
        <w:rPr>
          <w:rFonts w:cs="Times New Roman"/>
          <w:sz w:val="20"/>
          <w:szCs w:val="20"/>
        </w:rPr>
        <w:t>; Hongbin Wang</w:t>
      </w:r>
      <w:r w:rsidRPr="00052CAB">
        <w:rPr>
          <w:rFonts w:cs="Times New Roman"/>
          <w:sz w:val="20"/>
          <w:szCs w:val="20"/>
          <w:vertAlign w:val="superscript"/>
        </w:rPr>
        <w:t>1</w:t>
      </w:r>
      <w:r w:rsidRPr="00052CAB">
        <w:rPr>
          <w:rFonts w:cs="Times New Roman"/>
          <w:sz w:val="20"/>
          <w:szCs w:val="20"/>
        </w:rPr>
        <w:t>; Xuemei Ding</w:t>
      </w:r>
      <w:r w:rsidRPr="00052CAB">
        <w:rPr>
          <w:rFonts w:cs="Times New Roman"/>
          <w:sz w:val="20"/>
          <w:szCs w:val="20"/>
          <w:vertAlign w:val="superscript"/>
        </w:rPr>
        <w:t>1</w:t>
      </w:r>
      <w:r w:rsidRPr="00052CAB">
        <w:rPr>
          <w:rFonts w:cs="Times New Roman"/>
          <w:sz w:val="20"/>
          <w:szCs w:val="20"/>
        </w:rPr>
        <w:t xml:space="preserve">; </w:t>
      </w:r>
      <w:r w:rsidR="006A3B5A" w:rsidRPr="006A3B5A">
        <w:rPr>
          <w:rFonts w:cs="Times New Roman"/>
          <w:sz w:val="21"/>
          <w:szCs w:val="16"/>
        </w:rPr>
        <w:t>Lijun Luo</w:t>
      </w:r>
      <w:r w:rsidR="006A3B5A" w:rsidRPr="006A3B5A">
        <w:rPr>
          <w:rFonts w:cs="Times New Roman"/>
          <w:sz w:val="21"/>
          <w:szCs w:val="16"/>
          <w:vertAlign w:val="superscript"/>
        </w:rPr>
        <w:t>1</w:t>
      </w:r>
      <w:r w:rsidR="006A3B5A" w:rsidRPr="006A3B5A">
        <w:rPr>
          <w:rFonts w:cs="Times New Roman"/>
          <w:sz w:val="21"/>
          <w:szCs w:val="16"/>
        </w:rPr>
        <w:t xml:space="preserve">; </w:t>
      </w:r>
      <w:r w:rsidRPr="00052CAB">
        <w:rPr>
          <w:rFonts w:cs="Times New Roman"/>
          <w:sz w:val="20"/>
          <w:szCs w:val="20"/>
        </w:rPr>
        <w:t>Guizhen Li</w:t>
      </w:r>
      <w:r w:rsidRPr="00052CAB">
        <w:rPr>
          <w:rFonts w:cs="Times New Roman"/>
          <w:sz w:val="20"/>
          <w:szCs w:val="20"/>
          <w:vertAlign w:val="superscript"/>
        </w:rPr>
        <w:t>1</w:t>
      </w:r>
      <w:r w:rsidRPr="00052CAB">
        <w:rPr>
          <w:rFonts w:cs="Times New Roman"/>
          <w:sz w:val="20"/>
          <w:szCs w:val="20"/>
        </w:rPr>
        <w:t>; Min Yang</w:t>
      </w:r>
      <w:r w:rsidRPr="00052CAB">
        <w:rPr>
          <w:rFonts w:cs="Times New Roman"/>
          <w:sz w:val="20"/>
          <w:szCs w:val="20"/>
          <w:vertAlign w:val="superscript"/>
        </w:rPr>
        <w:t>1*</w:t>
      </w:r>
    </w:p>
    <w:p w14:paraId="01465BB2" w14:textId="77777777" w:rsidR="00A6055A" w:rsidRPr="00052CAB" w:rsidRDefault="00A6055A" w:rsidP="00A6055A">
      <w:pPr>
        <w:widowControl/>
        <w:adjustRightInd w:val="0"/>
        <w:snapToGrid w:val="0"/>
        <w:ind w:firstLineChars="0" w:firstLine="0"/>
        <w:rPr>
          <w:rFonts w:eastAsiaTheme="minorEastAsia" w:cs="Times New Roman"/>
          <w:sz w:val="20"/>
          <w:szCs w:val="20"/>
        </w:rPr>
      </w:pPr>
    </w:p>
    <w:p w14:paraId="03387776" w14:textId="77777777" w:rsidR="00A6055A" w:rsidRPr="00052CAB" w:rsidRDefault="00A6055A" w:rsidP="00A6055A">
      <w:pPr>
        <w:widowControl/>
        <w:adjustRightInd w:val="0"/>
        <w:snapToGrid w:val="0"/>
        <w:ind w:firstLineChars="0" w:firstLine="0"/>
        <w:rPr>
          <w:rFonts w:eastAsia="宋体" w:cs="Times New Roman"/>
          <w:iCs/>
          <w:kern w:val="0"/>
          <w:sz w:val="20"/>
          <w:szCs w:val="20"/>
        </w:rPr>
      </w:pPr>
      <w:r w:rsidRPr="00052CAB">
        <w:rPr>
          <w:rFonts w:cs="Times New Roman"/>
          <w:sz w:val="20"/>
          <w:szCs w:val="20"/>
        </w:rPr>
        <w:t xml:space="preserve">(1 </w:t>
      </w:r>
      <w:r w:rsidRPr="00052CAB">
        <w:rPr>
          <w:rFonts w:eastAsia="MS PMincho" w:cs="Times New Roman"/>
          <w:iCs/>
          <w:kern w:val="0"/>
          <w:sz w:val="20"/>
          <w:szCs w:val="20"/>
          <w:lang w:eastAsia="en-US"/>
        </w:rPr>
        <w:t>Key Laboratory of Resource Clean Conversion in Ethnic Regions, Education Department of Yunnan, School of Chemistry and Environment, Yunnan Minzu University, Kunming 650500, P. R. China</w:t>
      </w:r>
      <w:r w:rsidRPr="00052CAB">
        <w:rPr>
          <w:rFonts w:cs="Times New Roman"/>
          <w:iCs/>
          <w:kern w:val="0"/>
          <w:sz w:val="20"/>
          <w:szCs w:val="20"/>
        </w:rPr>
        <w:t>)</w:t>
      </w:r>
    </w:p>
    <w:p w14:paraId="284BA6E5" w14:textId="77777777" w:rsidR="00A6055A" w:rsidRPr="00052CAB" w:rsidRDefault="00A6055A" w:rsidP="00A6055A">
      <w:pPr>
        <w:widowControl/>
        <w:adjustRightInd w:val="0"/>
        <w:snapToGrid w:val="0"/>
        <w:ind w:firstLineChars="0" w:firstLine="0"/>
        <w:rPr>
          <w:rFonts w:eastAsiaTheme="minorEastAsia" w:cs="Times New Roman"/>
          <w:iCs/>
          <w:kern w:val="0"/>
          <w:sz w:val="20"/>
          <w:szCs w:val="20"/>
        </w:rPr>
      </w:pPr>
    </w:p>
    <w:p w14:paraId="794E7328" w14:textId="77777777" w:rsidR="00A6055A" w:rsidRPr="00052CAB" w:rsidRDefault="00A6055A" w:rsidP="00A6055A">
      <w:pPr>
        <w:ind w:firstLineChars="0" w:firstLine="0"/>
        <w:jc w:val="left"/>
        <w:rPr>
          <w:rFonts w:eastAsia="MS PMincho" w:cs="Times New Roman"/>
          <w:iCs/>
          <w:sz w:val="20"/>
          <w:szCs w:val="20"/>
        </w:rPr>
      </w:pPr>
      <w:r w:rsidRPr="00052CAB">
        <w:rPr>
          <w:rFonts w:eastAsia="MS PMincho" w:cs="Times New Roman"/>
          <w:iCs/>
          <w:sz w:val="20"/>
          <w:szCs w:val="20"/>
        </w:rPr>
        <w:t xml:space="preserve">Email: </w:t>
      </w:r>
    </w:p>
    <w:p w14:paraId="51A4AFB4" w14:textId="77777777" w:rsidR="00A6055A" w:rsidRPr="00052CAB" w:rsidRDefault="00A6055A" w:rsidP="00A6055A">
      <w:pPr>
        <w:ind w:firstLineChars="0" w:firstLine="0"/>
        <w:jc w:val="left"/>
        <w:rPr>
          <w:rFonts w:cs="Times New Roman"/>
          <w:sz w:val="20"/>
          <w:szCs w:val="20"/>
        </w:rPr>
      </w:pPr>
      <w:r w:rsidRPr="00052CAB">
        <w:rPr>
          <w:rFonts w:cs="Times New Roman"/>
          <w:sz w:val="20"/>
          <w:szCs w:val="20"/>
        </w:rPr>
        <w:t>Gufeng Li</w:t>
      </w:r>
      <w:r w:rsidRPr="00052CAB">
        <w:rPr>
          <w:rFonts w:cs="Times New Roman"/>
          <w:sz w:val="20"/>
          <w:szCs w:val="20"/>
          <w:vertAlign w:val="superscript"/>
        </w:rPr>
        <w:t>1†</w:t>
      </w:r>
      <w:r w:rsidRPr="00052CAB">
        <w:rPr>
          <w:rFonts w:cs="Times New Roman"/>
          <w:sz w:val="20"/>
          <w:szCs w:val="20"/>
        </w:rPr>
        <w:t xml:space="preserve"> - 1250191263@qq.com</w:t>
      </w:r>
    </w:p>
    <w:p w14:paraId="2498DD80" w14:textId="3A33094D" w:rsidR="00A6055A" w:rsidRDefault="00A6055A" w:rsidP="00A6055A">
      <w:pPr>
        <w:ind w:firstLineChars="0" w:firstLine="0"/>
        <w:jc w:val="left"/>
        <w:rPr>
          <w:rFonts w:cs="Times New Roman"/>
          <w:sz w:val="20"/>
          <w:szCs w:val="20"/>
        </w:rPr>
      </w:pPr>
      <w:r w:rsidRPr="00052CAB">
        <w:rPr>
          <w:rFonts w:eastAsia="MS PMincho" w:cs="Times New Roman"/>
          <w:iCs/>
          <w:sz w:val="20"/>
          <w:szCs w:val="20"/>
        </w:rPr>
        <w:t>Min Yang</w:t>
      </w:r>
      <w:r w:rsidRPr="00052CAB">
        <w:rPr>
          <w:rFonts w:cs="Times New Roman"/>
          <w:sz w:val="20"/>
          <w:szCs w:val="20"/>
          <w:vertAlign w:val="superscript"/>
        </w:rPr>
        <w:t>1*</w:t>
      </w:r>
      <w:r w:rsidRPr="00052CAB">
        <w:rPr>
          <w:rFonts w:cs="Times New Roman"/>
          <w:sz w:val="20"/>
          <w:szCs w:val="20"/>
        </w:rPr>
        <w:t xml:space="preserve"> - </w:t>
      </w:r>
      <w:r w:rsidR="00D1170F" w:rsidRPr="00D1170F">
        <w:rPr>
          <w:rFonts w:cs="Times New Roman"/>
          <w:sz w:val="20"/>
          <w:szCs w:val="20"/>
        </w:rPr>
        <w:t>826677468@qq.com</w:t>
      </w:r>
    </w:p>
    <w:p w14:paraId="670FC622" w14:textId="77777777" w:rsidR="00D1170F" w:rsidRPr="00D1170F" w:rsidRDefault="00D1170F" w:rsidP="00A6055A">
      <w:pPr>
        <w:ind w:firstLineChars="0" w:firstLine="0"/>
        <w:jc w:val="left"/>
        <w:rPr>
          <w:rFonts w:eastAsiaTheme="minorEastAsia" w:cs="Times New Roman"/>
          <w:sz w:val="20"/>
          <w:szCs w:val="20"/>
        </w:rPr>
      </w:pPr>
    </w:p>
    <w:p w14:paraId="1776468D" w14:textId="62616EA2" w:rsidR="00A6055A" w:rsidRPr="00D1170F" w:rsidRDefault="00D1170F" w:rsidP="00D1170F">
      <w:pPr>
        <w:widowControl/>
        <w:adjustRightInd w:val="0"/>
        <w:snapToGrid w:val="0"/>
        <w:ind w:firstLineChars="0" w:firstLine="0"/>
        <w:rPr>
          <w:rFonts w:eastAsiaTheme="minorEastAsia" w:cs="Times New Roman"/>
          <w:sz w:val="20"/>
          <w:szCs w:val="20"/>
        </w:rPr>
      </w:pPr>
      <w:r w:rsidRPr="00052CAB">
        <w:rPr>
          <w:rFonts w:cs="Times New Roman"/>
          <w:sz w:val="20"/>
          <w:szCs w:val="20"/>
          <w:vertAlign w:val="superscript"/>
        </w:rPr>
        <w:t xml:space="preserve">† </w:t>
      </w:r>
      <w:r w:rsidRPr="00052CAB">
        <w:rPr>
          <w:rFonts w:cs="Times New Roman"/>
          <w:sz w:val="20"/>
          <w:szCs w:val="20"/>
        </w:rPr>
        <w:t>These authors contributed equally to this work</w:t>
      </w:r>
    </w:p>
    <w:p w14:paraId="2F7D5AE7" w14:textId="77777777" w:rsidR="00A6055A" w:rsidRPr="00052CAB" w:rsidRDefault="00A6055A" w:rsidP="00A6055A">
      <w:pPr>
        <w:widowControl/>
        <w:adjustRightInd w:val="0"/>
        <w:snapToGrid w:val="0"/>
        <w:ind w:firstLineChars="0" w:firstLine="0"/>
        <w:rPr>
          <w:rFonts w:eastAsia="宋体" w:cs="Times New Roman"/>
          <w:iCs/>
          <w:kern w:val="0"/>
          <w:sz w:val="20"/>
          <w:szCs w:val="20"/>
        </w:rPr>
      </w:pPr>
      <w:r w:rsidRPr="00052CAB">
        <w:rPr>
          <w:rFonts w:cs="Times New Roman"/>
          <w:sz w:val="20"/>
          <w:szCs w:val="20"/>
          <w:vertAlign w:val="superscript"/>
        </w:rPr>
        <w:t xml:space="preserve">* </w:t>
      </w:r>
      <w:r w:rsidRPr="00052CAB">
        <w:rPr>
          <w:rFonts w:cs="Times New Roman"/>
          <w:sz w:val="20"/>
          <w:szCs w:val="20"/>
        </w:rPr>
        <w:t>Corresponding author</w:t>
      </w:r>
    </w:p>
    <w:p w14:paraId="0C77F984" w14:textId="16D89534" w:rsidR="008A7A22" w:rsidRPr="00052CAB" w:rsidRDefault="00244611" w:rsidP="008A7A22">
      <w:pPr>
        <w:widowControl/>
        <w:adjustRightInd w:val="0"/>
        <w:snapToGrid w:val="0"/>
        <w:ind w:firstLineChars="0" w:firstLine="0"/>
        <w:rPr>
          <w:rFonts w:cs="Times New Roman"/>
          <w:sz w:val="20"/>
          <w:szCs w:val="20"/>
        </w:rPr>
      </w:pPr>
      <w:r w:rsidRPr="00052CAB">
        <w:rPr>
          <w:rFonts w:cs="Times New Roman"/>
          <w:sz w:val="20"/>
          <w:szCs w:val="20"/>
        </w:rPr>
        <w:t>.</w:t>
      </w:r>
      <w:r w:rsidR="008A7A22" w:rsidRPr="00052CAB">
        <w:rPr>
          <w:rFonts w:cs="Times New Roman"/>
          <w:sz w:val="20"/>
          <w:szCs w:val="20"/>
        </w:rPr>
        <w:br w:type="page"/>
      </w:r>
    </w:p>
    <w:p w14:paraId="67C8BF98" w14:textId="559B04A5" w:rsidR="008A7A22" w:rsidRPr="00052CAB" w:rsidRDefault="008A7A22" w:rsidP="008A7A22">
      <w:pPr>
        <w:ind w:firstLineChars="0" w:firstLine="0"/>
        <w:rPr>
          <w:rFonts w:cs="Times New Roman"/>
          <w:b/>
          <w:bCs/>
          <w:sz w:val="20"/>
          <w:szCs w:val="20"/>
        </w:rPr>
      </w:pPr>
      <w:r w:rsidRPr="00052CAB">
        <w:rPr>
          <w:rFonts w:cs="Times New Roman"/>
          <w:b/>
          <w:bCs/>
          <w:sz w:val="20"/>
          <w:szCs w:val="20"/>
        </w:rPr>
        <w:lastRenderedPageBreak/>
        <w:t>Captions of Supporting Figures</w:t>
      </w:r>
      <w:r w:rsidR="005A062C" w:rsidRPr="00052CAB">
        <w:rPr>
          <w:rFonts w:cs="Times New Roman"/>
          <w:b/>
          <w:bCs/>
          <w:sz w:val="20"/>
          <w:szCs w:val="20"/>
        </w:rPr>
        <w:fldChar w:fldCharType="begin"/>
      </w:r>
      <w:r w:rsidR="005A062C" w:rsidRPr="00052CAB">
        <w:rPr>
          <w:rFonts w:cs="Times New Roman"/>
          <w:b/>
          <w:bCs/>
          <w:sz w:val="20"/>
          <w:szCs w:val="20"/>
        </w:rPr>
        <w:instrText xml:space="preserve"> ADDIN ZOTERO_ITEM CSL_CITATION {"citationID":"UlVEkJzp","properties":{"formattedCitation":"(Li et al. 2018)","plainCitation":"(Li et al. 2018)","noteIndex":0},"citationItems":[{"id":3,"uris":["http://zotero.org/users/7695463/items/7S2GKWBH"],"itemData":{"id":3,"type":"article-journal","container-title":"Spectrochimica Acta Part A: Molecular and Biomolecular Spectroscopy","DOI":"10.1016/j.saa.2018.04.009","ISSN":"13861425","journalAbbreviation":"Spectrochimica Acta Part A: Molecular and Biomolecular Spectroscopy","language":"en","page":"127-135","source":"DOI.org (Crossref)","title":"The structural properties of 5-methyl-2-phenyl-2 H -1,2,3-triazole-4- carboxylic acid and chromogenic mechanism on its rhodamine B derivatives to Hg 2+ ions","volume":"200","author":[{"family":"Li","given":"Jianling"},{"family":"Ding","given":"Guohua"},{"family":"Niu","given":"Yanyan"},{"family":"Wu","given":"Luyong"},{"family":"Feng","given":"Huajie"},{"family":"He","given":"Wenying"}],"issued":{"date-parts":[["2018",7]]}}}],"schema":"https://github.com/citation-style-language/schema/raw/master/csl-citation.json"} </w:instrText>
      </w:r>
      <w:r w:rsidR="00184320">
        <w:rPr>
          <w:rFonts w:cs="Times New Roman"/>
          <w:b/>
          <w:bCs/>
          <w:sz w:val="20"/>
          <w:szCs w:val="20"/>
        </w:rPr>
        <w:fldChar w:fldCharType="separate"/>
      </w:r>
      <w:r w:rsidR="005A062C" w:rsidRPr="00052CAB">
        <w:rPr>
          <w:rFonts w:cs="Times New Roman"/>
          <w:b/>
          <w:bCs/>
          <w:sz w:val="20"/>
          <w:szCs w:val="20"/>
        </w:rPr>
        <w:fldChar w:fldCharType="end"/>
      </w:r>
      <w:r w:rsidR="005A062C" w:rsidRPr="00052CAB">
        <w:rPr>
          <w:rFonts w:cs="Times New Roman"/>
          <w:b/>
          <w:bCs/>
          <w:sz w:val="20"/>
          <w:szCs w:val="20"/>
        </w:rPr>
        <w:t xml:space="preserve"> </w:t>
      </w:r>
    </w:p>
    <w:p w14:paraId="1FAE5F70" w14:textId="334DB48E" w:rsidR="001A76EB" w:rsidRPr="00052CAB" w:rsidRDefault="001A76EB" w:rsidP="001A76EB">
      <w:pPr>
        <w:ind w:firstLineChars="0" w:firstLine="0"/>
        <w:rPr>
          <w:rFonts w:eastAsiaTheme="minorEastAsia" w:cs="Times New Roman"/>
          <w:color w:val="000000" w:themeColor="text1"/>
          <w:sz w:val="20"/>
          <w:szCs w:val="20"/>
        </w:rPr>
      </w:pPr>
      <w:r w:rsidRPr="00052CAB">
        <w:rPr>
          <w:rFonts w:cs="Times New Roman"/>
          <w:b/>
          <w:color w:val="000000" w:themeColor="text1"/>
          <w:sz w:val="20"/>
          <w:szCs w:val="20"/>
        </w:rPr>
        <w:t>Fig. S1.</w:t>
      </w:r>
      <w:r w:rsidRPr="00052CAB">
        <w:rPr>
          <w:rFonts w:cs="Times New Roman"/>
          <w:color w:val="000000" w:themeColor="text1"/>
          <w:sz w:val="20"/>
          <w:szCs w:val="20"/>
        </w:rPr>
        <w:t xml:space="preserve"> N</w:t>
      </w:r>
      <w:r w:rsidRPr="00052CAB">
        <w:rPr>
          <w:rFonts w:cs="Times New Roman"/>
          <w:color w:val="000000" w:themeColor="text1"/>
          <w:sz w:val="20"/>
          <w:szCs w:val="20"/>
          <w:vertAlign w:val="subscript"/>
        </w:rPr>
        <w:t>2</w:t>
      </w:r>
      <w:r w:rsidRPr="00052CAB">
        <w:rPr>
          <w:rFonts w:cs="Times New Roman"/>
          <w:color w:val="000000" w:themeColor="text1"/>
          <w:sz w:val="20"/>
          <w:szCs w:val="20"/>
        </w:rPr>
        <w:t xml:space="preserve"> adsorption/desorption isotherms of the DT</w:t>
      </w:r>
      <w:r w:rsidRPr="00052CAB">
        <w:rPr>
          <w:rFonts w:cs="Times New Roman"/>
          <w:color w:val="000000" w:themeColor="text1"/>
          <w:sz w:val="20"/>
          <w:szCs w:val="20"/>
          <w:vertAlign w:val="subscript"/>
        </w:rPr>
        <w:t>R</w:t>
      </w:r>
      <w:r w:rsidRPr="00052CAB">
        <w:rPr>
          <w:rFonts w:cs="Times New Roman"/>
          <w:color w:val="000000" w:themeColor="text1"/>
          <w:sz w:val="20"/>
          <w:szCs w:val="20"/>
        </w:rPr>
        <w:t xml:space="preserve"> (</w:t>
      </w:r>
      <w:r w:rsidR="00DD2B1D" w:rsidRPr="00052CAB">
        <w:rPr>
          <w:rFonts w:cs="Times New Roman"/>
          <w:color w:val="000000" w:themeColor="text1"/>
          <w:sz w:val="20"/>
          <w:szCs w:val="20"/>
        </w:rPr>
        <w:t>a</w:t>
      </w:r>
      <w:r w:rsidRPr="00052CAB">
        <w:rPr>
          <w:rFonts w:cs="Times New Roman"/>
          <w:color w:val="000000" w:themeColor="text1"/>
          <w:sz w:val="20"/>
          <w:szCs w:val="20"/>
        </w:rPr>
        <w:t>), DT</w:t>
      </w:r>
      <w:r w:rsidRPr="00052CAB">
        <w:rPr>
          <w:rFonts w:cs="Times New Roman"/>
          <w:color w:val="000000" w:themeColor="text1"/>
          <w:sz w:val="20"/>
          <w:szCs w:val="20"/>
          <w:vertAlign w:val="subscript"/>
        </w:rPr>
        <w:t>A</w:t>
      </w:r>
      <w:r w:rsidRPr="00052CAB">
        <w:rPr>
          <w:rFonts w:cs="Times New Roman"/>
          <w:color w:val="000000" w:themeColor="text1"/>
          <w:sz w:val="20"/>
          <w:szCs w:val="20"/>
        </w:rPr>
        <w:t xml:space="preserve"> (</w:t>
      </w:r>
      <w:r w:rsidR="00DD2B1D" w:rsidRPr="00052CAB">
        <w:rPr>
          <w:rFonts w:cs="Times New Roman"/>
          <w:color w:val="000000" w:themeColor="text1"/>
          <w:sz w:val="20"/>
          <w:szCs w:val="20"/>
        </w:rPr>
        <w:t>b</w:t>
      </w:r>
      <w:r w:rsidRPr="00052CAB">
        <w:rPr>
          <w:rFonts w:cs="Times New Roman"/>
          <w:color w:val="000000" w:themeColor="text1"/>
          <w:sz w:val="20"/>
          <w:szCs w:val="20"/>
        </w:rPr>
        <w:t>), DT</w:t>
      </w:r>
      <w:r w:rsidRPr="00052CAB">
        <w:rPr>
          <w:rFonts w:cs="Times New Roman"/>
          <w:color w:val="000000" w:themeColor="text1"/>
          <w:sz w:val="20"/>
          <w:szCs w:val="20"/>
          <w:vertAlign w:val="subscript"/>
        </w:rPr>
        <w:t>A-Na</w:t>
      </w:r>
      <w:r w:rsidRPr="00052CAB">
        <w:rPr>
          <w:rFonts w:cs="Times New Roman"/>
          <w:color w:val="000000" w:themeColor="text1"/>
          <w:sz w:val="20"/>
          <w:szCs w:val="20"/>
        </w:rPr>
        <w:t xml:space="preserve"> (</w:t>
      </w:r>
      <w:r w:rsidR="00DD2B1D" w:rsidRPr="00052CAB">
        <w:rPr>
          <w:rFonts w:cs="Times New Roman"/>
          <w:color w:val="000000" w:themeColor="text1"/>
          <w:sz w:val="20"/>
          <w:szCs w:val="20"/>
        </w:rPr>
        <w:t>c</w:t>
      </w:r>
      <w:r w:rsidRPr="00052CAB">
        <w:rPr>
          <w:rFonts w:cs="Times New Roman"/>
          <w:color w:val="000000" w:themeColor="text1"/>
          <w:sz w:val="20"/>
          <w:szCs w:val="20"/>
        </w:rPr>
        <w:t>) and DTC</w:t>
      </w:r>
      <w:r w:rsidRPr="00052CAB">
        <w:rPr>
          <w:rFonts w:cs="Times New Roman"/>
          <w:color w:val="000000" w:themeColor="text1"/>
          <w:sz w:val="20"/>
          <w:szCs w:val="20"/>
          <w:vertAlign w:val="subscript"/>
        </w:rPr>
        <w:t>A-Na</w:t>
      </w:r>
      <w:r w:rsidRPr="00052CAB">
        <w:rPr>
          <w:rFonts w:cs="Times New Roman"/>
          <w:color w:val="000000" w:themeColor="text1"/>
          <w:sz w:val="20"/>
          <w:szCs w:val="20"/>
        </w:rPr>
        <w:t xml:space="preserve"> (</w:t>
      </w:r>
      <w:r w:rsidR="00DD2B1D" w:rsidRPr="00052CAB">
        <w:rPr>
          <w:rFonts w:cs="Times New Roman"/>
          <w:color w:val="000000" w:themeColor="text1"/>
          <w:sz w:val="20"/>
          <w:szCs w:val="20"/>
        </w:rPr>
        <w:t>d</w:t>
      </w:r>
      <w:r w:rsidRPr="00052CAB">
        <w:rPr>
          <w:rFonts w:cs="Times New Roman"/>
          <w:color w:val="000000" w:themeColor="text1"/>
          <w:sz w:val="20"/>
          <w:szCs w:val="20"/>
        </w:rPr>
        <w:t>)</w:t>
      </w:r>
      <w:r w:rsidRPr="00052CAB">
        <w:rPr>
          <w:rFonts w:eastAsia="宋体" w:cs="Times New Roman"/>
          <w:color w:val="000000" w:themeColor="text1"/>
          <w:sz w:val="20"/>
          <w:szCs w:val="20"/>
        </w:rPr>
        <w:t>.</w:t>
      </w:r>
    </w:p>
    <w:p w14:paraId="6B92EDC7" w14:textId="77777777" w:rsidR="001A76EB" w:rsidRPr="00052CAB" w:rsidRDefault="001A76EB" w:rsidP="001A76EB">
      <w:pPr>
        <w:ind w:firstLineChars="0" w:firstLine="0"/>
        <w:jc w:val="left"/>
        <w:rPr>
          <w:rFonts w:cs="Times New Roman"/>
          <w:color w:val="000000" w:themeColor="text1"/>
          <w:sz w:val="20"/>
          <w:szCs w:val="20"/>
        </w:rPr>
      </w:pPr>
      <w:r w:rsidRPr="00052CAB">
        <w:rPr>
          <w:rFonts w:cs="Times New Roman"/>
          <w:b/>
          <w:color w:val="000000" w:themeColor="text1"/>
          <w:sz w:val="20"/>
          <w:szCs w:val="20"/>
        </w:rPr>
        <w:t xml:space="preserve">Fig. S2. </w:t>
      </w:r>
      <w:r w:rsidRPr="00052CAB">
        <w:rPr>
          <w:rFonts w:cs="Times New Roman"/>
          <w:color w:val="000000" w:themeColor="text1"/>
          <w:sz w:val="20"/>
          <w:szCs w:val="20"/>
        </w:rPr>
        <w:t>Effect of concentration of the NaCl reagent on the desorption rate and removal efficiency.</w:t>
      </w:r>
    </w:p>
    <w:p w14:paraId="473A258F" w14:textId="138E1E5E" w:rsidR="001A76EB" w:rsidRPr="00052CAB" w:rsidRDefault="001A76EB" w:rsidP="001A76EB">
      <w:pPr>
        <w:ind w:firstLineChars="0" w:firstLine="0"/>
        <w:rPr>
          <w:rFonts w:cs="Times New Roman"/>
          <w:color w:val="000000" w:themeColor="text1"/>
          <w:sz w:val="20"/>
          <w:szCs w:val="20"/>
        </w:rPr>
      </w:pPr>
      <w:r w:rsidRPr="00052CAB">
        <w:rPr>
          <w:rFonts w:cs="Times New Roman"/>
          <w:b/>
          <w:color w:val="000000" w:themeColor="text1"/>
          <w:sz w:val="20"/>
          <w:szCs w:val="20"/>
        </w:rPr>
        <w:t xml:space="preserve">Fig. S3. </w:t>
      </w:r>
      <w:r w:rsidRPr="00052CAB">
        <w:rPr>
          <w:rFonts w:cs="Times New Roman"/>
          <w:color w:val="000000" w:themeColor="text1"/>
          <w:sz w:val="20"/>
          <w:szCs w:val="20"/>
        </w:rPr>
        <w:t>(</w:t>
      </w:r>
      <w:r w:rsidR="00DD2B1D" w:rsidRPr="00052CAB">
        <w:rPr>
          <w:rFonts w:cs="Times New Roman"/>
          <w:color w:val="000000" w:themeColor="text1"/>
          <w:sz w:val="20"/>
          <w:szCs w:val="20"/>
        </w:rPr>
        <w:t>a</w:t>
      </w:r>
      <w:r w:rsidRPr="00052CAB">
        <w:rPr>
          <w:rFonts w:cs="Times New Roman"/>
          <w:color w:val="000000" w:themeColor="text1"/>
          <w:sz w:val="20"/>
          <w:szCs w:val="20"/>
        </w:rPr>
        <w:t>) Effect of contact time at different temperatures on the adsorption capacity of the DTC</w:t>
      </w:r>
      <w:r w:rsidRPr="00052CAB">
        <w:rPr>
          <w:rFonts w:cs="Times New Roman"/>
          <w:color w:val="000000" w:themeColor="text1"/>
          <w:sz w:val="20"/>
          <w:szCs w:val="20"/>
          <w:vertAlign w:val="subscript"/>
        </w:rPr>
        <w:t>A-Na</w:t>
      </w:r>
      <w:r w:rsidRPr="00052CAB">
        <w:rPr>
          <w:rFonts w:cs="Times New Roman"/>
          <w:color w:val="000000" w:themeColor="text1"/>
          <w:sz w:val="20"/>
          <w:szCs w:val="20"/>
        </w:rPr>
        <w:t>, (</w:t>
      </w:r>
      <w:r w:rsidR="00DD2B1D" w:rsidRPr="00052CAB">
        <w:rPr>
          <w:rFonts w:cs="Times New Roman"/>
          <w:color w:val="000000" w:themeColor="text1"/>
          <w:sz w:val="20"/>
          <w:szCs w:val="20"/>
        </w:rPr>
        <w:t>b</w:t>
      </w:r>
      <w:r w:rsidRPr="00052CAB">
        <w:rPr>
          <w:rFonts w:cs="Times New Roman"/>
          <w:color w:val="000000" w:themeColor="text1"/>
          <w:sz w:val="20"/>
          <w:szCs w:val="20"/>
        </w:rPr>
        <w:t>) The pseudo-first-order kinetics model fitting, (</w:t>
      </w:r>
      <w:r w:rsidR="00DD2B1D" w:rsidRPr="00052CAB">
        <w:rPr>
          <w:rFonts w:cs="Times New Roman"/>
          <w:color w:val="000000" w:themeColor="text1"/>
          <w:sz w:val="20"/>
          <w:szCs w:val="20"/>
        </w:rPr>
        <w:t>c</w:t>
      </w:r>
      <w:r w:rsidRPr="00052CAB">
        <w:rPr>
          <w:rFonts w:cs="Times New Roman"/>
          <w:color w:val="000000" w:themeColor="text1"/>
          <w:sz w:val="20"/>
          <w:szCs w:val="20"/>
        </w:rPr>
        <w:t xml:space="preserve">) </w:t>
      </w:r>
      <w:bookmarkStart w:id="0" w:name="OLE_LINK5"/>
      <w:bookmarkStart w:id="1" w:name="OLE_LINK6"/>
      <w:r w:rsidRPr="00052CAB">
        <w:rPr>
          <w:rFonts w:cs="Times New Roman"/>
          <w:color w:val="000000" w:themeColor="text1"/>
          <w:sz w:val="20"/>
          <w:szCs w:val="20"/>
        </w:rPr>
        <w:t>The pseudo-second-order kinetics model fitting, (</w:t>
      </w:r>
      <w:r w:rsidR="00DD2B1D" w:rsidRPr="00052CAB">
        <w:rPr>
          <w:rFonts w:cs="Times New Roman"/>
          <w:color w:val="000000" w:themeColor="text1"/>
          <w:sz w:val="20"/>
          <w:szCs w:val="20"/>
        </w:rPr>
        <w:t>d</w:t>
      </w:r>
      <w:r w:rsidRPr="00052CAB">
        <w:rPr>
          <w:rFonts w:cs="Times New Roman"/>
          <w:color w:val="000000" w:themeColor="text1"/>
          <w:sz w:val="20"/>
          <w:szCs w:val="20"/>
        </w:rPr>
        <w:t>)</w:t>
      </w:r>
      <w:r w:rsidR="00DD2B1D" w:rsidRPr="00052CAB">
        <w:rPr>
          <w:rFonts w:cs="Times New Roman"/>
          <w:color w:val="000000" w:themeColor="text1"/>
          <w:sz w:val="20"/>
          <w:szCs w:val="20"/>
        </w:rPr>
        <w:t xml:space="preserve"> </w:t>
      </w:r>
      <w:r w:rsidRPr="00052CAB">
        <w:rPr>
          <w:rFonts w:cs="Times New Roman"/>
          <w:color w:val="000000" w:themeColor="text1"/>
          <w:sz w:val="20"/>
          <w:szCs w:val="20"/>
        </w:rPr>
        <w:t>The intraparticle diffusion model</w:t>
      </w:r>
      <w:bookmarkEnd w:id="0"/>
      <w:bookmarkEnd w:id="1"/>
      <w:r w:rsidRPr="00052CAB">
        <w:rPr>
          <w:rFonts w:cs="Times New Roman"/>
          <w:color w:val="000000" w:themeColor="text1"/>
          <w:sz w:val="20"/>
          <w:szCs w:val="20"/>
        </w:rPr>
        <w:t xml:space="preserve"> fitting.</w:t>
      </w:r>
    </w:p>
    <w:p w14:paraId="1411F6B6" w14:textId="70E60213" w:rsidR="00304A62" w:rsidRPr="00052CAB" w:rsidRDefault="00304A62" w:rsidP="001A76EB">
      <w:pPr>
        <w:ind w:firstLineChars="0" w:firstLine="0"/>
        <w:rPr>
          <w:rFonts w:cs="Times New Roman"/>
          <w:color w:val="000000" w:themeColor="text1"/>
          <w:sz w:val="20"/>
          <w:szCs w:val="20"/>
        </w:rPr>
      </w:pPr>
      <w:r w:rsidRPr="00052CAB">
        <w:rPr>
          <w:rFonts w:cs="Times New Roman"/>
          <w:b/>
          <w:color w:val="000000" w:themeColor="text1"/>
          <w:kern w:val="0"/>
          <w:sz w:val="20"/>
          <w:szCs w:val="20"/>
        </w:rPr>
        <w:t>Fig. S4.</w:t>
      </w:r>
      <w:r w:rsidRPr="00052CAB">
        <w:rPr>
          <w:rFonts w:cs="Times New Roman"/>
          <w:color w:val="000000" w:themeColor="text1"/>
          <w:kern w:val="0"/>
          <w:sz w:val="20"/>
          <w:szCs w:val="20"/>
        </w:rPr>
        <w:t xml:space="preserve"> (</w:t>
      </w:r>
      <w:r w:rsidR="00DD2B1D" w:rsidRPr="00052CAB">
        <w:rPr>
          <w:rFonts w:cs="Times New Roman"/>
          <w:color w:val="000000" w:themeColor="text1"/>
          <w:kern w:val="0"/>
          <w:sz w:val="20"/>
          <w:szCs w:val="20"/>
        </w:rPr>
        <w:t>a</w:t>
      </w:r>
      <w:r w:rsidRPr="00052CAB">
        <w:rPr>
          <w:rFonts w:cs="Times New Roman"/>
          <w:color w:val="000000" w:themeColor="text1"/>
          <w:kern w:val="0"/>
          <w:sz w:val="20"/>
          <w:szCs w:val="20"/>
        </w:rPr>
        <w:t>) The adsorption isotherms of NH</w:t>
      </w:r>
      <w:r w:rsidRPr="00052CAB">
        <w:rPr>
          <w:rFonts w:cs="Times New Roman"/>
          <w:color w:val="000000" w:themeColor="text1"/>
          <w:kern w:val="0"/>
          <w:sz w:val="20"/>
          <w:szCs w:val="20"/>
          <w:eastAsianLayout w:id="-1706757120" w:combine="1"/>
        </w:rPr>
        <w:t>+ 4</w:t>
      </w:r>
      <w:r w:rsidRPr="00052CAB">
        <w:rPr>
          <w:rFonts w:cs="Times New Roman"/>
          <w:color w:val="000000" w:themeColor="text1"/>
          <w:kern w:val="0"/>
          <w:sz w:val="20"/>
          <w:szCs w:val="20"/>
        </w:rPr>
        <w:t>-N on the DTC</w:t>
      </w:r>
      <w:r w:rsidRPr="00052CAB">
        <w:rPr>
          <w:rFonts w:cs="Times New Roman"/>
          <w:color w:val="000000" w:themeColor="text1"/>
          <w:kern w:val="0"/>
          <w:sz w:val="20"/>
          <w:szCs w:val="20"/>
          <w:vertAlign w:val="subscript"/>
        </w:rPr>
        <w:t>A-Na</w:t>
      </w:r>
      <w:r w:rsidRPr="00052CAB">
        <w:rPr>
          <w:rFonts w:cs="Times New Roman"/>
          <w:color w:val="000000" w:themeColor="text1"/>
          <w:kern w:val="0"/>
          <w:sz w:val="20"/>
          <w:szCs w:val="20"/>
        </w:rPr>
        <w:t xml:space="preserve"> at 25 ℃, (</w:t>
      </w:r>
      <w:r w:rsidR="00DD2B1D" w:rsidRPr="00052CAB">
        <w:rPr>
          <w:rFonts w:cs="Times New Roman"/>
          <w:color w:val="000000" w:themeColor="text1"/>
          <w:kern w:val="0"/>
          <w:sz w:val="20"/>
          <w:szCs w:val="20"/>
        </w:rPr>
        <w:t>b</w:t>
      </w:r>
      <w:r w:rsidRPr="00052CAB">
        <w:rPr>
          <w:rFonts w:cs="Times New Roman"/>
          <w:color w:val="000000" w:themeColor="text1"/>
          <w:kern w:val="0"/>
          <w:sz w:val="20"/>
          <w:szCs w:val="20"/>
        </w:rPr>
        <w:t>) Non-linear fitting curve of Freundlich model, (</w:t>
      </w:r>
      <w:r w:rsidR="00DD2B1D" w:rsidRPr="00052CAB">
        <w:rPr>
          <w:rFonts w:cs="Times New Roman"/>
          <w:color w:val="000000" w:themeColor="text1"/>
          <w:kern w:val="0"/>
          <w:sz w:val="20"/>
          <w:szCs w:val="20"/>
        </w:rPr>
        <w:t>c</w:t>
      </w:r>
      <w:r w:rsidRPr="00052CAB">
        <w:rPr>
          <w:rFonts w:cs="Times New Roman"/>
          <w:color w:val="000000" w:themeColor="text1"/>
          <w:kern w:val="0"/>
          <w:sz w:val="20"/>
          <w:szCs w:val="20"/>
        </w:rPr>
        <w:t>) Non-linear fitting curve of Langmuir model, (</w:t>
      </w:r>
      <w:r w:rsidR="00DD2B1D" w:rsidRPr="00052CAB">
        <w:rPr>
          <w:rFonts w:cs="Times New Roman"/>
          <w:color w:val="000000" w:themeColor="text1"/>
          <w:kern w:val="0"/>
          <w:sz w:val="20"/>
          <w:szCs w:val="20"/>
        </w:rPr>
        <w:t>d</w:t>
      </w:r>
      <w:r w:rsidRPr="00052CAB">
        <w:rPr>
          <w:rFonts w:cs="Times New Roman"/>
          <w:color w:val="000000" w:themeColor="text1"/>
          <w:kern w:val="0"/>
          <w:sz w:val="20"/>
          <w:szCs w:val="20"/>
        </w:rPr>
        <w:t>) Non-linear fitting curve of Temkin model.</w:t>
      </w:r>
    </w:p>
    <w:p w14:paraId="6B0732AE" w14:textId="04A7F8B8" w:rsidR="005063A0" w:rsidRPr="00052CAB" w:rsidRDefault="005063A0" w:rsidP="001A76EB">
      <w:pPr>
        <w:ind w:firstLineChars="0" w:firstLine="0"/>
        <w:rPr>
          <w:rFonts w:eastAsiaTheme="minorEastAsia" w:cs="Times New Roman"/>
          <w:sz w:val="20"/>
          <w:szCs w:val="20"/>
        </w:rPr>
      </w:pPr>
    </w:p>
    <w:p w14:paraId="154E6C51" w14:textId="4D852BD6" w:rsidR="00304A62" w:rsidRPr="00052CAB" w:rsidRDefault="00304A62" w:rsidP="00304A62">
      <w:pPr>
        <w:ind w:firstLineChars="0" w:firstLine="0"/>
        <w:rPr>
          <w:rFonts w:cs="Times New Roman"/>
          <w:b/>
          <w:bCs/>
          <w:sz w:val="20"/>
          <w:szCs w:val="20"/>
        </w:rPr>
      </w:pPr>
      <w:r w:rsidRPr="00052CAB">
        <w:rPr>
          <w:rFonts w:cs="Times New Roman"/>
          <w:b/>
          <w:bCs/>
          <w:sz w:val="20"/>
          <w:szCs w:val="20"/>
        </w:rPr>
        <w:t>Captions of Supporting Tables</w:t>
      </w:r>
      <w:r w:rsidRPr="00052CAB">
        <w:rPr>
          <w:rFonts w:cs="Times New Roman"/>
          <w:b/>
          <w:bCs/>
          <w:sz w:val="20"/>
          <w:szCs w:val="20"/>
        </w:rPr>
        <w:fldChar w:fldCharType="begin"/>
      </w:r>
      <w:r w:rsidRPr="00052CAB">
        <w:rPr>
          <w:rFonts w:cs="Times New Roman"/>
          <w:b/>
          <w:bCs/>
          <w:sz w:val="20"/>
          <w:szCs w:val="20"/>
        </w:rPr>
        <w:instrText xml:space="preserve"> ADDIN ZOTERO_ITEM CSL_CITATION {"citationID":"UlVEkJzp","properties":{"formattedCitation":"(Li et al. 2018)","plainCitation":"(Li et al. 2018)","noteIndex":0},"citationItems":[{"id":3,"uris":["http://zotero.org/users/7695463/items/7S2GKWBH"],"itemData":{"id":3,"type":"article-journal","container-title":"Spectrochimica Acta Part A: Molecular and Biomolecular Spectroscopy","DOI":"10.1016/j.saa.2018.04.009","ISSN":"13861425","journalAbbreviation":"Spectrochimica Acta Part A: Molecular and Biomolecular Spectroscopy","language":"en","page":"127-135","source":"DOI.org (Crossref)","title":"The structural properties of 5-methyl-2-phenyl-2 H -1,2,3-triazole-4- carboxylic acid and chromogenic mechanism on its rhodamine B derivatives to Hg 2+ ions","volume":"200","author":[{"family":"Li","given":"Jianling"},{"family":"Ding","given":"Guohua"},{"family":"Niu","given":"Yanyan"},{"family":"Wu","given":"Luyong"},{"family":"Feng","given":"Huajie"},{"family":"He","given":"Wenying"}],"issued":{"date-parts":[["2018",7]]}}}],"schema":"https://github.com/citation-style-language/schema/raw/master/csl-citation.json"} </w:instrText>
      </w:r>
      <w:r w:rsidR="00184320">
        <w:rPr>
          <w:rFonts w:cs="Times New Roman"/>
          <w:b/>
          <w:bCs/>
          <w:sz w:val="20"/>
          <w:szCs w:val="20"/>
        </w:rPr>
        <w:fldChar w:fldCharType="separate"/>
      </w:r>
      <w:r w:rsidRPr="00052CAB">
        <w:rPr>
          <w:rFonts w:cs="Times New Roman"/>
          <w:b/>
          <w:bCs/>
          <w:sz w:val="20"/>
          <w:szCs w:val="20"/>
        </w:rPr>
        <w:fldChar w:fldCharType="end"/>
      </w:r>
      <w:r w:rsidRPr="00052CAB">
        <w:rPr>
          <w:rFonts w:cs="Times New Roman"/>
          <w:b/>
          <w:bCs/>
          <w:sz w:val="20"/>
          <w:szCs w:val="20"/>
        </w:rPr>
        <w:t xml:space="preserve"> </w:t>
      </w:r>
    </w:p>
    <w:p w14:paraId="71C27DE3" w14:textId="16E74D1E" w:rsidR="00304A62" w:rsidRPr="00052CAB" w:rsidRDefault="00304A62" w:rsidP="00304A62">
      <w:pPr>
        <w:ind w:firstLineChars="0" w:firstLine="0"/>
        <w:rPr>
          <w:rFonts w:eastAsia="宋体" w:cs="Times New Roman"/>
          <w:b/>
          <w:color w:val="000000" w:themeColor="text1"/>
          <w:kern w:val="0"/>
          <w:sz w:val="20"/>
          <w:szCs w:val="20"/>
        </w:rPr>
      </w:pPr>
      <w:r w:rsidRPr="00052CAB">
        <w:rPr>
          <w:rFonts w:eastAsia="宋体" w:cs="Times New Roman"/>
          <w:b/>
          <w:color w:val="000000" w:themeColor="text1"/>
          <w:kern w:val="0"/>
          <w:sz w:val="20"/>
          <w:szCs w:val="20"/>
        </w:rPr>
        <w:t xml:space="preserve">Table S1 </w:t>
      </w:r>
      <w:r w:rsidRPr="00052CAB">
        <w:rPr>
          <w:rFonts w:eastAsia="宋体" w:cs="Times New Roman"/>
          <w:color w:val="000000" w:themeColor="text1"/>
          <w:kern w:val="0"/>
          <w:sz w:val="20"/>
          <w:szCs w:val="20"/>
        </w:rPr>
        <w:t xml:space="preserve">Removal efficiency of </w:t>
      </w:r>
      <w:r w:rsidRPr="00052CAB">
        <w:rPr>
          <w:rFonts w:cs="Times New Roman"/>
          <w:color w:val="000000" w:themeColor="text1"/>
          <w:sz w:val="20"/>
          <w:szCs w:val="20"/>
        </w:rPr>
        <w:t>NH</w:t>
      </w:r>
      <w:r w:rsidRPr="00052CAB">
        <w:rPr>
          <w:rFonts w:cs="Times New Roman"/>
          <w:color w:val="000000" w:themeColor="text1"/>
          <w:sz w:val="20"/>
          <w:szCs w:val="20"/>
          <w:eastAsianLayout w:id="-1706757120" w:combine="1"/>
        </w:rPr>
        <w:t>+ 4</w:t>
      </w:r>
      <w:r w:rsidRPr="00052CAB">
        <w:rPr>
          <w:rFonts w:cs="Times New Roman"/>
          <w:color w:val="000000" w:themeColor="text1"/>
          <w:sz w:val="20"/>
          <w:szCs w:val="20"/>
        </w:rPr>
        <w:t>-N</w:t>
      </w:r>
      <w:r w:rsidRPr="00052CAB">
        <w:rPr>
          <w:rFonts w:eastAsia="宋体" w:cs="Times New Roman"/>
          <w:color w:val="000000" w:themeColor="text1"/>
          <w:kern w:val="0"/>
          <w:sz w:val="20"/>
          <w:szCs w:val="20"/>
        </w:rPr>
        <w:t xml:space="preserve"> by different diatomite.</w:t>
      </w:r>
    </w:p>
    <w:p w14:paraId="00E972D7" w14:textId="02A0F5B4" w:rsidR="00304A62" w:rsidRPr="00052CAB" w:rsidRDefault="00304A62" w:rsidP="00304A62">
      <w:pPr>
        <w:ind w:firstLineChars="0" w:firstLine="0"/>
        <w:rPr>
          <w:rFonts w:eastAsia="宋体" w:cs="Times New Roman"/>
          <w:b/>
          <w:color w:val="000000" w:themeColor="text1"/>
          <w:kern w:val="0"/>
          <w:sz w:val="20"/>
          <w:szCs w:val="20"/>
        </w:rPr>
      </w:pPr>
      <w:r w:rsidRPr="00052CAB">
        <w:rPr>
          <w:rFonts w:eastAsia="宋体" w:cs="Times New Roman"/>
          <w:b/>
          <w:color w:val="000000" w:themeColor="text1"/>
          <w:kern w:val="0"/>
          <w:sz w:val="20"/>
          <w:szCs w:val="20"/>
        </w:rPr>
        <w:t xml:space="preserve">Table S2 </w:t>
      </w:r>
      <w:r w:rsidRPr="00052CAB">
        <w:rPr>
          <w:rFonts w:eastAsia="宋体" w:cs="Times New Roman"/>
          <w:color w:val="000000" w:themeColor="text1"/>
          <w:kern w:val="0"/>
          <w:sz w:val="20"/>
          <w:szCs w:val="20"/>
        </w:rPr>
        <w:t xml:space="preserve">Effect of different modifiers on </w:t>
      </w:r>
      <w:r w:rsidRPr="00052CAB">
        <w:rPr>
          <w:rFonts w:cs="Times New Roman"/>
          <w:color w:val="000000" w:themeColor="text1"/>
          <w:sz w:val="20"/>
          <w:szCs w:val="20"/>
        </w:rPr>
        <w:t>NH</w:t>
      </w:r>
      <w:r w:rsidRPr="00052CAB">
        <w:rPr>
          <w:rFonts w:cs="Times New Roman"/>
          <w:color w:val="000000" w:themeColor="text1"/>
          <w:sz w:val="20"/>
          <w:szCs w:val="20"/>
          <w:eastAsianLayout w:id="-1706757120" w:combine="1"/>
        </w:rPr>
        <w:t>+ 4</w:t>
      </w:r>
      <w:r w:rsidRPr="00052CAB">
        <w:rPr>
          <w:rFonts w:cs="Times New Roman"/>
          <w:color w:val="000000" w:themeColor="text1"/>
          <w:sz w:val="20"/>
          <w:szCs w:val="20"/>
        </w:rPr>
        <w:t>-N</w:t>
      </w:r>
      <w:r w:rsidRPr="00052CAB">
        <w:rPr>
          <w:rFonts w:eastAsia="宋体" w:cs="Times New Roman"/>
          <w:color w:val="000000" w:themeColor="text1"/>
          <w:kern w:val="0"/>
          <w:sz w:val="20"/>
          <w:szCs w:val="20"/>
        </w:rPr>
        <w:t xml:space="preserve"> removal efficiency.</w:t>
      </w:r>
    </w:p>
    <w:p w14:paraId="7A52409B" w14:textId="0D7E85AF" w:rsidR="00304A62" w:rsidRPr="00052CAB" w:rsidRDefault="00304A62" w:rsidP="00304A62">
      <w:pPr>
        <w:ind w:firstLineChars="0" w:firstLine="0"/>
        <w:rPr>
          <w:rFonts w:cs="Times New Roman"/>
          <w:color w:val="000000" w:themeColor="text1"/>
          <w:sz w:val="20"/>
          <w:szCs w:val="20"/>
        </w:rPr>
      </w:pPr>
      <w:r w:rsidRPr="00052CAB">
        <w:rPr>
          <w:rFonts w:cs="Times New Roman"/>
          <w:b/>
          <w:color w:val="000000" w:themeColor="text1"/>
          <w:sz w:val="20"/>
          <w:szCs w:val="20"/>
        </w:rPr>
        <w:t>Table S3</w:t>
      </w:r>
      <w:r w:rsidRPr="00052CAB">
        <w:rPr>
          <w:rFonts w:eastAsiaTheme="minorEastAsia" w:cs="Times New Roman"/>
          <w:b/>
          <w:color w:val="000000" w:themeColor="text1"/>
          <w:sz w:val="20"/>
          <w:szCs w:val="20"/>
        </w:rPr>
        <w:t xml:space="preserve"> </w:t>
      </w:r>
      <w:r w:rsidRPr="00052CAB">
        <w:rPr>
          <w:rFonts w:cs="Times New Roman"/>
          <w:color w:val="000000" w:themeColor="text1"/>
          <w:sz w:val="20"/>
          <w:szCs w:val="20"/>
        </w:rPr>
        <w:t>Effect of different desorption reagents on the desorption rate and removal efficiency.</w:t>
      </w:r>
      <w:r w:rsidRPr="00052CAB">
        <w:rPr>
          <w:rFonts w:cs="Times New Roman"/>
          <w:color w:val="000000" w:themeColor="text1"/>
          <w:sz w:val="20"/>
          <w:szCs w:val="20"/>
        </w:rPr>
        <w:br w:type="page"/>
      </w:r>
    </w:p>
    <w:p w14:paraId="49DB520E" w14:textId="7DE7C7DC" w:rsidR="002B11FE" w:rsidRPr="00052CAB" w:rsidRDefault="002B11FE" w:rsidP="00304A62">
      <w:pPr>
        <w:ind w:firstLineChars="0" w:firstLine="0"/>
        <w:rPr>
          <w:rFonts w:cs="Times New Roman"/>
          <w:color w:val="000000" w:themeColor="text1"/>
          <w:sz w:val="20"/>
          <w:szCs w:val="20"/>
        </w:rPr>
      </w:pPr>
      <w:r w:rsidRPr="00052CAB">
        <w:rPr>
          <w:rFonts w:cs="Times New Roman"/>
          <w:b/>
          <w:bCs/>
          <w:sz w:val="20"/>
          <w:szCs w:val="20"/>
        </w:rPr>
        <w:lastRenderedPageBreak/>
        <w:t>Supporting Figures</w:t>
      </w:r>
      <w:r w:rsidRPr="00052CAB">
        <w:rPr>
          <w:rFonts w:cs="Times New Roman"/>
          <w:b/>
          <w:bCs/>
          <w:sz w:val="20"/>
          <w:szCs w:val="20"/>
        </w:rPr>
        <w:fldChar w:fldCharType="begin"/>
      </w:r>
      <w:r w:rsidRPr="00052CAB">
        <w:rPr>
          <w:rFonts w:cs="Times New Roman"/>
          <w:b/>
          <w:bCs/>
          <w:sz w:val="20"/>
          <w:szCs w:val="20"/>
        </w:rPr>
        <w:instrText xml:space="preserve"> ADDIN ZOTERO_ITEM CSL_CITATION {"citationID":"UlVEkJzp","properties":{"formattedCitation":"(Li et al. 2018)","plainCitation":"(Li et al. 2018)","noteIndex":0},"citationItems":[{"id":3,"uris":["http://zotero.org/users/7695463/items/7S2GKWBH"],"itemData":{"id":3,"type":"article-journal","container-title":"Spectrochimica Acta Part A: Molecular and Biomolecular Spectroscopy","DOI":"10.1016/j.saa.2018.04.009","ISSN":"13861425","journalAbbreviation":"Spectrochimica Acta Part A: Molecular and Biomolecular Spectroscopy","language":"en","page":"127-135","source":"DOI.org (Crossref)","title":"The structural properties of 5-methyl-2-phenyl-2 H -1,2,3-triazole-4- carboxylic acid and chromogenic mechanism on its rhodamine B derivatives to Hg 2+ ions","volume":"200","author":[{"family":"Li","given":"Jianling"},{"family":"Ding","given":"Guohua"},{"family":"Niu","given":"Yanyan"},{"family":"Wu","given":"Luyong"},{"family":"Feng","given":"Huajie"},{"family":"He","given":"Wenying"}],"issued":{"date-parts":[["2018",7]]}}}],"schema":"https://github.com/citation-style-language/schema/raw/master/csl-citation.json"} </w:instrText>
      </w:r>
      <w:r w:rsidR="00184320">
        <w:rPr>
          <w:rFonts w:cs="Times New Roman"/>
          <w:b/>
          <w:bCs/>
          <w:sz w:val="20"/>
          <w:szCs w:val="20"/>
        </w:rPr>
        <w:fldChar w:fldCharType="separate"/>
      </w:r>
      <w:r w:rsidRPr="00052CAB">
        <w:rPr>
          <w:rFonts w:cs="Times New Roman"/>
          <w:b/>
          <w:bCs/>
          <w:sz w:val="20"/>
          <w:szCs w:val="20"/>
        </w:rPr>
        <w:fldChar w:fldCharType="end"/>
      </w:r>
    </w:p>
    <w:p w14:paraId="5DCE6ECA" w14:textId="5DFBB224" w:rsidR="00304A62" w:rsidRPr="00052CAB" w:rsidRDefault="00644D46" w:rsidP="00304A62">
      <w:pPr>
        <w:ind w:firstLineChars="0" w:firstLine="0"/>
        <w:rPr>
          <w:rFonts w:cs="Times New Roman"/>
          <w:b/>
          <w:color w:val="000000" w:themeColor="text1"/>
          <w:sz w:val="20"/>
          <w:szCs w:val="20"/>
        </w:rPr>
      </w:pPr>
      <w:r w:rsidRPr="00052CAB">
        <w:rPr>
          <w:rFonts w:cs="Times New Roman"/>
          <w:b/>
          <w:noProof/>
          <w:color w:val="000000" w:themeColor="text1"/>
          <w:sz w:val="20"/>
          <w:szCs w:val="20"/>
        </w:rPr>
        <w:drawing>
          <wp:inline distT="0" distB="0" distL="0" distR="0" wp14:anchorId="4151CB49" wp14:editId="0E5C7443">
            <wp:extent cx="2452962" cy="2053087"/>
            <wp:effectExtent l="0" t="0" r="508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460260" cy="2059195"/>
                    </a:xfrm>
                    <a:prstGeom prst="rect">
                      <a:avLst/>
                    </a:prstGeom>
                  </pic:spPr>
                </pic:pic>
              </a:graphicData>
            </a:graphic>
          </wp:inline>
        </w:drawing>
      </w:r>
      <w:r w:rsidRPr="00052CAB">
        <w:rPr>
          <w:rFonts w:cs="Times New Roman"/>
          <w:b/>
          <w:noProof/>
          <w:color w:val="000000" w:themeColor="text1"/>
          <w:sz w:val="20"/>
          <w:szCs w:val="20"/>
        </w:rPr>
        <w:drawing>
          <wp:inline distT="0" distB="0" distL="0" distR="0" wp14:anchorId="6849CE67" wp14:editId="11149743">
            <wp:extent cx="2544792" cy="2125661"/>
            <wp:effectExtent l="0" t="0" r="8255"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566987" cy="2144201"/>
                    </a:xfrm>
                    <a:prstGeom prst="rect">
                      <a:avLst/>
                    </a:prstGeom>
                  </pic:spPr>
                </pic:pic>
              </a:graphicData>
            </a:graphic>
          </wp:inline>
        </w:drawing>
      </w:r>
    </w:p>
    <w:p w14:paraId="3261ED63" w14:textId="2CEB74F6" w:rsidR="00304A62" w:rsidRPr="00052CAB" w:rsidRDefault="00644D46" w:rsidP="001A76EB">
      <w:pPr>
        <w:ind w:firstLineChars="0" w:firstLine="0"/>
        <w:rPr>
          <w:rFonts w:eastAsiaTheme="minorEastAsia" w:cs="Times New Roman"/>
          <w:sz w:val="20"/>
          <w:szCs w:val="20"/>
        </w:rPr>
      </w:pPr>
      <w:r w:rsidRPr="00052CAB">
        <w:rPr>
          <w:rFonts w:eastAsiaTheme="minorEastAsia" w:cs="Times New Roman"/>
          <w:noProof/>
          <w:sz w:val="20"/>
          <w:szCs w:val="20"/>
        </w:rPr>
        <w:drawing>
          <wp:inline distT="0" distB="0" distL="0" distR="0" wp14:anchorId="3CE36D74" wp14:editId="2D10627B">
            <wp:extent cx="2485722" cy="2070339"/>
            <wp:effectExtent l="0" t="0" r="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04900" cy="2086312"/>
                    </a:xfrm>
                    <a:prstGeom prst="rect">
                      <a:avLst/>
                    </a:prstGeom>
                  </pic:spPr>
                </pic:pic>
              </a:graphicData>
            </a:graphic>
          </wp:inline>
        </w:drawing>
      </w:r>
      <w:r w:rsidRPr="00052CAB">
        <w:rPr>
          <w:rFonts w:eastAsiaTheme="minorEastAsia" w:cs="Times New Roman"/>
          <w:noProof/>
          <w:sz w:val="20"/>
          <w:szCs w:val="20"/>
        </w:rPr>
        <w:drawing>
          <wp:inline distT="0" distB="0" distL="0" distR="0" wp14:anchorId="497922C0" wp14:editId="481D73AC">
            <wp:extent cx="2570671" cy="2122226"/>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73825" cy="2124830"/>
                    </a:xfrm>
                    <a:prstGeom prst="rect">
                      <a:avLst/>
                    </a:prstGeom>
                  </pic:spPr>
                </pic:pic>
              </a:graphicData>
            </a:graphic>
          </wp:inline>
        </w:drawing>
      </w:r>
    </w:p>
    <w:p w14:paraId="4F8D02D1" w14:textId="3BD47552" w:rsidR="00973869" w:rsidRPr="00052CAB" w:rsidRDefault="00973869" w:rsidP="00973869">
      <w:pPr>
        <w:ind w:firstLineChars="0" w:firstLine="0"/>
        <w:rPr>
          <w:rFonts w:cs="Times New Roman"/>
          <w:color w:val="000000" w:themeColor="text1"/>
          <w:sz w:val="20"/>
          <w:szCs w:val="20"/>
        </w:rPr>
      </w:pPr>
      <w:r w:rsidRPr="00052CAB">
        <w:rPr>
          <w:rFonts w:cs="Times New Roman"/>
          <w:b/>
          <w:color w:val="000000" w:themeColor="text1"/>
          <w:sz w:val="20"/>
          <w:szCs w:val="20"/>
        </w:rPr>
        <w:t>Fig. S1.</w:t>
      </w:r>
      <w:r w:rsidRPr="00052CAB">
        <w:rPr>
          <w:rFonts w:cs="Times New Roman"/>
          <w:color w:val="000000" w:themeColor="text1"/>
          <w:sz w:val="20"/>
          <w:szCs w:val="20"/>
        </w:rPr>
        <w:t xml:space="preserve"> N</w:t>
      </w:r>
      <w:r w:rsidRPr="00052CAB">
        <w:rPr>
          <w:rFonts w:cs="Times New Roman"/>
          <w:color w:val="000000" w:themeColor="text1"/>
          <w:sz w:val="20"/>
          <w:szCs w:val="20"/>
          <w:vertAlign w:val="subscript"/>
        </w:rPr>
        <w:t>2</w:t>
      </w:r>
      <w:r w:rsidRPr="00052CAB">
        <w:rPr>
          <w:rFonts w:cs="Times New Roman"/>
          <w:color w:val="000000" w:themeColor="text1"/>
          <w:sz w:val="20"/>
          <w:szCs w:val="20"/>
        </w:rPr>
        <w:t xml:space="preserve"> adsorption/desorption isotherms of the DT</w:t>
      </w:r>
      <w:r w:rsidRPr="00052CAB">
        <w:rPr>
          <w:rFonts w:cs="Times New Roman"/>
          <w:color w:val="000000" w:themeColor="text1"/>
          <w:sz w:val="20"/>
          <w:szCs w:val="20"/>
          <w:vertAlign w:val="subscript"/>
        </w:rPr>
        <w:t>R</w:t>
      </w:r>
      <w:r w:rsidRPr="00052CAB">
        <w:rPr>
          <w:rFonts w:cs="Times New Roman"/>
          <w:color w:val="000000" w:themeColor="text1"/>
          <w:sz w:val="20"/>
          <w:szCs w:val="20"/>
        </w:rPr>
        <w:t xml:space="preserve"> (</w:t>
      </w:r>
      <w:r w:rsidR="00356974" w:rsidRPr="00052CAB">
        <w:rPr>
          <w:rFonts w:cs="Times New Roman"/>
          <w:color w:val="000000" w:themeColor="text1"/>
          <w:sz w:val="20"/>
          <w:szCs w:val="20"/>
        </w:rPr>
        <w:t>a</w:t>
      </w:r>
      <w:r w:rsidRPr="00052CAB">
        <w:rPr>
          <w:rFonts w:cs="Times New Roman"/>
          <w:color w:val="000000" w:themeColor="text1"/>
          <w:sz w:val="20"/>
          <w:szCs w:val="20"/>
        </w:rPr>
        <w:t>), DT</w:t>
      </w:r>
      <w:r w:rsidRPr="00052CAB">
        <w:rPr>
          <w:rFonts w:cs="Times New Roman"/>
          <w:color w:val="000000" w:themeColor="text1"/>
          <w:sz w:val="20"/>
          <w:szCs w:val="20"/>
          <w:vertAlign w:val="subscript"/>
        </w:rPr>
        <w:t>A</w:t>
      </w:r>
      <w:r w:rsidRPr="00052CAB">
        <w:rPr>
          <w:rFonts w:cs="Times New Roman"/>
          <w:color w:val="000000" w:themeColor="text1"/>
          <w:sz w:val="20"/>
          <w:szCs w:val="20"/>
        </w:rPr>
        <w:t xml:space="preserve"> (</w:t>
      </w:r>
      <w:r w:rsidR="00356974" w:rsidRPr="00052CAB">
        <w:rPr>
          <w:rFonts w:cs="Times New Roman"/>
          <w:color w:val="000000" w:themeColor="text1"/>
          <w:sz w:val="20"/>
          <w:szCs w:val="20"/>
        </w:rPr>
        <w:t>b</w:t>
      </w:r>
      <w:r w:rsidRPr="00052CAB">
        <w:rPr>
          <w:rFonts w:cs="Times New Roman"/>
          <w:color w:val="000000" w:themeColor="text1"/>
          <w:sz w:val="20"/>
          <w:szCs w:val="20"/>
        </w:rPr>
        <w:t>), DT</w:t>
      </w:r>
      <w:r w:rsidRPr="00052CAB">
        <w:rPr>
          <w:rFonts w:cs="Times New Roman"/>
          <w:color w:val="000000" w:themeColor="text1"/>
          <w:sz w:val="20"/>
          <w:szCs w:val="20"/>
          <w:vertAlign w:val="subscript"/>
        </w:rPr>
        <w:t>A-Na</w:t>
      </w:r>
      <w:r w:rsidRPr="00052CAB" w:rsidDel="00463390">
        <w:rPr>
          <w:rFonts w:cs="Times New Roman"/>
          <w:color w:val="000000" w:themeColor="text1"/>
          <w:sz w:val="20"/>
          <w:szCs w:val="20"/>
        </w:rPr>
        <w:t xml:space="preserve"> </w:t>
      </w:r>
      <w:r w:rsidRPr="00052CAB">
        <w:rPr>
          <w:rFonts w:cs="Times New Roman"/>
          <w:color w:val="000000" w:themeColor="text1"/>
          <w:sz w:val="20"/>
          <w:szCs w:val="20"/>
        </w:rPr>
        <w:t>(</w:t>
      </w:r>
      <w:r w:rsidR="00356974" w:rsidRPr="00052CAB">
        <w:rPr>
          <w:rFonts w:cs="Times New Roman"/>
          <w:color w:val="000000" w:themeColor="text1"/>
          <w:sz w:val="20"/>
          <w:szCs w:val="20"/>
        </w:rPr>
        <w:t>c</w:t>
      </w:r>
      <w:r w:rsidRPr="00052CAB">
        <w:rPr>
          <w:rFonts w:cs="Times New Roman"/>
          <w:color w:val="000000" w:themeColor="text1"/>
          <w:sz w:val="20"/>
          <w:szCs w:val="20"/>
        </w:rPr>
        <w:t>) and DTC</w:t>
      </w:r>
      <w:r w:rsidRPr="00052CAB">
        <w:rPr>
          <w:rFonts w:cs="Times New Roman"/>
          <w:color w:val="000000" w:themeColor="text1"/>
          <w:sz w:val="20"/>
          <w:szCs w:val="20"/>
          <w:vertAlign w:val="subscript"/>
        </w:rPr>
        <w:t>A-Na</w:t>
      </w:r>
      <w:r w:rsidRPr="00052CAB">
        <w:rPr>
          <w:rFonts w:cs="Times New Roman"/>
          <w:color w:val="000000" w:themeColor="text1"/>
          <w:sz w:val="20"/>
          <w:szCs w:val="20"/>
        </w:rPr>
        <w:t xml:space="preserve"> (</w:t>
      </w:r>
      <w:r w:rsidR="00356974" w:rsidRPr="00052CAB">
        <w:rPr>
          <w:rFonts w:cs="Times New Roman"/>
          <w:color w:val="000000" w:themeColor="text1"/>
          <w:sz w:val="20"/>
          <w:szCs w:val="20"/>
        </w:rPr>
        <w:t>d</w:t>
      </w:r>
      <w:r w:rsidRPr="00052CAB">
        <w:rPr>
          <w:rFonts w:cs="Times New Roman"/>
          <w:color w:val="000000" w:themeColor="text1"/>
          <w:sz w:val="20"/>
          <w:szCs w:val="20"/>
        </w:rPr>
        <w:t>)</w:t>
      </w:r>
      <w:r w:rsidR="00351F23" w:rsidRPr="00052CAB">
        <w:rPr>
          <w:rFonts w:cs="Times New Roman"/>
          <w:color w:val="000000" w:themeColor="text1"/>
          <w:sz w:val="20"/>
          <w:szCs w:val="20"/>
        </w:rPr>
        <w:t>.</w:t>
      </w:r>
    </w:p>
    <w:p w14:paraId="6804CA71" w14:textId="77777777" w:rsidR="00511B91" w:rsidRPr="00052CAB" w:rsidRDefault="00511B91" w:rsidP="00973869">
      <w:pPr>
        <w:ind w:firstLineChars="0" w:firstLine="0"/>
        <w:rPr>
          <w:rFonts w:eastAsiaTheme="minorEastAsia" w:cs="Times New Roman"/>
          <w:color w:val="000000" w:themeColor="text1"/>
          <w:sz w:val="20"/>
          <w:szCs w:val="20"/>
        </w:rPr>
      </w:pPr>
    </w:p>
    <w:p w14:paraId="4EDC7358" w14:textId="57861982" w:rsidR="00973869" w:rsidRPr="00052CAB" w:rsidRDefault="00511B91" w:rsidP="00511B91">
      <w:pPr>
        <w:ind w:firstLineChars="0" w:firstLine="0"/>
        <w:jc w:val="center"/>
        <w:rPr>
          <w:rFonts w:eastAsiaTheme="minorEastAsia" w:cs="Times New Roman"/>
          <w:sz w:val="20"/>
          <w:szCs w:val="20"/>
        </w:rPr>
      </w:pPr>
      <w:r w:rsidRPr="00052CAB">
        <w:rPr>
          <w:rFonts w:eastAsiaTheme="minorEastAsia" w:cs="Times New Roman"/>
          <w:noProof/>
          <w:sz w:val="20"/>
          <w:szCs w:val="20"/>
        </w:rPr>
        <w:drawing>
          <wp:inline distT="0" distB="0" distL="0" distR="0" wp14:anchorId="6DCA7168" wp14:editId="389F6F85">
            <wp:extent cx="3064137" cy="2187245"/>
            <wp:effectExtent l="0" t="0" r="3175"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64137" cy="2187245"/>
                    </a:xfrm>
                    <a:prstGeom prst="rect">
                      <a:avLst/>
                    </a:prstGeom>
                  </pic:spPr>
                </pic:pic>
              </a:graphicData>
            </a:graphic>
          </wp:inline>
        </w:drawing>
      </w:r>
    </w:p>
    <w:p w14:paraId="20F74DB0" w14:textId="77777777" w:rsidR="00511B91" w:rsidRPr="00052CAB" w:rsidRDefault="00511B91" w:rsidP="00511B91">
      <w:pPr>
        <w:ind w:firstLineChars="0" w:firstLine="0"/>
        <w:jc w:val="left"/>
        <w:rPr>
          <w:rFonts w:cs="Times New Roman"/>
          <w:color w:val="000000" w:themeColor="text1"/>
          <w:sz w:val="20"/>
          <w:szCs w:val="20"/>
        </w:rPr>
      </w:pPr>
      <w:r w:rsidRPr="00052CAB">
        <w:rPr>
          <w:rFonts w:cs="Times New Roman"/>
          <w:b/>
          <w:color w:val="000000" w:themeColor="text1"/>
          <w:sz w:val="20"/>
          <w:szCs w:val="20"/>
        </w:rPr>
        <w:t xml:space="preserve">Fig. S2. </w:t>
      </w:r>
      <w:r w:rsidRPr="00052CAB">
        <w:rPr>
          <w:rFonts w:cs="Times New Roman"/>
          <w:color w:val="000000" w:themeColor="text1"/>
          <w:sz w:val="20"/>
          <w:szCs w:val="20"/>
        </w:rPr>
        <w:t>Effect of concentration of the NaCl reagent on the desorption rate and removal efficiency.</w:t>
      </w:r>
    </w:p>
    <w:p w14:paraId="4E8D620C" w14:textId="668DC4D2" w:rsidR="00511B91" w:rsidRPr="00052CAB" w:rsidRDefault="00511B91" w:rsidP="00511B91">
      <w:pPr>
        <w:ind w:firstLineChars="0" w:firstLine="0"/>
        <w:jc w:val="center"/>
        <w:rPr>
          <w:rFonts w:eastAsiaTheme="minorEastAsia" w:cs="Times New Roman"/>
          <w:sz w:val="20"/>
          <w:szCs w:val="20"/>
        </w:rPr>
      </w:pPr>
    </w:p>
    <w:p w14:paraId="67C49FFA" w14:textId="7D3A250A" w:rsidR="00511B91" w:rsidRPr="00052CAB" w:rsidRDefault="00511B91" w:rsidP="00511B91">
      <w:pPr>
        <w:ind w:firstLineChars="0" w:firstLine="0"/>
        <w:jc w:val="center"/>
        <w:rPr>
          <w:rFonts w:eastAsiaTheme="minorEastAsia" w:cs="Times New Roman"/>
          <w:sz w:val="20"/>
          <w:szCs w:val="20"/>
        </w:rPr>
      </w:pPr>
    </w:p>
    <w:p w14:paraId="452514AF" w14:textId="76072F0F" w:rsidR="00511B91" w:rsidRPr="00052CAB" w:rsidRDefault="00576628" w:rsidP="00511B91">
      <w:pPr>
        <w:ind w:firstLineChars="0" w:firstLine="0"/>
        <w:jc w:val="center"/>
        <w:rPr>
          <w:rFonts w:eastAsiaTheme="minorEastAsia" w:cs="Times New Roman"/>
          <w:sz w:val="20"/>
          <w:szCs w:val="20"/>
        </w:rPr>
      </w:pPr>
      <w:r w:rsidRPr="00052CAB">
        <w:rPr>
          <w:rFonts w:eastAsiaTheme="minorEastAsia" w:cs="Times New Roman"/>
          <w:noProof/>
          <w:sz w:val="20"/>
          <w:szCs w:val="20"/>
        </w:rPr>
        <w:drawing>
          <wp:inline distT="0" distB="0" distL="0" distR="0" wp14:anchorId="22A02D67" wp14:editId="6D5DDC4D">
            <wp:extent cx="2583788" cy="2113472"/>
            <wp:effectExtent l="0" t="0" r="762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99356" cy="2126206"/>
                    </a:xfrm>
                    <a:prstGeom prst="rect">
                      <a:avLst/>
                    </a:prstGeom>
                  </pic:spPr>
                </pic:pic>
              </a:graphicData>
            </a:graphic>
          </wp:inline>
        </w:drawing>
      </w:r>
      <w:r w:rsidRPr="00052CAB">
        <w:rPr>
          <w:rFonts w:eastAsiaTheme="minorEastAsia" w:cs="Times New Roman"/>
          <w:noProof/>
          <w:sz w:val="20"/>
          <w:szCs w:val="20"/>
        </w:rPr>
        <w:drawing>
          <wp:inline distT="0" distB="0" distL="0" distR="0" wp14:anchorId="553D7D77" wp14:editId="40BA3BD6">
            <wp:extent cx="2484408" cy="210032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10864" cy="2122695"/>
                    </a:xfrm>
                    <a:prstGeom prst="rect">
                      <a:avLst/>
                    </a:prstGeom>
                  </pic:spPr>
                </pic:pic>
              </a:graphicData>
            </a:graphic>
          </wp:inline>
        </w:drawing>
      </w:r>
      <w:r w:rsidR="001A5AAF" w:rsidRPr="00052CAB">
        <w:rPr>
          <w:rFonts w:eastAsiaTheme="minorEastAsia" w:cs="Times New Roman"/>
          <w:noProof/>
          <w:sz w:val="20"/>
          <w:szCs w:val="20"/>
        </w:rPr>
        <w:drawing>
          <wp:inline distT="0" distB="0" distL="0" distR="0" wp14:anchorId="3D0D2EB6" wp14:editId="1B6097C1">
            <wp:extent cx="2552166" cy="2182483"/>
            <wp:effectExtent l="0" t="0" r="635"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90545" cy="2215302"/>
                    </a:xfrm>
                    <a:prstGeom prst="rect">
                      <a:avLst/>
                    </a:prstGeom>
                  </pic:spPr>
                </pic:pic>
              </a:graphicData>
            </a:graphic>
          </wp:inline>
        </w:drawing>
      </w:r>
      <w:r w:rsidR="009A58D7" w:rsidRPr="00052CAB">
        <w:rPr>
          <w:rFonts w:eastAsiaTheme="minorEastAsia" w:cs="Times New Roman"/>
          <w:noProof/>
          <w:sz w:val="20"/>
          <w:szCs w:val="20"/>
        </w:rPr>
        <w:drawing>
          <wp:inline distT="0" distB="0" distL="0" distR="0" wp14:anchorId="44C01191" wp14:editId="6DA599BE">
            <wp:extent cx="2725948" cy="2145799"/>
            <wp:effectExtent l="0" t="0" r="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35935" cy="2153660"/>
                    </a:xfrm>
                    <a:prstGeom prst="rect">
                      <a:avLst/>
                    </a:prstGeom>
                  </pic:spPr>
                </pic:pic>
              </a:graphicData>
            </a:graphic>
          </wp:inline>
        </w:drawing>
      </w:r>
    </w:p>
    <w:p w14:paraId="3294081D" w14:textId="0217DDB0" w:rsidR="0083729E" w:rsidRPr="00052CAB" w:rsidRDefault="0083729E" w:rsidP="0083729E">
      <w:pPr>
        <w:ind w:firstLineChars="0" w:firstLine="0"/>
        <w:rPr>
          <w:rFonts w:cs="Times New Roman"/>
          <w:color w:val="000000" w:themeColor="text1"/>
          <w:sz w:val="20"/>
          <w:szCs w:val="20"/>
        </w:rPr>
      </w:pPr>
      <w:r w:rsidRPr="00052CAB">
        <w:rPr>
          <w:rFonts w:cs="Times New Roman"/>
          <w:b/>
          <w:color w:val="000000" w:themeColor="text1"/>
          <w:sz w:val="20"/>
          <w:szCs w:val="20"/>
        </w:rPr>
        <w:t xml:space="preserve">Fig. S3. </w:t>
      </w:r>
      <w:r w:rsidRPr="00052CAB">
        <w:rPr>
          <w:rFonts w:cs="Times New Roman"/>
          <w:color w:val="000000" w:themeColor="text1"/>
          <w:sz w:val="20"/>
          <w:szCs w:val="20"/>
        </w:rPr>
        <w:t>(</w:t>
      </w:r>
      <w:r w:rsidR="00351F23" w:rsidRPr="00052CAB">
        <w:rPr>
          <w:rFonts w:cs="Times New Roman"/>
          <w:color w:val="000000" w:themeColor="text1"/>
          <w:sz w:val="20"/>
          <w:szCs w:val="20"/>
        </w:rPr>
        <w:t>a</w:t>
      </w:r>
      <w:r w:rsidRPr="00052CAB">
        <w:rPr>
          <w:rFonts w:cs="Times New Roman"/>
          <w:color w:val="000000" w:themeColor="text1"/>
          <w:sz w:val="20"/>
          <w:szCs w:val="20"/>
        </w:rPr>
        <w:t>) Effect of contact time at different temperatures on the adsorption capacity of the DTC</w:t>
      </w:r>
      <w:r w:rsidRPr="00052CAB">
        <w:rPr>
          <w:rFonts w:cs="Times New Roman"/>
          <w:color w:val="000000" w:themeColor="text1"/>
          <w:sz w:val="20"/>
          <w:szCs w:val="20"/>
          <w:vertAlign w:val="subscript"/>
        </w:rPr>
        <w:t>A-Na</w:t>
      </w:r>
      <w:r w:rsidRPr="00052CAB">
        <w:rPr>
          <w:rFonts w:cs="Times New Roman"/>
          <w:color w:val="000000" w:themeColor="text1"/>
          <w:sz w:val="20"/>
          <w:szCs w:val="20"/>
        </w:rPr>
        <w:t>, (</w:t>
      </w:r>
      <w:r w:rsidR="00351F23" w:rsidRPr="00052CAB">
        <w:rPr>
          <w:rFonts w:cs="Times New Roman"/>
          <w:color w:val="000000" w:themeColor="text1"/>
          <w:sz w:val="20"/>
          <w:szCs w:val="20"/>
        </w:rPr>
        <w:t>b</w:t>
      </w:r>
      <w:r w:rsidRPr="00052CAB">
        <w:rPr>
          <w:rFonts w:cs="Times New Roman"/>
          <w:color w:val="000000" w:themeColor="text1"/>
          <w:sz w:val="20"/>
          <w:szCs w:val="20"/>
        </w:rPr>
        <w:t>) The pseudo-first-order kinetics model fitting, (</w:t>
      </w:r>
      <w:r w:rsidR="00351F23" w:rsidRPr="00052CAB">
        <w:rPr>
          <w:rFonts w:cs="Times New Roman"/>
          <w:color w:val="000000" w:themeColor="text1"/>
          <w:sz w:val="20"/>
          <w:szCs w:val="20"/>
        </w:rPr>
        <w:t>c</w:t>
      </w:r>
      <w:r w:rsidRPr="00052CAB">
        <w:rPr>
          <w:rFonts w:cs="Times New Roman"/>
          <w:color w:val="000000" w:themeColor="text1"/>
          <w:sz w:val="20"/>
          <w:szCs w:val="20"/>
        </w:rPr>
        <w:t>) The pseudo-second-order kinetics model fitting, (</w:t>
      </w:r>
      <w:r w:rsidR="00351F23" w:rsidRPr="00052CAB">
        <w:rPr>
          <w:rFonts w:cs="Times New Roman"/>
          <w:color w:val="000000" w:themeColor="text1"/>
          <w:sz w:val="20"/>
          <w:szCs w:val="20"/>
        </w:rPr>
        <w:t>d</w:t>
      </w:r>
      <w:r w:rsidRPr="00052CAB">
        <w:rPr>
          <w:rFonts w:cs="Times New Roman"/>
          <w:color w:val="000000" w:themeColor="text1"/>
          <w:sz w:val="20"/>
          <w:szCs w:val="20"/>
        </w:rPr>
        <w:t>)The intraparticle diffusion model fitting.</w:t>
      </w:r>
    </w:p>
    <w:p w14:paraId="55F7C906" w14:textId="374C613A" w:rsidR="0083729E" w:rsidRPr="00052CAB" w:rsidRDefault="0083729E" w:rsidP="00511B91">
      <w:pPr>
        <w:ind w:firstLineChars="0" w:firstLine="0"/>
        <w:jc w:val="center"/>
        <w:rPr>
          <w:rFonts w:eastAsiaTheme="minorEastAsia" w:cs="Times New Roman"/>
          <w:sz w:val="20"/>
          <w:szCs w:val="20"/>
        </w:rPr>
      </w:pPr>
    </w:p>
    <w:p w14:paraId="083AB688" w14:textId="4F792552" w:rsidR="00CF2A91" w:rsidRPr="00052CAB" w:rsidRDefault="00CF2A91" w:rsidP="00511B91">
      <w:pPr>
        <w:ind w:firstLineChars="0" w:firstLine="0"/>
        <w:jc w:val="center"/>
        <w:rPr>
          <w:rFonts w:eastAsiaTheme="minorEastAsia" w:cs="Times New Roman"/>
          <w:sz w:val="20"/>
          <w:szCs w:val="20"/>
        </w:rPr>
      </w:pPr>
    </w:p>
    <w:p w14:paraId="7599912E" w14:textId="1F637C1D" w:rsidR="00CF2A91" w:rsidRPr="00052CAB" w:rsidRDefault="00CF2A91" w:rsidP="00511B91">
      <w:pPr>
        <w:ind w:firstLineChars="0" w:firstLine="0"/>
        <w:jc w:val="center"/>
        <w:rPr>
          <w:rFonts w:eastAsiaTheme="minorEastAsia" w:cs="Times New Roman"/>
          <w:sz w:val="20"/>
          <w:szCs w:val="20"/>
        </w:rPr>
      </w:pPr>
    </w:p>
    <w:p w14:paraId="469D1550" w14:textId="1347816C" w:rsidR="00CF2A91" w:rsidRPr="00052CAB" w:rsidRDefault="00CF2A91" w:rsidP="00511B91">
      <w:pPr>
        <w:ind w:firstLineChars="0" w:firstLine="0"/>
        <w:jc w:val="center"/>
        <w:rPr>
          <w:rFonts w:eastAsiaTheme="minorEastAsia" w:cs="Times New Roman"/>
          <w:sz w:val="20"/>
          <w:szCs w:val="20"/>
        </w:rPr>
      </w:pPr>
    </w:p>
    <w:p w14:paraId="393CBA2B" w14:textId="69BEC45B" w:rsidR="00CF2A91" w:rsidRPr="00052CAB" w:rsidRDefault="00CF2A91" w:rsidP="00511B91">
      <w:pPr>
        <w:ind w:firstLineChars="0" w:firstLine="0"/>
        <w:jc w:val="center"/>
        <w:rPr>
          <w:rFonts w:eastAsiaTheme="minorEastAsia" w:cs="Times New Roman"/>
          <w:sz w:val="20"/>
          <w:szCs w:val="20"/>
        </w:rPr>
      </w:pPr>
    </w:p>
    <w:p w14:paraId="567FD4DD" w14:textId="0115FB27" w:rsidR="00CF2A91" w:rsidRPr="00052CAB" w:rsidRDefault="00CF2A91" w:rsidP="00511B91">
      <w:pPr>
        <w:ind w:firstLineChars="0" w:firstLine="0"/>
        <w:jc w:val="center"/>
        <w:rPr>
          <w:rFonts w:eastAsiaTheme="minorEastAsia" w:cs="Times New Roman"/>
          <w:sz w:val="20"/>
          <w:szCs w:val="20"/>
        </w:rPr>
      </w:pPr>
    </w:p>
    <w:p w14:paraId="4350CAFA" w14:textId="0D87C16D" w:rsidR="00CF2A91" w:rsidRPr="00052CAB" w:rsidRDefault="00CF2A91" w:rsidP="00511B91">
      <w:pPr>
        <w:ind w:firstLineChars="0" w:firstLine="0"/>
        <w:jc w:val="center"/>
        <w:rPr>
          <w:rFonts w:eastAsiaTheme="minorEastAsia" w:cs="Times New Roman"/>
          <w:sz w:val="20"/>
          <w:szCs w:val="20"/>
        </w:rPr>
      </w:pPr>
    </w:p>
    <w:p w14:paraId="2C14210E" w14:textId="1B44E13E" w:rsidR="00CF2A91" w:rsidRPr="00052CAB" w:rsidRDefault="00CF2A91" w:rsidP="00511B91">
      <w:pPr>
        <w:ind w:firstLineChars="0" w:firstLine="0"/>
        <w:jc w:val="center"/>
        <w:rPr>
          <w:rFonts w:eastAsiaTheme="minorEastAsia" w:cs="Times New Roman"/>
          <w:sz w:val="20"/>
          <w:szCs w:val="20"/>
        </w:rPr>
      </w:pPr>
    </w:p>
    <w:p w14:paraId="3C81C21E" w14:textId="6E29BF88" w:rsidR="00CF2A91" w:rsidRPr="00052CAB" w:rsidRDefault="00FC056F" w:rsidP="00511B91">
      <w:pPr>
        <w:ind w:firstLineChars="0" w:firstLine="0"/>
        <w:jc w:val="center"/>
        <w:rPr>
          <w:rFonts w:eastAsiaTheme="minorEastAsia" w:cs="Times New Roman"/>
          <w:sz w:val="20"/>
          <w:szCs w:val="20"/>
        </w:rPr>
      </w:pPr>
      <w:r w:rsidRPr="00052CAB">
        <w:rPr>
          <w:rFonts w:eastAsiaTheme="minorEastAsia" w:cs="Times New Roman"/>
          <w:noProof/>
          <w:sz w:val="20"/>
          <w:szCs w:val="20"/>
        </w:rPr>
        <w:drawing>
          <wp:inline distT="0" distB="0" distL="0" distR="0" wp14:anchorId="04F9EFE4" wp14:editId="157568CD">
            <wp:extent cx="2377924" cy="1966822"/>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389507" cy="1976403"/>
                    </a:xfrm>
                    <a:prstGeom prst="rect">
                      <a:avLst/>
                    </a:prstGeom>
                  </pic:spPr>
                </pic:pic>
              </a:graphicData>
            </a:graphic>
          </wp:inline>
        </w:drawing>
      </w:r>
      <w:r w:rsidR="00865804" w:rsidRPr="00052CAB">
        <w:rPr>
          <w:rFonts w:eastAsiaTheme="minorEastAsia" w:cs="Times New Roman"/>
          <w:noProof/>
          <w:sz w:val="20"/>
          <w:szCs w:val="20"/>
        </w:rPr>
        <w:drawing>
          <wp:inline distT="0" distB="0" distL="0" distR="0" wp14:anchorId="1DEADB6E" wp14:editId="69253279">
            <wp:extent cx="2423849" cy="1933947"/>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47474" cy="1952797"/>
                    </a:xfrm>
                    <a:prstGeom prst="rect">
                      <a:avLst/>
                    </a:prstGeom>
                  </pic:spPr>
                </pic:pic>
              </a:graphicData>
            </a:graphic>
          </wp:inline>
        </w:drawing>
      </w:r>
      <w:r w:rsidR="00A11D5A" w:rsidRPr="00052CAB">
        <w:rPr>
          <w:rFonts w:eastAsiaTheme="minorEastAsia" w:cs="Times New Roman"/>
          <w:noProof/>
          <w:sz w:val="20"/>
          <w:szCs w:val="20"/>
        </w:rPr>
        <w:drawing>
          <wp:inline distT="0" distB="0" distL="0" distR="0" wp14:anchorId="38EAA25E" wp14:editId="179ECFC8">
            <wp:extent cx="2475294" cy="2026812"/>
            <wp:effectExtent l="0" t="0" r="127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04070" cy="2050374"/>
                    </a:xfrm>
                    <a:prstGeom prst="rect">
                      <a:avLst/>
                    </a:prstGeom>
                  </pic:spPr>
                </pic:pic>
              </a:graphicData>
            </a:graphic>
          </wp:inline>
        </w:drawing>
      </w:r>
      <w:r w:rsidR="00505549" w:rsidRPr="00052CAB">
        <w:rPr>
          <w:rFonts w:eastAsiaTheme="minorEastAsia" w:cs="Times New Roman"/>
          <w:noProof/>
          <w:sz w:val="20"/>
          <w:szCs w:val="20"/>
        </w:rPr>
        <w:drawing>
          <wp:inline distT="0" distB="0" distL="0" distR="0" wp14:anchorId="7794FB3F" wp14:editId="1F986E1B">
            <wp:extent cx="2443486" cy="1965784"/>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64942" cy="1983045"/>
                    </a:xfrm>
                    <a:prstGeom prst="rect">
                      <a:avLst/>
                    </a:prstGeom>
                  </pic:spPr>
                </pic:pic>
              </a:graphicData>
            </a:graphic>
          </wp:inline>
        </w:drawing>
      </w:r>
    </w:p>
    <w:p w14:paraId="50E36776" w14:textId="7896F6C5" w:rsidR="002B11FE" w:rsidRPr="00052CAB" w:rsidRDefault="008C242A" w:rsidP="008C242A">
      <w:pPr>
        <w:ind w:firstLineChars="0" w:firstLine="0"/>
        <w:jc w:val="left"/>
        <w:rPr>
          <w:rFonts w:cs="Times New Roman"/>
          <w:color w:val="000000" w:themeColor="text1"/>
          <w:sz w:val="20"/>
          <w:szCs w:val="20"/>
        </w:rPr>
      </w:pPr>
      <w:r w:rsidRPr="00052CAB">
        <w:rPr>
          <w:rFonts w:cs="Times New Roman"/>
          <w:b/>
          <w:color w:val="000000" w:themeColor="text1"/>
          <w:sz w:val="20"/>
          <w:szCs w:val="20"/>
        </w:rPr>
        <w:t>Fig. S4.</w:t>
      </w:r>
      <w:r w:rsidRPr="00052CAB">
        <w:rPr>
          <w:rFonts w:cs="Times New Roman"/>
          <w:color w:val="000000" w:themeColor="text1"/>
          <w:sz w:val="20"/>
          <w:szCs w:val="20"/>
        </w:rPr>
        <w:t xml:space="preserve"> (</w:t>
      </w:r>
      <w:r w:rsidR="00505549" w:rsidRPr="00052CAB">
        <w:rPr>
          <w:rFonts w:eastAsiaTheme="minorEastAsia" w:cs="Times New Roman"/>
          <w:color w:val="000000" w:themeColor="text1"/>
          <w:sz w:val="20"/>
          <w:szCs w:val="20"/>
        </w:rPr>
        <w:t>a</w:t>
      </w:r>
      <w:r w:rsidRPr="00052CAB">
        <w:rPr>
          <w:rFonts w:cs="Times New Roman"/>
          <w:color w:val="000000" w:themeColor="text1"/>
          <w:sz w:val="20"/>
          <w:szCs w:val="20"/>
        </w:rPr>
        <w:t>) The adsorption isotherms of NH</w:t>
      </w:r>
      <w:r w:rsidRPr="00052CAB">
        <w:rPr>
          <w:rFonts w:cs="Times New Roman"/>
          <w:color w:val="000000" w:themeColor="text1"/>
          <w:sz w:val="20"/>
          <w:szCs w:val="20"/>
          <w:eastAsianLayout w:id="-1706757120" w:combine="1"/>
        </w:rPr>
        <w:t>+ 4</w:t>
      </w:r>
      <w:r w:rsidRPr="00052CAB">
        <w:rPr>
          <w:rFonts w:cs="Times New Roman"/>
          <w:color w:val="000000" w:themeColor="text1"/>
          <w:sz w:val="20"/>
          <w:szCs w:val="20"/>
        </w:rPr>
        <w:t>-N on the DTC</w:t>
      </w:r>
      <w:r w:rsidRPr="00052CAB">
        <w:rPr>
          <w:rFonts w:cs="Times New Roman"/>
          <w:color w:val="000000" w:themeColor="text1"/>
          <w:sz w:val="20"/>
          <w:szCs w:val="20"/>
          <w:vertAlign w:val="subscript"/>
        </w:rPr>
        <w:t>A-Na</w:t>
      </w:r>
      <w:r w:rsidRPr="00052CAB">
        <w:rPr>
          <w:rFonts w:cs="Times New Roman"/>
          <w:color w:val="000000" w:themeColor="text1"/>
          <w:sz w:val="20"/>
          <w:szCs w:val="20"/>
        </w:rPr>
        <w:t xml:space="preserve"> at 25 ℃, (</w:t>
      </w:r>
      <w:r w:rsidR="00505549" w:rsidRPr="00052CAB">
        <w:rPr>
          <w:rFonts w:cs="Times New Roman"/>
          <w:color w:val="000000" w:themeColor="text1"/>
          <w:sz w:val="20"/>
          <w:szCs w:val="20"/>
        </w:rPr>
        <w:t>b</w:t>
      </w:r>
      <w:r w:rsidRPr="00052CAB">
        <w:rPr>
          <w:rFonts w:cs="Times New Roman"/>
          <w:color w:val="000000" w:themeColor="text1"/>
          <w:sz w:val="20"/>
          <w:szCs w:val="20"/>
        </w:rPr>
        <w:t>) Non-linear fitting curve of Freundlich model, (</w:t>
      </w:r>
      <w:r w:rsidR="00505549" w:rsidRPr="00052CAB">
        <w:rPr>
          <w:rFonts w:cs="Times New Roman"/>
          <w:color w:val="000000" w:themeColor="text1"/>
          <w:sz w:val="20"/>
          <w:szCs w:val="20"/>
        </w:rPr>
        <w:t>c</w:t>
      </w:r>
      <w:r w:rsidRPr="00052CAB">
        <w:rPr>
          <w:rFonts w:cs="Times New Roman"/>
          <w:color w:val="000000" w:themeColor="text1"/>
          <w:sz w:val="20"/>
          <w:szCs w:val="20"/>
        </w:rPr>
        <w:t>) Non-linear fitting curve of Langmuir model, (</w:t>
      </w:r>
      <w:r w:rsidR="00505549" w:rsidRPr="00052CAB">
        <w:rPr>
          <w:rFonts w:cs="Times New Roman"/>
          <w:color w:val="000000" w:themeColor="text1"/>
          <w:sz w:val="20"/>
          <w:szCs w:val="20"/>
        </w:rPr>
        <w:t>d</w:t>
      </w:r>
      <w:r w:rsidRPr="00052CAB">
        <w:rPr>
          <w:rFonts w:cs="Times New Roman"/>
          <w:color w:val="000000" w:themeColor="text1"/>
          <w:sz w:val="20"/>
          <w:szCs w:val="20"/>
        </w:rPr>
        <w:t>) Non-linear fitting curve of Temkin model.</w:t>
      </w:r>
      <w:r w:rsidR="002B11FE" w:rsidRPr="00052CAB">
        <w:rPr>
          <w:rFonts w:cs="Times New Roman"/>
          <w:color w:val="000000" w:themeColor="text1"/>
          <w:sz w:val="20"/>
          <w:szCs w:val="20"/>
        </w:rPr>
        <w:br w:type="page"/>
      </w:r>
    </w:p>
    <w:p w14:paraId="45B632CC" w14:textId="6BB3A374" w:rsidR="008C242A" w:rsidRPr="00052CAB" w:rsidRDefault="002B11FE" w:rsidP="008C242A">
      <w:pPr>
        <w:ind w:firstLineChars="0" w:firstLine="0"/>
        <w:jc w:val="left"/>
        <w:rPr>
          <w:rFonts w:cs="Times New Roman"/>
          <w:b/>
          <w:bCs/>
          <w:sz w:val="20"/>
          <w:szCs w:val="20"/>
        </w:rPr>
      </w:pPr>
      <w:r w:rsidRPr="00052CAB">
        <w:rPr>
          <w:rFonts w:cs="Times New Roman"/>
          <w:b/>
          <w:bCs/>
          <w:sz w:val="20"/>
          <w:szCs w:val="20"/>
        </w:rPr>
        <w:lastRenderedPageBreak/>
        <w:t>Supporting Tables</w:t>
      </w:r>
      <w:r w:rsidRPr="00052CAB">
        <w:rPr>
          <w:rFonts w:cs="Times New Roman"/>
          <w:b/>
          <w:bCs/>
          <w:sz w:val="20"/>
          <w:szCs w:val="20"/>
        </w:rPr>
        <w:fldChar w:fldCharType="begin"/>
      </w:r>
      <w:r w:rsidRPr="00052CAB">
        <w:rPr>
          <w:rFonts w:cs="Times New Roman"/>
          <w:b/>
          <w:bCs/>
          <w:sz w:val="20"/>
          <w:szCs w:val="20"/>
        </w:rPr>
        <w:instrText xml:space="preserve"> ADDIN ZOTERO_ITEM CSL_CITATION {"citationID":"UlVEkJzp","properties":{"formattedCitation":"(Li et al. 2018)","plainCitation":"(Li et al. 2018)","noteIndex":0},"citationItems":[{"id":3,"uris":["http://zotero.org/users/7695463/items/7S2GKWBH"],"itemData":{"id":3,"type":"article-journal","container-title":"Spectrochimica Acta Part A: Molecular and Biomolecular Spectroscopy","DOI":"10.1016/j.saa.2018.04.009","ISSN":"13861425","journalAbbreviation":"Spectrochimica Acta Part A: Molecular and Biomolecular Spectroscopy","language":"en","page":"127-135","source":"DOI.org (Crossref)","title":"The structural properties of 5-methyl-2-phenyl-2 H -1,2,3-triazole-4- carboxylic acid and chromogenic mechanism on its rhodamine B derivatives to Hg 2+ ions","volume":"200","author":[{"family":"Li","given":"Jianling"},{"family":"Ding","given":"Guohua"},{"family":"Niu","given":"Yanyan"},{"family":"Wu","given":"Luyong"},{"family":"Feng","given":"Huajie"},{"family":"He","given":"Wenying"}],"issued":{"date-parts":[["2018",7]]}}}],"schema":"https://github.com/citation-style-language/schema/raw/master/csl-citation.json"} </w:instrText>
      </w:r>
      <w:r w:rsidR="00184320">
        <w:rPr>
          <w:rFonts w:cs="Times New Roman"/>
          <w:b/>
          <w:bCs/>
          <w:sz w:val="20"/>
          <w:szCs w:val="20"/>
        </w:rPr>
        <w:fldChar w:fldCharType="separate"/>
      </w:r>
      <w:r w:rsidRPr="00052CAB">
        <w:rPr>
          <w:rFonts w:cs="Times New Roman"/>
          <w:b/>
          <w:bCs/>
          <w:sz w:val="20"/>
          <w:szCs w:val="20"/>
        </w:rPr>
        <w:fldChar w:fldCharType="end"/>
      </w:r>
    </w:p>
    <w:p w14:paraId="30441E05" w14:textId="77777777" w:rsidR="002B11FE" w:rsidRPr="00052CAB" w:rsidRDefault="002B11FE" w:rsidP="002B11FE">
      <w:pPr>
        <w:ind w:firstLineChars="0" w:firstLine="0"/>
        <w:rPr>
          <w:rFonts w:eastAsia="宋体" w:cs="Times New Roman"/>
          <w:b/>
          <w:color w:val="000000" w:themeColor="text1"/>
          <w:kern w:val="0"/>
          <w:sz w:val="20"/>
          <w:szCs w:val="20"/>
        </w:rPr>
      </w:pPr>
      <w:r w:rsidRPr="00052CAB">
        <w:rPr>
          <w:rFonts w:eastAsia="宋体" w:cs="Times New Roman"/>
          <w:b/>
          <w:color w:val="000000" w:themeColor="text1"/>
          <w:kern w:val="0"/>
          <w:sz w:val="20"/>
          <w:szCs w:val="20"/>
        </w:rPr>
        <w:t>Table S1</w:t>
      </w:r>
    </w:p>
    <w:p w14:paraId="40407D2F" w14:textId="77777777" w:rsidR="002B11FE" w:rsidRPr="00052CAB" w:rsidRDefault="002B11FE" w:rsidP="002B11FE">
      <w:pPr>
        <w:ind w:firstLineChars="0" w:firstLine="0"/>
        <w:rPr>
          <w:rFonts w:eastAsia="宋体" w:cs="Times New Roman"/>
          <w:color w:val="000000" w:themeColor="text1"/>
          <w:kern w:val="0"/>
          <w:sz w:val="20"/>
          <w:szCs w:val="20"/>
        </w:rPr>
      </w:pPr>
      <w:r w:rsidRPr="00052CAB">
        <w:rPr>
          <w:rFonts w:eastAsia="宋体" w:cs="Times New Roman"/>
          <w:color w:val="000000" w:themeColor="text1"/>
          <w:kern w:val="0"/>
          <w:sz w:val="20"/>
          <w:szCs w:val="20"/>
        </w:rPr>
        <w:t xml:space="preserve">Removal efficiency of </w:t>
      </w:r>
      <w:r w:rsidRPr="00052CAB">
        <w:rPr>
          <w:rFonts w:cs="Times New Roman"/>
          <w:color w:val="000000" w:themeColor="text1"/>
          <w:sz w:val="20"/>
          <w:szCs w:val="20"/>
        </w:rPr>
        <w:t>NH</w:t>
      </w:r>
      <w:r w:rsidRPr="00052CAB">
        <w:rPr>
          <w:rFonts w:cs="Times New Roman"/>
          <w:color w:val="000000" w:themeColor="text1"/>
          <w:sz w:val="20"/>
          <w:szCs w:val="20"/>
          <w:eastAsianLayout w:id="-1706757120" w:combine="1"/>
        </w:rPr>
        <w:t>+ 4</w:t>
      </w:r>
      <w:r w:rsidRPr="00052CAB">
        <w:rPr>
          <w:rFonts w:cs="Times New Roman"/>
          <w:color w:val="000000" w:themeColor="text1"/>
          <w:sz w:val="20"/>
          <w:szCs w:val="20"/>
        </w:rPr>
        <w:t>-N</w:t>
      </w:r>
      <w:r w:rsidRPr="00052CAB">
        <w:rPr>
          <w:rFonts w:eastAsia="宋体" w:cs="Times New Roman"/>
          <w:color w:val="000000" w:themeColor="text1"/>
          <w:kern w:val="0"/>
          <w:sz w:val="20"/>
          <w:szCs w:val="20"/>
        </w:rPr>
        <w:t xml:space="preserve"> by different diatomite</w:t>
      </w:r>
    </w:p>
    <w:tbl>
      <w:tblPr>
        <w:tblStyle w:val="11"/>
        <w:tblW w:w="5000" w:type="pct"/>
        <w:tblLook w:val="04A0" w:firstRow="1" w:lastRow="0" w:firstColumn="1" w:lastColumn="0" w:noHBand="0" w:noVBand="1"/>
      </w:tblPr>
      <w:tblGrid>
        <w:gridCol w:w="1509"/>
        <w:gridCol w:w="3182"/>
        <w:gridCol w:w="3621"/>
      </w:tblGrid>
      <w:tr w:rsidR="002B11FE" w:rsidRPr="00052CAB" w14:paraId="369D5BAE" w14:textId="77777777" w:rsidTr="00663A81">
        <w:trPr>
          <w:cnfStyle w:val="100000000000" w:firstRow="1" w:lastRow="0" w:firstColumn="0" w:lastColumn="0" w:oddVBand="0" w:evenVBand="0" w:oddHBand="0" w:evenHBand="0" w:firstRowFirstColumn="0" w:firstRowLastColumn="0" w:lastRowFirstColumn="0" w:lastRowLastColumn="0"/>
          <w:cantSplit/>
          <w:trHeight w:val="216"/>
        </w:trPr>
        <w:tc>
          <w:tcPr>
            <w:tcW w:w="908" w:type="pct"/>
            <w:tcBorders>
              <w:top w:val="single" w:sz="12" w:space="0" w:color="auto"/>
              <w:left w:val="nil"/>
              <w:bottom w:val="single" w:sz="4" w:space="0" w:color="auto"/>
              <w:right w:val="nil"/>
            </w:tcBorders>
            <w:vAlign w:val="center"/>
            <w:hideMark/>
          </w:tcPr>
          <w:p w14:paraId="050F45F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Adsorbent</w:t>
            </w:r>
          </w:p>
        </w:tc>
        <w:tc>
          <w:tcPr>
            <w:tcW w:w="1914" w:type="pct"/>
            <w:tcBorders>
              <w:top w:val="single" w:sz="12" w:space="0" w:color="auto"/>
              <w:left w:val="nil"/>
              <w:bottom w:val="single" w:sz="4" w:space="0" w:color="auto"/>
              <w:right w:val="nil"/>
            </w:tcBorders>
            <w:vAlign w:val="center"/>
            <w:hideMark/>
          </w:tcPr>
          <w:p w14:paraId="35FC296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Dosage of adsorbent (g)</w:t>
            </w:r>
          </w:p>
        </w:tc>
        <w:tc>
          <w:tcPr>
            <w:tcW w:w="2178" w:type="pct"/>
            <w:tcBorders>
              <w:top w:val="single" w:sz="12" w:space="0" w:color="auto"/>
              <w:left w:val="nil"/>
              <w:bottom w:val="single" w:sz="4" w:space="0" w:color="auto"/>
              <w:right w:val="nil"/>
            </w:tcBorders>
            <w:vAlign w:val="center"/>
            <w:hideMark/>
          </w:tcPr>
          <w:p w14:paraId="25CCA331"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The removal efficiency (%)</w:t>
            </w:r>
          </w:p>
        </w:tc>
      </w:tr>
      <w:tr w:rsidR="002B11FE" w:rsidRPr="00052CAB" w14:paraId="0D33BC0B" w14:textId="77777777" w:rsidTr="00663A81">
        <w:trPr>
          <w:cantSplit/>
          <w:trHeight w:val="1124"/>
        </w:trPr>
        <w:tc>
          <w:tcPr>
            <w:tcW w:w="908" w:type="pct"/>
            <w:tcBorders>
              <w:top w:val="single" w:sz="4" w:space="0" w:color="auto"/>
              <w:left w:val="nil"/>
              <w:bottom w:val="single" w:sz="12" w:space="0" w:color="auto"/>
              <w:right w:val="nil"/>
            </w:tcBorders>
            <w:vAlign w:val="center"/>
            <w:hideMark/>
          </w:tcPr>
          <w:p w14:paraId="4DD2E39F"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DT</w:t>
            </w:r>
            <w:r w:rsidRPr="00052CAB">
              <w:rPr>
                <w:color w:val="000000" w:themeColor="text1"/>
                <w:sz w:val="20"/>
                <w:vertAlign w:val="subscript"/>
              </w:rPr>
              <w:t>R</w:t>
            </w:r>
          </w:p>
          <w:p w14:paraId="2E733A8E"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DT</w:t>
            </w:r>
            <w:r w:rsidRPr="00052CAB">
              <w:rPr>
                <w:color w:val="000000" w:themeColor="text1"/>
                <w:sz w:val="20"/>
                <w:vertAlign w:val="subscript"/>
              </w:rPr>
              <w:t>W</w:t>
            </w:r>
          </w:p>
          <w:p w14:paraId="159A33B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DT</w:t>
            </w:r>
            <w:r w:rsidRPr="00052CAB">
              <w:rPr>
                <w:color w:val="000000" w:themeColor="text1"/>
                <w:sz w:val="20"/>
                <w:vertAlign w:val="subscript"/>
              </w:rPr>
              <w:t>A</w:t>
            </w:r>
          </w:p>
        </w:tc>
        <w:tc>
          <w:tcPr>
            <w:tcW w:w="1914" w:type="pct"/>
            <w:tcBorders>
              <w:top w:val="single" w:sz="4" w:space="0" w:color="auto"/>
              <w:left w:val="nil"/>
              <w:bottom w:val="single" w:sz="12" w:space="0" w:color="auto"/>
              <w:right w:val="nil"/>
            </w:tcBorders>
            <w:vAlign w:val="center"/>
            <w:hideMark/>
          </w:tcPr>
          <w:p w14:paraId="57BF2DC0"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p w14:paraId="5C4B0E0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p w14:paraId="4665A58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tc>
        <w:tc>
          <w:tcPr>
            <w:tcW w:w="2178" w:type="pct"/>
            <w:tcBorders>
              <w:top w:val="single" w:sz="4" w:space="0" w:color="auto"/>
              <w:left w:val="nil"/>
              <w:bottom w:val="single" w:sz="12" w:space="0" w:color="auto"/>
              <w:right w:val="nil"/>
            </w:tcBorders>
            <w:vAlign w:val="center"/>
            <w:hideMark/>
          </w:tcPr>
          <w:p w14:paraId="448C832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0.74</w:t>
            </w:r>
          </w:p>
          <w:p w14:paraId="5D90A88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1.72</w:t>
            </w:r>
          </w:p>
          <w:p w14:paraId="119E9E83"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43.51</w:t>
            </w:r>
          </w:p>
        </w:tc>
      </w:tr>
    </w:tbl>
    <w:p w14:paraId="65928795" w14:textId="360A6D90" w:rsidR="002B11FE" w:rsidRPr="00052CAB" w:rsidRDefault="002B11FE" w:rsidP="008C242A">
      <w:pPr>
        <w:ind w:firstLineChars="0" w:firstLine="0"/>
        <w:jc w:val="left"/>
        <w:rPr>
          <w:rFonts w:eastAsiaTheme="minorEastAsia" w:cs="Times New Roman"/>
          <w:sz w:val="20"/>
          <w:szCs w:val="20"/>
        </w:rPr>
      </w:pPr>
    </w:p>
    <w:p w14:paraId="759CE231" w14:textId="77777777" w:rsidR="002B11FE" w:rsidRPr="00052CAB" w:rsidRDefault="002B11FE" w:rsidP="002B11FE">
      <w:pPr>
        <w:ind w:firstLineChars="0" w:firstLine="0"/>
        <w:rPr>
          <w:rFonts w:eastAsia="宋体" w:cs="Times New Roman"/>
          <w:b/>
          <w:color w:val="000000" w:themeColor="text1"/>
          <w:kern w:val="0"/>
          <w:sz w:val="20"/>
          <w:szCs w:val="20"/>
        </w:rPr>
      </w:pPr>
      <w:r w:rsidRPr="00052CAB">
        <w:rPr>
          <w:rFonts w:eastAsia="宋体" w:cs="Times New Roman"/>
          <w:b/>
          <w:color w:val="000000" w:themeColor="text1"/>
          <w:kern w:val="0"/>
          <w:sz w:val="20"/>
          <w:szCs w:val="20"/>
        </w:rPr>
        <w:t>Table S2</w:t>
      </w:r>
    </w:p>
    <w:p w14:paraId="1E9E5DB3" w14:textId="77777777" w:rsidR="002B11FE" w:rsidRPr="00052CAB" w:rsidRDefault="002B11FE" w:rsidP="002B11FE">
      <w:pPr>
        <w:ind w:firstLineChars="0" w:firstLine="0"/>
        <w:rPr>
          <w:rFonts w:eastAsia="宋体" w:cs="Times New Roman"/>
          <w:color w:val="000000" w:themeColor="text1"/>
          <w:kern w:val="0"/>
          <w:sz w:val="20"/>
          <w:szCs w:val="20"/>
        </w:rPr>
      </w:pPr>
      <w:r w:rsidRPr="00052CAB">
        <w:rPr>
          <w:rFonts w:eastAsia="宋体" w:cs="Times New Roman"/>
          <w:color w:val="000000" w:themeColor="text1"/>
          <w:kern w:val="0"/>
          <w:sz w:val="20"/>
          <w:szCs w:val="20"/>
        </w:rPr>
        <w:t xml:space="preserve">Effect of different modifiers on </w:t>
      </w:r>
      <w:r w:rsidRPr="00052CAB">
        <w:rPr>
          <w:rFonts w:cs="Times New Roman"/>
          <w:color w:val="000000" w:themeColor="text1"/>
          <w:sz w:val="20"/>
          <w:szCs w:val="20"/>
        </w:rPr>
        <w:t>NH</w:t>
      </w:r>
      <w:r w:rsidRPr="00052CAB">
        <w:rPr>
          <w:rFonts w:cs="Times New Roman"/>
          <w:color w:val="000000" w:themeColor="text1"/>
          <w:sz w:val="20"/>
          <w:szCs w:val="20"/>
          <w:eastAsianLayout w:id="-1706757120" w:combine="1"/>
        </w:rPr>
        <w:t>+ 4</w:t>
      </w:r>
      <w:r w:rsidRPr="00052CAB">
        <w:rPr>
          <w:rFonts w:cs="Times New Roman"/>
          <w:color w:val="000000" w:themeColor="text1"/>
          <w:sz w:val="20"/>
          <w:szCs w:val="20"/>
        </w:rPr>
        <w:t>-N</w:t>
      </w:r>
      <w:r w:rsidRPr="00052CAB">
        <w:rPr>
          <w:rFonts w:eastAsia="宋体" w:cs="Times New Roman"/>
          <w:color w:val="000000" w:themeColor="text1"/>
          <w:kern w:val="0"/>
          <w:sz w:val="20"/>
          <w:szCs w:val="20"/>
        </w:rPr>
        <w:t xml:space="preserve"> removal efficiency</w:t>
      </w:r>
    </w:p>
    <w:tbl>
      <w:tblPr>
        <w:tblStyle w:val="12"/>
        <w:tblpPr w:leftFromText="180" w:rightFromText="180" w:vertAnchor="text" w:horzAnchor="margin" w:tblpY="229"/>
        <w:tblW w:w="5181" w:type="pct"/>
        <w:tblLook w:val="04A0" w:firstRow="1" w:lastRow="0" w:firstColumn="1" w:lastColumn="0" w:noHBand="0" w:noVBand="1"/>
      </w:tblPr>
      <w:tblGrid>
        <w:gridCol w:w="1255"/>
        <w:gridCol w:w="2050"/>
        <w:gridCol w:w="3530"/>
        <w:gridCol w:w="1778"/>
      </w:tblGrid>
      <w:tr w:rsidR="002B11FE" w:rsidRPr="00052CAB" w14:paraId="2B316849" w14:textId="77777777" w:rsidTr="00663A81">
        <w:trPr>
          <w:cnfStyle w:val="100000000000" w:firstRow="1" w:lastRow="0" w:firstColumn="0" w:lastColumn="0" w:oddVBand="0" w:evenVBand="0" w:oddHBand="0" w:evenHBand="0" w:firstRowFirstColumn="0" w:firstRowLastColumn="0" w:lastRowFirstColumn="0" w:lastRowLastColumn="0"/>
          <w:cantSplit/>
          <w:trHeight w:val="353"/>
        </w:trPr>
        <w:tc>
          <w:tcPr>
            <w:tcW w:w="728" w:type="pct"/>
            <w:tcBorders>
              <w:top w:val="single" w:sz="12" w:space="0" w:color="auto"/>
              <w:left w:val="nil"/>
              <w:bottom w:val="single" w:sz="4" w:space="0" w:color="auto"/>
              <w:right w:val="nil"/>
            </w:tcBorders>
            <w:vAlign w:val="center"/>
            <w:hideMark/>
          </w:tcPr>
          <w:p w14:paraId="3C7D6515"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Modifier</w:t>
            </w:r>
          </w:p>
        </w:tc>
        <w:tc>
          <w:tcPr>
            <w:tcW w:w="1190" w:type="pct"/>
            <w:tcBorders>
              <w:top w:val="single" w:sz="12" w:space="0" w:color="auto"/>
              <w:left w:val="nil"/>
              <w:bottom w:val="single" w:sz="4" w:space="0" w:color="auto"/>
              <w:right w:val="nil"/>
            </w:tcBorders>
            <w:vAlign w:val="center"/>
            <w:hideMark/>
          </w:tcPr>
          <w:p w14:paraId="319BB44A"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Dosage of adsorbent (g)</w:t>
            </w:r>
          </w:p>
        </w:tc>
        <w:tc>
          <w:tcPr>
            <w:tcW w:w="2049" w:type="pct"/>
            <w:tcBorders>
              <w:top w:val="single" w:sz="12" w:space="0" w:color="auto"/>
              <w:left w:val="nil"/>
              <w:bottom w:val="single" w:sz="4" w:space="0" w:color="auto"/>
              <w:right w:val="nil"/>
            </w:tcBorders>
            <w:vAlign w:val="center"/>
            <w:hideMark/>
          </w:tcPr>
          <w:p w14:paraId="3D6056AC"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The mass fraction of the modifier (%)</w:t>
            </w:r>
          </w:p>
        </w:tc>
        <w:tc>
          <w:tcPr>
            <w:tcW w:w="1032" w:type="pct"/>
            <w:tcBorders>
              <w:top w:val="single" w:sz="12" w:space="0" w:color="auto"/>
              <w:left w:val="nil"/>
              <w:bottom w:val="single" w:sz="4" w:space="0" w:color="auto"/>
              <w:right w:val="nil"/>
            </w:tcBorders>
            <w:vAlign w:val="center"/>
            <w:hideMark/>
          </w:tcPr>
          <w:p w14:paraId="33E9CB8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The removal efficiency (%)</w:t>
            </w:r>
          </w:p>
        </w:tc>
      </w:tr>
      <w:tr w:rsidR="002B11FE" w:rsidRPr="00052CAB" w14:paraId="1FA6A76B" w14:textId="77777777" w:rsidTr="00663A81">
        <w:trPr>
          <w:cantSplit/>
          <w:trHeight w:val="910"/>
        </w:trPr>
        <w:tc>
          <w:tcPr>
            <w:tcW w:w="728" w:type="pct"/>
            <w:tcBorders>
              <w:top w:val="single" w:sz="4" w:space="0" w:color="auto"/>
              <w:left w:val="nil"/>
              <w:bottom w:val="single" w:sz="12" w:space="0" w:color="auto"/>
              <w:right w:val="nil"/>
            </w:tcBorders>
            <w:vAlign w:val="center"/>
            <w:hideMark/>
          </w:tcPr>
          <w:p w14:paraId="217A907D" w14:textId="77777777" w:rsidR="002B11FE" w:rsidRPr="00052CAB" w:rsidRDefault="002B11FE" w:rsidP="00663A81">
            <w:pPr>
              <w:tabs>
                <w:tab w:val="left" w:pos="2895"/>
              </w:tabs>
              <w:ind w:firstLineChars="0" w:firstLine="0"/>
              <w:rPr>
                <w:color w:val="000000" w:themeColor="text1"/>
                <w:sz w:val="20"/>
              </w:rPr>
            </w:pPr>
            <w:r w:rsidRPr="00052CAB">
              <w:rPr>
                <w:color w:val="000000" w:themeColor="text1"/>
                <w:sz w:val="20"/>
              </w:rPr>
              <w:t>La</w:t>
            </w:r>
            <w:r w:rsidRPr="00052CAB">
              <w:rPr>
                <w:color w:val="000000" w:themeColor="text1"/>
                <w:sz w:val="20"/>
                <w:vertAlign w:val="subscript"/>
              </w:rPr>
              <w:t>2</w:t>
            </w:r>
            <w:r w:rsidRPr="00052CAB">
              <w:rPr>
                <w:color w:val="000000" w:themeColor="text1"/>
                <w:sz w:val="20"/>
              </w:rPr>
              <w:t>O</w:t>
            </w:r>
            <w:r w:rsidRPr="00052CAB">
              <w:rPr>
                <w:color w:val="000000" w:themeColor="text1"/>
                <w:sz w:val="20"/>
                <w:vertAlign w:val="subscript"/>
              </w:rPr>
              <w:t>3</w:t>
            </w:r>
          </w:p>
          <w:p w14:paraId="7605C853" w14:textId="77777777" w:rsidR="002B11FE" w:rsidRPr="00052CAB" w:rsidRDefault="002B11FE" w:rsidP="00663A81">
            <w:pPr>
              <w:tabs>
                <w:tab w:val="left" w:pos="2895"/>
              </w:tabs>
              <w:ind w:firstLineChars="0" w:firstLine="0"/>
              <w:rPr>
                <w:color w:val="000000" w:themeColor="text1"/>
                <w:sz w:val="20"/>
              </w:rPr>
            </w:pPr>
            <w:r w:rsidRPr="00052CAB">
              <w:rPr>
                <w:color w:val="000000" w:themeColor="text1"/>
                <w:sz w:val="20"/>
              </w:rPr>
              <w:t>NaCl</w:t>
            </w:r>
          </w:p>
          <w:p w14:paraId="56E30BD7" w14:textId="77777777" w:rsidR="002B11FE" w:rsidRPr="00052CAB" w:rsidRDefault="002B11FE" w:rsidP="00663A81">
            <w:pPr>
              <w:tabs>
                <w:tab w:val="left" w:pos="2895"/>
              </w:tabs>
              <w:ind w:firstLineChars="0" w:firstLine="0"/>
              <w:rPr>
                <w:color w:val="000000" w:themeColor="text1"/>
                <w:sz w:val="20"/>
              </w:rPr>
            </w:pPr>
            <w:r w:rsidRPr="00052CAB">
              <w:rPr>
                <w:color w:val="000000" w:themeColor="text1"/>
                <w:sz w:val="20"/>
              </w:rPr>
              <w:t>LaCl</w:t>
            </w:r>
            <w:r w:rsidRPr="00052CAB">
              <w:rPr>
                <w:color w:val="000000" w:themeColor="text1"/>
                <w:sz w:val="20"/>
                <w:vertAlign w:val="subscript"/>
              </w:rPr>
              <w:t>3</w:t>
            </w:r>
          </w:p>
        </w:tc>
        <w:tc>
          <w:tcPr>
            <w:tcW w:w="1190" w:type="pct"/>
            <w:tcBorders>
              <w:top w:val="single" w:sz="4" w:space="0" w:color="auto"/>
              <w:left w:val="nil"/>
              <w:bottom w:val="single" w:sz="12" w:space="0" w:color="auto"/>
              <w:right w:val="nil"/>
            </w:tcBorders>
            <w:vAlign w:val="center"/>
            <w:hideMark/>
          </w:tcPr>
          <w:p w14:paraId="5F4A225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p w14:paraId="3A13C795"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p w14:paraId="23DC7B8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0.80</w:t>
            </w:r>
          </w:p>
        </w:tc>
        <w:tc>
          <w:tcPr>
            <w:tcW w:w="2049" w:type="pct"/>
            <w:tcBorders>
              <w:top w:val="single" w:sz="4" w:space="0" w:color="auto"/>
              <w:left w:val="nil"/>
              <w:bottom w:val="single" w:sz="12" w:space="0" w:color="auto"/>
              <w:right w:val="nil"/>
            </w:tcBorders>
            <w:vAlign w:val="center"/>
            <w:hideMark/>
          </w:tcPr>
          <w:p w14:paraId="5C7B4F5E"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5.00</w:t>
            </w:r>
          </w:p>
          <w:p w14:paraId="01A0AFE1"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5.00</w:t>
            </w:r>
          </w:p>
          <w:p w14:paraId="0C87FF57"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5.00</w:t>
            </w:r>
          </w:p>
        </w:tc>
        <w:tc>
          <w:tcPr>
            <w:tcW w:w="1032" w:type="pct"/>
            <w:tcBorders>
              <w:top w:val="single" w:sz="4" w:space="0" w:color="auto"/>
              <w:left w:val="nil"/>
              <w:bottom w:val="single" w:sz="12" w:space="0" w:color="auto"/>
              <w:right w:val="nil"/>
            </w:tcBorders>
            <w:vAlign w:val="center"/>
            <w:hideMark/>
          </w:tcPr>
          <w:p w14:paraId="585B73B6"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69.76</w:t>
            </w:r>
          </w:p>
          <w:p w14:paraId="477300EB"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73.64</w:t>
            </w:r>
          </w:p>
          <w:p w14:paraId="21F719D4" w14:textId="77777777" w:rsidR="002B11FE" w:rsidRPr="00052CAB" w:rsidRDefault="002B11FE" w:rsidP="00663A81">
            <w:pPr>
              <w:tabs>
                <w:tab w:val="left" w:pos="2895"/>
              </w:tabs>
              <w:ind w:firstLineChars="0" w:firstLine="0"/>
              <w:jc w:val="center"/>
              <w:rPr>
                <w:color w:val="000000" w:themeColor="text1"/>
                <w:sz w:val="20"/>
              </w:rPr>
            </w:pPr>
            <w:r w:rsidRPr="00052CAB">
              <w:rPr>
                <w:color w:val="000000" w:themeColor="text1"/>
                <w:sz w:val="20"/>
              </w:rPr>
              <w:t>2.69</w:t>
            </w:r>
          </w:p>
        </w:tc>
      </w:tr>
    </w:tbl>
    <w:p w14:paraId="491A061A" w14:textId="7F7EDDF9" w:rsidR="002B11FE" w:rsidRPr="00052CAB" w:rsidRDefault="002B11FE" w:rsidP="008C242A">
      <w:pPr>
        <w:ind w:firstLineChars="0" w:firstLine="0"/>
        <w:jc w:val="left"/>
        <w:rPr>
          <w:rFonts w:eastAsiaTheme="minorEastAsia" w:cs="Times New Roman"/>
          <w:sz w:val="20"/>
          <w:szCs w:val="20"/>
        </w:rPr>
      </w:pPr>
    </w:p>
    <w:p w14:paraId="4116A2F3" w14:textId="1C762A1B" w:rsidR="002B11FE" w:rsidRPr="00052CAB" w:rsidRDefault="002B11FE" w:rsidP="008C242A">
      <w:pPr>
        <w:ind w:firstLineChars="0" w:firstLine="0"/>
        <w:jc w:val="left"/>
        <w:rPr>
          <w:rFonts w:eastAsiaTheme="minorEastAsia" w:cs="Times New Roman"/>
          <w:sz w:val="20"/>
          <w:szCs w:val="20"/>
        </w:rPr>
      </w:pPr>
    </w:p>
    <w:p w14:paraId="7C3A21E0" w14:textId="5D3286EF" w:rsidR="002B11FE" w:rsidRPr="00052CAB" w:rsidRDefault="002B11FE" w:rsidP="008C242A">
      <w:pPr>
        <w:ind w:firstLineChars="0" w:firstLine="0"/>
        <w:jc w:val="left"/>
        <w:rPr>
          <w:rFonts w:eastAsiaTheme="minorEastAsia" w:cs="Times New Roman"/>
          <w:sz w:val="20"/>
          <w:szCs w:val="20"/>
        </w:rPr>
      </w:pPr>
    </w:p>
    <w:p w14:paraId="766F62B3" w14:textId="2A2A721A" w:rsidR="002B11FE" w:rsidRPr="00052CAB" w:rsidRDefault="002B11FE" w:rsidP="008C242A">
      <w:pPr>
        <w:ind w:firstLineChars="0" w:firstLine="0"/>
        <w:jc w:val="left"/>
        <w:rPr>
          <w:rFonts w:eastAsiaTheme="minorEastAsia" w:cs="Times New Roman"/>
          <w:sz w:val="20"/>
          <w:szCs w:val="20"/>
        </w:rPr>
      </w:pPr>
    </w:p>
    <w:p w14:paraId="396819B3" w14:textId="69AEC217" w:rsidR="002B11FE" w:rsidRPr="00052CAB" w:rsidRDefault="002B11FE" w:rsidP="008C242A">
      <w:pPr>
        <w:ind w:firstLineChars="0" w:firstLine="0"/>
        <w:jc w:val="left"/>
        <w:rPr>
          <w:rFonts w:eastAsiaTheme="minorEastAsia" w:cs="Times New Roman"/>
          <w:sz w:val="20"/>
          <w:szCs w:val="20"/>
        </w:rPr>
      </w:pPr>
    </w:p>
    <w:p w14:paraId="7058D2EE" w14:textId="1AA0E7DA" w:rsidR="002B11FE" w:rsidRPr="00052CAB" w:rsidRDefault="002B11FE" w:rsidP="008C242A">
      <w:pPr>
        <w:ind w:firstLineChars="0" w:firstLine="0"/>
        <w:jc w:val="left"/>
        <w:rPr>
          <w:rFonts w:eastAsiaTheme="minorEastAsia" w:cs="Times New Roman"/>
          <w:sz w:val="20"/>
          <w:szCs w:val="20"/>
        </w:rPr>
      </w:pPr>
    </w:p>
    <w:p w14:paraId="29EB658C" w14:textId="77777777" w:rsidR="002B11FE" w:rsidRPr="00052CAB" w:rsidRDefault="002B11FE" w:rsidP="008C242A">
      <w:pPr>
        <w:ind w:firstLineChars="0" w:firstLine="0"/>
        <w:jc w:val="left"/>
        <w:rPr>
          <w:rFonts w:eastAsiaTheme="minorEastAsia" w:cs="Times New Roman"/>
          <w:sz w:val="20"/>
          <w:szCs w:val="20"/>
        </w:rPr>
      </w:pPr>
    </w:p>
    <w:p w14:paraId="059E7AC1" w14:textId="77777777" w:rsidR="002B11FE" w:rsidRPr="00052CAB" w:rsidRDefault="002B11FE" w:rsidP="002B11FE">
      <w:pPr>
        <w:ind w:firstLineChars="0" w:firstLine="0"/>
        <w:rPr>
          <w:rFonts w:cs="Times New Roman"/>
          <w:b/>
          <w:color w:val="000000" w:themeColor="text1"/>
          <w:sz w:val="20"/>
          <w:szCs w:val="20"/>
        </w:rPr>
      </w:pPr>
      <w:r w:rsidRPr="00052CAB">
        <w:rPr>
          <w:rFonts w:cs="Times New Roman"/>
          <w:b/>
          <w:color w:val="000000" w:themeColor="text1"/>
          <w:sz w:val="20"/>
          <w:szCs w:val="20"/>
        </w:rPr>
        <w:lastRenderedPageBreak/>
        <w:t>Table S3</w:t>
      </w:r>
    </w:p>
    <w:p w14:paraId="2BD7E11B" w14:textId="77777777" w:rsidR="002B11FE" w:rsidRPr="00052CAB" w:rsidRDefault="002B11FE" w:rsidP="002B11FE">
      <w:pPr>
        <w:ind w:firstLineChars="0" w:firstLine="0"/>
        <w:rPr>
          <w:rFonts w:cs="Times New Roman"/>
          <w:color w:val="000000" w:themeColor="text1"/>
          <w:sz w:val="20"/>
          <w:szCs w:val="20"/>
        </w:rPr>
      </w:pPr>
      <w:r w:rsidRPr="00052CAB">
        <w:rPr>
          <w:rFonts w:cs="Times New Roman"/>
          <w:color w:val="000000" w:themeColor="text1"/>
          <w:sz w:val="20"/>
          <w:szCs w:val="20"/>
        </w:rPr>
        <w:t>Effect of different desorption reagents on the desorption rate and removal efficiency</w:t>
      </w:r>
    </w:p>
    <w:tbl>
      <w:tblPr>
        <w:tblStyle w:val="a9"/>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2967"/>
        <w:gridCol w:w="3416"/>
      </w:tblGrid>
      <w:tr w:rsidR="002B11FE" w:rsidRPr="00052CAB" w14:paraId="41FB36CC" w14:textId="77777777" w:rsidTr="00663A81">
        <w:trPr>
          <w:cantSplit/>
          <w:trHeight w:val="317"/>
        </w:trPr>
        <w:tc>
          <w:tcPr>
            <w:tcW w:w="1160" w:type="pct"/>
            <w:tcBorders>
              <w:top w:val="single" w:sz="12" w:space="0" w:color="auto"/>
              <w:bottom w:val="single" w:sz="6" w:space="0" w:color="auto"/>
            </w:tcBorders>
            <w:vAlign w:val="center"/>
          </w:tcPr>
          <w:p w14:paraId="13E39BFB"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Regenerant</w:t>
            </w:r>
          </w:p>
        </w:tc>
        <w:tc>
          <w:tcPr>
            <w:tcW w:w="1785" w:type="pct"/>
            <w:tcBorders>
              <w:top w:val="single" w:sz="12" w:space="0" w:color="auto"/>
              <w:bottom w:val="single" w:sz="6" w:space="0" w:color="auto"/>
            </w:tcBorders>
            <w:vAlign w:val="center"/>
          </w:tcPr>
          <w:p w14:paraId="1DE3B77D"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The desorption rate (%)</w:t>
            </w:r>
          </w:p>
        </w:tc>
        <w:tc>
          <w:tcPr>
            <w:tcW w:w="2055" w:type="pct"/>
            <w:tcBorders>
              <w:top w:val="single" w:sz="12" w:space="0" w:color="auto"/>
              <w:bottom w:val="single" w:sz="6" w:space="0" w:color="auto"/>
            </w:tcBorders>
            <w:vAlign w:val="center"/>
          </w:tcPr>
          <w:p w14:paraId="4402FEF1"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The removal efficiency (%)</w:t>
            </w:r>
          </w:p>
        </w:tc>
      </w:tr>
      <w:tr w:rsidR="002B11FE" w:rsidRPr="00052CAB" w14:paraId="0B5AA0DF" w14:textId="77777777" w:rsidTr="00663A81">
        <w:trPr>
          <w:cantSplit/>
        </w:trPr>
        <w:tc>
          <w:tcPr>
            <w:tcW w:w="1160" w:type="pct"/>
            <w:tcBorders>
              <w:top w:val="single" w:sz="6" w:space="0" w:color="auto"/>
            </w:tcBorders>
            <w:vAlign w:val="center"/>
          </w:tcPr>
          <w:p w14:paraId="5D720261"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NaCl</w:t>
            </w:r>
          </w:p>
        </w:tc>
        <w:tc>
          <w:tcPr>
            <w:tcW w:w="1785" w:type="pct"/>
            <w:tcBorders>
              <w:top w:val="single" w:sz="6" w:space="0" w:color="auto"/>
            </w:tcBorders>
            <w:vAlign w:val="center"/>
          </w:tcPr>
          <w:p w14:paraId="79D22E02"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96.19</w:t>
            </w:r>
          </w:p>
        </w:tc>
        <w:tc>
          <w:tcPr>
            <w:tcW w:w="2055" w:type="pct"/>
            <w:tcBorders>
              <w:top w:val="single" w:sz="6" w:space="0" w:color="auto"/>
            </w:tcBorders>
            <w:vAlign w:val="center"/>
          </w:tcPr>
          <w:p w14:paraId="0F3BFCB7"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81.42</w:t>
            </w:r>
          </w:p>
        </w:tc>
      </w:tr>
      <w:tr w:rsidR="002B11FE" w:rsidRPr="00052CAB" w14:paraId="7CADC21A" w14:textId="77777777" w:rsidTr="00663A81">
        <w:trPr>
          <w:cantSplit/>
        </w:trPr>
        <w:tc>
          <w:tcPr>
            <w:tcW w:w="1160" w:type="pct"/>
            <w:vAlign w:val="center"/>
          </w:tcPr>
          <w:p w14:paraId="2EDA3AD1"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Na</w:t>
            </w:r>
            <w:r w:rsidRPr="00052CAB">
              <w:rPr>
                <w:rFonts w:cs="Times New Roman"/>
                <w:color w:val="000000" w:themeColor="text1"/>
                <w:kern w:val="0"/>
                <w:sz w:val="20"/>
                <w:szCs w:val="20"/>
                <w:vertAlign w:val="subscript"/>
                <w:lang w:bidi="ar"/>
              </w:rPr>
              <w:t>2</w:t>
            </w:r>
            <w:r w:rsidRPr="00052CAB">
              <w:rPr>
                <w:rFonts w:cs="Times New Roman"/>
                <w:color w:val="000000" w:themeColor="text1"/>
                <w:kern w:val="0"/>
                <w:sz w:val="20"/>
                <w:szCs w:val="20"/>
                <w:lang w:bidi="ar"/>
              </w:rPr>
              <w:t>CO</w:t>
            </w:r>
            <w:r w:rsidRPr="00052CAB">
              <w:rPr>
                <w:rFonts w:cs="Times New Roman"/>
                <w:color w:val="000000" w:themeColor="text1"/>
                <w:kern w:val="0"/>
                <w:sz w:val="20"/>
                <w:szCs w:val="20"/>
                <w:vertAlign w:val="subscript"/>
                <w:lang w:bidi="ar"/>
              </w:rPr>
              <w:t>3</w:t>
            </w:r>
          </w:p>
        </w:tc>
        <w:tc>
          <w:tcPr>
            <w:tcW w:w="1785" w:type="pct"/>
            <w:vAlign w:val="center"/>
          </w:tcPr>
          <w:p w14:paraId="050F396C"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87.04</w:t>
            </w:r>
          </w:p>
        </w:tc>
        <w:tc>
          <w:tcPr>
            <w:tcW w:w="2055" w:type="pct"/>
            <w:vAlign w:val="center"/>
          </w:tcPr>
          <w:p w14:paraId="341AA160"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70.73</w:t>
            </w:r>
          </w:p>
        </w:tc>
      </w:tr>
      <w:tr w:rsidR="002B11FE" w:rsidRPr="00052CAB" w14:paraId="4D2C9B35" w14:textId="77777777" w:rsidTr="00663A81">
        <w:trPr>
          <w:cantSplit/>
        </w:trPr>
        <w:tc>
          <w:tcPr>
            <w:tcW w:w="1160" w:type="pct"/>
            <w:vAlign w:val="center"/>
          </w:tcPr>
          <w:p w14:paraId="30FC64AB"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NaOH</w:t>
            </w:r>
          </w:p>
        </w:tc>
        <w:tc>
          <w:tcPr>
            <w:tcW w:w="1785" w:type="pct"/>
            <w:vAlign w:val="center"/>
          </w:tcPr>
          <w:p w14:paraId="5DAECC76"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80.18</w:t>
            </w:r>
          </w:p>
        </w:tc>
        <w:tc>
          <w:tcPr>
            <w:tcW w:w="2055" w:type="pct"/>
            <w:vAlign w:val="center"/>
          </w:tcPr>
          <w:p w14:paraId="15E6AAA1"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57.12</w:t>
            </w:r>
          </w:p>
        </w:tc>
      </w:tr>
      <w:tr w:rsidR="002B11FE" w:rsidRPr="00052CAB" w14:paraId="446C022E" w14:textId="77777777" w:rsidTr="00663A81">
        <w:trPr>
          <w:cantSplit/>
        </w:trPr>
        <w:tc>
          <w:tcPr>
            <w:tcW w:w="1160" w:type="pct"/>
            <w:vAlign w:val="center"/>
          </w:tcPr>
          <w:p w14:paraId="434B2D5A"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kern w:val="0"/>
                <w:sz w:val="20"/>
                <w:szCs w:val="20"/>
                <w:lang w:bidi="ar"/>
              </w:rPr>
              <w:t>HCl</w:t>
            </w:r>
          </w:p>
        </w:tc>
        <w:tc>
          <w:tcPr>
            <w:tcW w:w="1785" w:type="pct"/>
            <w:vAlign w:val="center"/>
          </w:tcPr>
          <w:p w14:paraId="36179B28"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77.89</w:t>
            </w:r>
          </w:p>
        </w:tc>
        <w:tc>
          <w:tcPr>
            <w:tcW w:w="2055" w:type="pct"/>
            <w:vAlign w:val="center"/>
          </w:tcPr>
          <w:p w14:paraId="42A80F9E"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27.96</w:t>
            </w:r>
          </w:p>
        </w:tc>
      </w:tr>
      <w:tr w:rsidR="002B11FE" w:rsidRPr="00052CAB" w14:paraId="4AE6327C" w14:textId="77777777" w:rsidTr="00663A81">
        <w:trPr>
          <w:cantSplit/>
          <w:trHeight w:val="63"/>
        </w:trPr>
        <w:tc>
          <w:tcPr>
            <w:tcW w:w="1160" w:type="pct"/>
            <w:vAlign w:val="center"/>
          </w:tcPr>
          <w:p w14:paraId="7E9C7A1F" w14:textId="77777777" w:rsidR="002B11FE" w:rsidRPr="00052CAB" w:rsidRDefault="002B11FE" w:rsidP="00663A81">
            <w:pPr>
              <w:ind w:firstLineChars="0" w:firstLine="0"/>
              <w:jc w:val="center"/>
              <w:rPr>
                <w:rFonts w:cs="Times New Roman"/>
                <w:color w:val="000000" w:themeColor="text1"/>
                <w:kern w:val="0"/>
                <w:sz w:val="20"/>
                <w:szCs w:val="20"/>
                <w:lang w:bidi="ar"/>
              </w:rPr>
            </w:pPr>
            <w:r w:rsidRPr="00052CAB">
              <w:rPr>
                <w:rFonts w:cs="Times New Roman"/>
                <w:color w:val="000000" w:themeColor="text1"/>
                <w:kern w:val="0"/>
                <w:sz w:val="20"/>
                <w:szCs w:val="20"/>
                <w:lang w:bidi="ar"/>
              </w:rPr>
              <w:t>Distilled water</w:t>
            </w:r>
          </w:p>
        </w:tc>
        <w:tc>
          <w:tcPr>
            <w:tcW w:w="1785" w:type="pct"/>
            <w:vAlign w:val="center"/>
          </w:tcPr>
          <w:p w14:paraId="5405E82E"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11.57</w:t>
            </w:r>
          </w:p>
        </w:tc>
        <w:tc>
          <w:tcPr>
            <w:tcW w:w="2055" w:type="pct"/>
            <w:vAlign w:val="center"/>
          </w:tcPr>
          <w:p w14:paraId="01A8FC5D" w14:textId="77777777" w:rsidR="002B11FE" w:rsidRPr="00052CAB" w:rsidRDefault="002B11FE" w:rsidP="00663A81">
            <w:pPr>
              <w:ind w:firstLineChars="0" w:firstLine="0"/>
              <w:jc w:val="center"/>
              <w:rPr>
                <w:rFonts w:cs="Times New Roman"/>
                <w:color w:val="000000" w:themeColor="text1"/>
                <w:sz w:val="20"/>
                <w:szCs w:val="20"/>
              </w:rPr>
            </w:pPr>
            <w:r w:rsidRPr="00052CAB">
              <w:rPr>
                <w:rFonts w:cs="Times New Roman"/>
                <w:color w:val="000000" w:themeColor="text1"/>
                <w:sz w:val="20"/>
                <w:szCs w:val="20"/>
              </w:rPr>
              <w:t>4.63</w:t>
            </w:r>
          </w:p>
        </w:tc>
      </w:tr>
    </w:tbl>
    <w:p w14:paraId="6DE1AC5E" w14:textId="1652BF7D" w:rsidR="002B11FE" w:rsidRPr="00052CAB" w:rsidRDefault="002B11FE" w:rsidP="008C242A">
      <w:pPr>
        <w:ind w:firstLineChars="0" w:firstLine="0"/>
        <w:jc w:val="left"/>
        <w:rPr>
          <w:rFonts w:eastAsiaTheme="minorEastAsia" w:cs="Times New Roman"/>
          <w:color w:val="000000" w:themeColor="text1"/>
          <w:sz w:val="20"/>
          <w:szCs w:val="20"/>
        </w:rPr>
      </w:pPr>
      <w:r w:rsidRPr="00052CAB">
        <w:rPr>
          <w:rFonts w:cs="Times New Roman"/>
          <w:color w:val="000000" w:themeColor="text1"/>
          <w:sz w:val="20"/>
          <w:szCs w:val="20"/>
        </w:rPr>
        <w:t xml:space="preserve">The mass fraction of all </w:t>
      </w:r>
      <w:r w:rsidRPr="00052CAB">
        <w:rPr>
          <w:rFonts w:cs="Times New Roman"/>
          <w:color w:val="000000" w:themeColor="text1"/>
          <w:kern w:val="0"/>
          <w:sz w:val="20"/>
          <w:szCs w:val="20"/>
          <w:lang w:bidi="ar"/>
        </w:rPr>
        <w:t>regenerants</w:t>
      </w:r>
      <w:r w:rsidRPr="00052CAB">
        <w:rPr>
          <w:rFonts w:cs="Times New Roman"/>
          <w:color w:val="000000" w:themeColor="text1"/>
          <w:sz w:val="20"/>
          <w:szCs w:val="20"/>
        </w:rPr>
        <w:t xml:space="preserve"> were 5.00%.</w:t>
      </w:r>
    </w:p>
    <w:sectPr w:rsidR="002B11FE" w:rsidRPr="00052CAB" w:rsidSect="00EB5864">
      <w:headerReference w:type="even" r:id="rId19"/>
      <w:headerReference w:type="default" r:id="rId20"/>
      <w:footerReference w:type="even" r:id="rId21"/>
      <w:footerReference w:type="default" r:id="rId22"/>
      <w:headerReference w:type="first" r:id="rId23"/>
      <w:footerReference w:type="first" r:id="rId24"/>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9C806" w14:textId="77777777" w:rsidR="00184320" w:rsidRDefault="00184320" w:rsidP="00D40720">
      <w:pPr>
        <w:spacing w:line="240" w:lineRule="auto"/>
        <w:ind w:firstLine="480"/>
      </w:pPr>
      <w:r>
        <w:separator/>
      </w:r>
    </w:p>
  </w:endnote>
  <w:endnote w:type="continuationSeparator" w:id="0">
    <w:p w14:paraId="5D22E66B" w14:textId="77777777" w:rsidR="00184320" w:rsidRDefault="00184320" w:rsidP="00D4072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PMincho">
    <w:altName w:val="MS PMincho"/>
    <w:charset w:val="80"/>
    <w:family w:val="roman"/>
    <w:pitch w:val="variable"/>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EF76C" w14:textId="77777777" w:rsidR="00D40720" w:rsidRDefault="00D40720">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8002608"/>
      <w:docPartObj>
        <w:docPartGallery w:val="Page Numbers (Bottom of Page)"/>
        <w:docPartUnique/>
      </w:docPartObj>
    </w:sdtPr>
    <w:sdtEndPr/>
    <w:sdtContent>
      <w:p w14:paraId="51C008FE" w14:textId="774587DD" w:rsidR="00D40720" w:rsidRDefault="00D40720">
        <w:pPr>
          <w:pStyle w:val="a7"/>
          <w:ind w:firstLine="360"/>
          <w:jc w:val="center"/>
        </w:pPr>
        <w:r>
          <w:fldChar w:fldCharType="begin"/>
        </w:r>
        <w:r>
          <w:instrText>PAGE   \* MERGEFORMAT</w:instrText>
        </w:r>
        <w:r>
          <w:fldChar w:fldCharType="separate"/>
        </w:r>
        <w:r>
          <w:rPr>
            <w:lang w:val="zh-CN"/>
          </w:rPr>
          <w:t>2</w:t>
        </w:r>
        <w:r>
          <w:fldChar w:fldCharType="end"/>
        </w:r>
      </w:p>
    </w:sdtContent>
  </w:sdt>
  <w:p w14:paraId="6C79BA22" w14:textId="77777777" w:rsidR="00D40720" w:rsidRDefault="00D40720">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CCEB9" w14:textId="77777777" w:rsidR="00D40720" w:rsidRDefault="00D40720">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7F09E" w14:textId="77777777" w:rsidR="00184320" w:rsidRDefault="00184320" w:rsidP="00D40720">
      <w:pPr>
        <w:spacing w:line="240" w:lineRule="auto"/>
        <w:ind w:firstLine="480"/>
      </w:pPr>
      <w:r>
        <w:separator/>
      </w:r>
    </w:p>
  </w:footnote>
  <w:footnote w:type="continuationSeparator" w:id="0">
    <w:p w14:paraId="693E6289" w14:textId="77777777" w:rsidR="00184320" w:rsidRDefault="00184320" w:rsidP="00D40720">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E6F51" w14:textId="77777777" w:rsidR="00D40720" w:rsidRDefault="00D40720">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D4A4D" w14:textId="77777777" w:rsidR="00D40720" w:rsidRDefault="00D40720" w:rsidP="00EB5864">
    <w:pPr>
      <w:pStyle w:val="a5"/>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9187C" w14:textId="77777777" w:rsidR="00D40720" w:rsidRDefault="00D40720">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C00"/>
    <w:rsid w:val="00052CAB"/>
    <w:rsid w:val="00184320"/>
    <w:rsid w:val="001A5AAF"/>
    <w:rsid w:val="001A76EB"/>
    <w:rsid w:val="00244611"/>
    <w:rsid w:val="002B11FE"/>
    <w:rsid w:val="002D71D1"/>
    <w:rsid w:val="00304A62"/>
    <w:rsid w:val="00306C00"/>
    <w:rsid w:val="00332677"/>
    <w:rsid w:val="003340F7"/>
    <w:rsid w:val="00351F23"/>
    <w:rsid w:val="00356974"/>
    <w:rsid w:val="00380AD0"/>
    <w:rsid w:val="00424D3A"/>
    <w:rsid w:val="00505549"/>
    <w:rsid w:val="005063A0"/>
    <w:rsid w:val="00511B91"/>
    <w:rsid w:val="00576628"/>
    <w:rsid w:val="005A062C"/>
    <w:rsid w:val="00644D46"/>
    <w:rsid w:val="006A3B5A"/>
    <w:rsid w:val="007C2A2A"/>
    <w:rsid w:val="0083729E"/>
    <w:rsid w:val="00865804"/>
    <w:rsid w:val="00885423"/>
    <w:rsid w:val="008A7A22"/>
    <w:rsid w:val="008C242A"/>
    <w:rsid w:val="008E2322"/>
    <w:rsid w:val="00973869"/>
    <w:rsid w:val="009A58D7"/>
    <w:rsid w:val="00A11D5A"/>
    <w:rsid w:val="00A6055A"/>
    <w:rsid w:val="00A83F78"/>
    <w:rsid w:val="00B24319"/>
    <w:rsid w:val="00CF2A91"/>
    <w:rsid w:val="00D1170F"/>
    <w:rsid w:val="00D40720"/>
    <w:rsid w:val="00D44C3E"/>
    <w:rsid w:val="00D82E16"/>
    <w:rsid w:val="00D948A8"/>
    <w:rsid w:val="00DD2B1D"/>
    <w:rsid w:val="00DE409E"/>
    <w:rsid w:val="00EB5864"/>
    <w:rsid w:val="00FC0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305B1B"/>
  <w15:chartTrackingRefBased/>
  <w15:docId w15:val="{CE085543-F70E-432A-ACBF-4BB485CF8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4A62"/>
    <w:pPr>
      <w:widowControl w:val="0"/>
      <w:spacing w:line="480" w:lineRule="auto"/>
      <w:ind w:firstLineChars="200" w:firstLine="200"/>
      <w:jc w:val="both"/>
    </w:pPr>
    <w:rPr>
      <w:rFonts w:ascii="Times New Roman" w:eastAsia="Times New Roman" w:hAnsi="Times New Roman"/>
      <w:sz w:val="24"/>
    </w:rPr>
  </w:style>
  <w:style w:type="paragraph" w:styleId="3">
    <w:name w:val="heading 3"/>
    <w:basedOn w:val="a"/>
    <w:link w:val="30"/>
    <w:uiPriority w:val="9"/>
    <w:qFormat/>
    <w:rsid w:val="00D82E16"/>
    <w:pPr>
      <w:widowControl/>
      <w:spacing w:before="100" w:beforeAutospacing="1" w:after="100" w:afterAutospacing="1" w:line="240" w:lineRule="auto"/>
      <w:ind w:firstLineChars="0" w:firstLine="0"/>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ainText">
    <w:name w:val="Main Text"/>
    <w:basedOn w:val="a"/>
    <w:rsid w:val="00D82E16"/>
    <w:pPr>
      <w:widowControl/>
      <w:ind w:firstLineChars="0" w:firstLine="0"/>
    </w:pPr>
    <w:rPr>
      <w:rFonts w:ascii="Arial" w:eastAsiaTheme="minorHAnsi" w:hAnsi="Arial" w:cs="Arial"/>
      <w:kern w:val="0"/>
      <w:szCs w:val="24"/>
      <w:lang w:val="en-GB" w:eastAsia="en-US"/>
    </w:rPr>
  </w:style>
  <w:style w:type="character" w:customStyle="1" w:styleId="30">
    <w:name w:val="标题 3 字符"/>
    <w:basedOn w:val="a0"/>
    <w:link w:val="3"/>
    <w:uiPriority w:val="9"/>
    <w:rsid w:val="00D82E16"/>
    <w:rPr>
      <w:rFonts w:ascii="宋体" w:eastAsia="宋体" w:hAnsi="宋体" w:cs="宋体"/>
      <w:b/>
      <w:bCs/>
      <w:kern w:val="0"/>
      <w:sz w:val="27"/>
      <w:szCs w:val="27"/>
    </w:rPr>
  </w:style>
  <w:style w:type="character" w:styleId="a3">
    <w:name w:val="Hyperlink"/>
    <w:basedOn w:val="a0"/>
    <w:uiPriority w:val="99"/>
    <w:unhideWhenUsed/>
    <w:rsid w:val="00D82E16"/>
    <w:rPr>
      <w:color w:val="0563C1" w:themeColor="hyperlink"/>
      <w:u w:val="single"/>
    </w:rPr>
  </w:style>
  <w:style w:type="character" w:styleId="a4">
    <w:name w:val="Unresolved Mention"/>
    <w:basedOn w:val="a0"/>
    <w:uiPriority w:val="99"/>
    <w:semiHidden/>
    <w:unhideWhenUsed/>
    <w:rsid w:val="00D82E16"/>
    <w:rPr>
      <w:color w:val="605E5C"/>
      <w:shd w:val="clear" w:color="auto" w:fill="E1DFDD"/>
    </w:rPr>
  </w:style>
  <w:style w:type="paragraph" w:styleId="a5">
    <w:name w:val="header"/>
    <w:basedOn w:val="a"/>
    <w:link w:val="a6"/>
    <w:uiPriority w:val="99"/>
    <w:unhideWhenUsed/>
    <w:rsid w:val="00D40720"/>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D40720"/>
    <w:rPr>
      <w:rFonts w:ascii="Times New Roman" w:eastAsia="Times New Roman" w:hAnsi="Times New Roman"/>
      <w:sz w:val="18"/>
      <w:szCs w:val="18"/>
    </w:rPr>
  </w:style>
  <w:style w:type="paragraph" w:styleId="a7">
    <w:name w:val="footer"/>
    <w:basedOn w:val="a"/>
    <w:link w:val="a8"/>
    <w:uiPriority w:val="99"/>
    <w:unhideWhenUsed/>
    <w:rsid w:val="00D40720"/>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D40720"/>
    <w:rPr>
      <w:rFonts w:ascii="Times New Roman" w:eastAsia="Times New Roman" w:hAnsi="Times New Roman"/>
      <w:sz w:val="18"/>
      <w:szCs w:val="18"/>
    </w:rPr>
  </w:style>
  <w:style w:type="table" w:customStyle="1" w:styleId="11">
    <w:name w:val="简明型 11"/>
    <w:basedOn w:val="a1"/>
    <w:semiHidden/>
    <w:qFormat/>
    <w:rsid w:val="002B11FE"/>
    <w:pPr>
      <w:widowControl w:val="0"/>
      <w:jc w:val="both"/>
    </w:pPr>
    <w:rPr>
      <w:rFonts w:ascii="Times New Roman" w:eastAsia="宋体" w:hAnsi="Times New Roman" w:cs="Times New Roman"/>
      <w:kern w:val="0"/>
      <w:sz w:val="20"/>
      <w:szCs w:val="20"/>
    </w:rPr>
    <w:tblPr>
      <w:tblBorders>
        <w:top w:val="single" w:sz="12" w:space="0" w:color="008000"/>
        <w:bottom w:val="single" w:sz="12" w:space="0" w:color="008000"/>
      </w:tblBorders>
    </w:tblPr>
    <w:tcPr>
      <w:shd w:val="clear" w:color="auto" w:fill="FFFFFF"/>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
    <w:name w:val="简明型 12"/>
    <w:basedOn w:val="a1"/>
    <w:semiHidden/>
    <w:qFormat/>
    <w:rsid w:val="002B11FE"/>
    <w:pPr>
      <w:widowControl w:val="0"/>
      <w:jc w:val="both"/>
    </w:pPr>
    <w:rPr>
      <w:rFonts w:ascii="Times New Roman" w:eastAsia="宋体" w:hAnsi="Times New Roman" w:cs="Times New Roman"/>
      <w:kern w:val="0"/>
      <w:sz w:val="20"/>
      <w:szCs w:val="20"/>
    </w:rPr>
    <w:tblPr>
      <w:tblBorders>
        <w:top w:val="single" w:sz="12" w:space="0" w:color="008000"/>
        <w:bottom w:val="single" w:sz="12" w:space="0" w:color="008000"/>
      </w:tblBorders>
    </w:tblPr>
    <w:tcPr>
      <w:shd w:val="clear" w:color="auto" w:fill="FFFFFF"/>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a9">
    <w:name w:val="Table Grid"/>
    <w:basedOn w:val="a1"/>
    <w:uiPriority w:val="39"/>
    <w:rsid w:val="002B11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440531">
      <w:bodyDiv w:val="1"/>
      <w:marLeft w:val="0"/>
      <w:marRight w:val="0"/>
      <w:marTop w:val="0"/>
      <w:marBottom w:val="0"/>
      <w:divBdr>
        <w:top w:val="none" w:sz="0" w:space="0" w:color="auto"/>
        <w:left w:val="none" w:sz="0" w:space="0" w:color="auto"/>
        <w:bottom w:val="none" w:sz="0" w:space="0" w:color="auto"/>
        <w:right w:val="none" w:sz="0" w:space="0" w:color="auto"/>
      </w:divBdr>
    </w:div>
    <w:div w:id="958679392">
      <w:bodyDiv w:val="1"/>
      <w:marLeft w:val="0"/>
      <w:marRight w:val="0"/>
      <w:marTop w:val="0"/>
      <w:marBottom w:val="0"/>
      <w:divBdr>
        <w:top w:val="none" w:sz="0" w:space="0" w:color="auto"/>
        <w:left w:val="none" w:sz="0" w:space="0" w:color="auto"/>
        <w:bottom w:val="none" w:sz="0" w:space="0" w:color="auto"/>
        <w:right w:val="none" w:sz="0" w:space="0" w:color="auto"/>
      </w:divBdr>
    </w:div>
    <w:div w:id="960918998">
      <w:bodyDiv w:val="1"/>
      <w:marLeft w:val="0"/>
      <w:marRight w:val="0"/>
      <w:marTop w:val="0"/>
      <w:marBottom w:val="0"/>
      <w:divBdr>
        <w:top w:val="none" w:sz="0" w:space="0" w:color="auto"/>
        <w:left w:val="none" w:sz="0" w:space="0" w:color="auto"/>
        <w:bottom w:val="none" w:sz="0" w:space="0" w:color="auto"/>
        <w:right w:val="none" w:sz="0" w:space="0" w:color="auto"/>
      </w:divBdr>
    </w:div>
    <w:div w:id="1011027422">
      <w:bodyDiv w:val="1"/>
      <w:marLeft w:val="0"/>
      <w:marRight w:val="0"/>
      <w:marTop w:val="0"/>
      <w:marBottom w:val="0"/>
      <w:divBdr>
        <w:top w:val="none" w:sz="0" w:space="0" w:color="auto"/>
        <w:left w:val="none" w:sz="0" w:space="0" w:color="auto"/>
        <w:bottom w:val="none" w:sz="0" w:space="0" w:color="auto"/>
        <w:right w:val="none" w:sz="0" w:space="0" w:color="auto"/>
      </w:divBdr>
    </w:div>
    <w:div w:id="1140221737">
      <w:bodyDiv w:val="1"/>
      <w:marLeft w:val="0"/>
      <w:marRight w:val="0"/>
      <w:marTop w:val="0"/>
      <w:marBottom w:val="0"/>
      <w:divBdr>
        <w:top w:val="none" w:sz="0" w:space="0" w:color="auto"/>
        <w:left w:val="none" w:sz="0" w:space="0" w:color="auto"/>
        <w:bottom w:val="none" w:sz="0" w:space="0" w:color="auto"/>
        <w:right w:val="none" w:sz="0" w:space="0" w:color="auto"/>
      </w:divBdr>
    </w:div>
    <w:div w:id="1350986133">
      <w:bodyDiv w:val="1"/>
      <w:marLeft w:val="0"/>
      <w:marRight w:val="0"/>
      <w:marTop w:val="0"/>
      <w:marBottom w:val="0"/>
      <w:divBdr>
        <w:top w:val="none" w:sz="0" w:space="0" w:color="auto"/>
        <w:left w:val="none" w:sz="0" w:space="0" w:color="auto"/>
        <w:bottom w:val="none" w:sz="0" w:space="0" w:color="auto"/>
        <w:right w:val="none" w:sz="0" w:space="0" w:color="auto"/>
      </w:divBdr>
    </w:div>
    <w:div w:id="1472822872">
      <w:bodyDiv w:val="1"/>
      <w:marLeft w:val="0"/>
      <w:marRight w:val="0"/>
      <w:marTop w:val="0"/>
      <w:marBottom w:val="0"/>
      <w:divBdr>
        <w:top w:val="none" w:sz="0" w:space="0" w:color="auto"/>
        <w:left w:val="none" w:sz="0" w:space="0" w:color="auto"/>
        <w:bottom w:val="none" w:sz="0" w:space="0" w:color="auto"/>
        <w:right w:val="none" w:sz="0" w:space="0" w:color="auto"/>
      </w:divBdr>
    </w:div>
    <w:div w:id="1897088974">
      <w:bodyDiv w:val="1"/>
      <w:marLeft w:val="0"/>
      <w:marRight w:val="0"/>
      <w:marTop w:val="0"/>
      <w:marBottom w:val="0"/>
      <w:divBdr>
        <w:top w:val="none" w:sz="0" w:space="0" w:color="auto"/>
        <w:left w:val="none" w:sz="0" w:space="0" w:color="auto"/>
        <w:bottom w:val="none" w:sz="0" w:space="0" w:color="auto"/>
        <w:right w:val="none" w:sz="0" w:space="0" w:color="auto"/>
      </w:divBdr>
    </w:div>
    <w:div w:id="2043019522">
      <w:bodyDiv w:val="1"/>
      <w:marLeft w:val="0"/>
      <w:marRight w:val="0"/>
      <w:marTop w:val="0"/>
      <w:marBottom w:val="0"/>
      <w:divBdr>
        <w:top w:val="none" w:sz="0" w:space="0" w:color="auto"/>
        <w:left w:val="none" w:sz="0" w:space="0" w:color="auto"/>
        <w:bottom w:val="none" w:sz="0" w:space="0" w:color="auto"/>
        <w:right w:val="none" w:sz="0" w:space="0" w:color="auto"/>
      </w:divBdr>
    </w:div>
    <w:div w:id="2086799751">
      <w:bodyDiv w:val="1"/>
      <w:marLeft w:val="0"/>
      <w:marRight w:val="0"/>
      <w:marTop w:val="0"/>
      <w:marBottom w:val="0"/>
      <w:divBdr>
        <w:top w:val="none" w:sz="0" w:space="0" w:color="auto"/>
        <w:left w:val="none" w:sz="0" w:space="0" w:color="auto"/>
        <w:bottom w:val="none" w:sz="0" w:space="0" w:color="auto"/>
        <w:right w:val="none" w:sz="0" w:space="0" w:color="auto"/>
      </w:divBdr>
    </w:div>
    <w:div w:id="2116554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header" Target="header3.xml"/><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7</Pages>
  <Words>1538</Words>
  <Characters>8773</Characters>
  <Application>Microsoft Office Word</Application>
  <DocSecurity>0</DocSecurity>
  <Lines>73</Lines>
  <Paragraphs>20</Paragraphs>
  <ScaleCrop>false</ScaleCrop>
  <Company/>
  <LinksUpToDate>false</LinksUpToDate>
  <CharactersWithSpaces>10291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谷丰</dc:creator>
  <cp:keywords/>
  <dc:description/>
  <cp:lastModifiedBy>李 谷丰</cp:lastModifiedBy>
  <cp:revision>33</cp:revision>
  <dcterms:created xsi:type="dcterms:W3CDTF">2022-03-19T07:06:00Z</dcterms:created>
  <dcterms:modified xsi:type="dcterms:W3CDTF">2022-04-01T08:10:00Z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zotero-version="6.0"&gt;&lt;session id="23G91TBD"/&gt;&lt;style id="http://www.zotero.org/styles/environmental-science-and-pollution-research" hasBibliography="1" bibliographyStyleHasBeenSet="0"/&gt;&lt;prefs&gt;&lt;pref name="fieldType" value="Field"/&gt;&lt;/p</vt:lpwstr>
  </property>
  <property fmtid="{D5CDD505-2E9C-101B-9397-08002B2CF9AE}" pid="3" name="ZOTERO_PREF_2">
    <vt:lpwstr>refs&gt;&lt;/data&gt;</vt:lpwstr>
  </property>
</Properties>
</file>