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059F"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shd w:val="clear" w:color="auto" w:fill="FFFFFF"/>
        </w:rPr>
        <w:t>Fig.S1</w:t>
      </w:r>
      <w:r>
        <w:rPr>
          <w:rFonts w:ascii="Times New Roman" w:eastAsia="SimSun" w:hAnsi="Times New Roman" w:cs="Times New Roman" w:hint="eastAsia"/>
          <w:szCs w:val="21"/>
          <w:shd w:val="clear" w:color="auto" w:fill="FFFFFF"/>
        </w:rPr>
        <w:t xml:space="preserve">. Characteristics of LRP2 mutation in various cancer types. </w:t>
      </w:r>
      <w:r>
        <w:rPr>
          <w:rFonts w:ascii="Times New Roman" w:eastAsia="SimSun" w:hAnsi="Times New Roman" w:cs="Times New Roman" w:hint="eastAsia"/>
          <w:szCs w:val="21"/>
        </w:rPr>
        <w:t xml:space="preserve">Comparison of TMB in various cancer types between LRP2 mutation and non-mutation (A). Comparison of MSI MANTIS score in pan-cancer analysis between LRP2 mutation and non-mutation (B). Comparison of </w:t>
      </w:r>
      <w:proofErr w:type="spellStart"/>
      <w:r>
        <w:rPr>
          <w:rFonts w:ascii="Times New Roman" w:eastAsia="SimSun" w:hAnsi="Times New Roman" w:cs="Times New Roman" w:hint="eastAsia"/>
          <w:szCs w:val="21"/>
        </w:rPr>
        <w:t>MSIsensor</w:t>
      </w:r>
      <w:proofErr w:type="spellEnd"/>
      <w:r>
        <w:rPr>
          <w:rFonts w:ascii="Times New Roman" w:eastAsia="SimSun" w:hAnsi="Times New Roman" w:cs="Times New Roman" w:hint="eastAsia"/>
          <w:szCs w:val="21"/>
        </w:rPr>
        <w:t xml:space="preserve"> score in </w:t>
      </w:r>
      <w:r>
        <w:rPr>
          <w:rFonts w:ascii="Times New Roman" w:eastAsia="SimSun" w:hAnsi="Times New Roman" w:cs="Times New Roman" w:hint="eastAsia"/>
          <w:szCs w:val="21"/>
          <w:shd w:val="clear" w:color="auto" w:fill="FFFFFF"/>
        </w:rPr>
        <w:t>various cancer types</w:t>
      </w:r>
      <w:r>
        <w:rPr>
          <w:rFonts w:ascii="Times New Roman" w:eastAsia="SimSun" w:hAnsi="Times New Roman" w:cs="Times New Roman" w:hint="eastAsia"/>
          <w:szCs w:val="21"/>
        </w:rPr>
        <w:t xml:space="preserve"> between LRP2 mutation and non-mutation (C).</w:t>
      </w:r>
    </w:p>
    <w:p w14:paraId="42346726" w14:textId="77777777" w:rsidR="00DC4333" w:rsidRDefault="00DC4333" w:rsidP="00DC4333">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Fig.S2.</w:t>
      </w:r>
      <w:r>
        <w:rPr>
          <w:rFonts w:ascii="Times New Roman" w:eastAsia="SimSun" w:hAnsi="Times New Roman" w:cs="Times New Roman" w:hint="eastAsia"/>
          <w:szCs w:val="21"/>
          <w:shd w:val="clear" w:color="auto" w:fill="FFFFFF"/>
        </w:rPr>
        <w:t xml:space="preserve"> Relationship of LRP2 CNA with mutation count, MSI and prognosis. </w:t>
      </w:r>
      <w:r>
        <w:rPr>
          <w:rFonts w:ascii="Times New Roman" w:eastAsia="SimSun" w:hAnsi="Times New Roman" w:cs="Times New Roman" w:hint="eastAsia"/>
          <w:szCs w:val="21"/>
        </w:rPr>
        <w:t>Difference in TMB, MSI sensors and MSI MANTIS score between LRP2 CNA and no CNA (A). Survival analysis showing association of LPR2 CNA with OS, and DSS in EC (B). (</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6F65F418"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Fig.S3. </w:t>
      </w:r>
      <w:r>
        <w:rPr>
          <w:rFonts w:ascii="Times New Roman" w:eastAsia="SimSun" w:hAnsi="Times New Roman" w:cs="Times New Roman" w:hint="eastAsia"/>
          <w:szCs w:val="21"/>
        </w:rPr>
        <w:t xml:space="preserve">Relationship of LRP2 mutation with immune cells infiltration and immune checkpoint genes. Difference in immune cell infiltration between LRP2 mutation and non-mutation (A). Difference in immune checkpoint genes between LRP2 mutation and non-mutation (B). </w:t>
      </w:r>
    </w:p>
    <w:p w14:paraId="35522E03"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Fig.S4. </w:t>
      </w:r>
      <w:r>
        <w:rPr>
          <w:rFonts w:ascii="Times New Roman" w:eastAsia="SimSun" w:hAnsi="Times New Roman" w:cs="Times New Roman" w:hint="eastAsia"/>
          <w:szCs w:val="21"/>
        </w:rPr>
        <w:t xml:space="preserve">Signaling pathway enrichment and immune-related genes expression in pan-cancer. Difference in enrichment of signaling pathways between LRP2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in pan-cancer (A). Co-expression of LRP2 mutation with immune-related genes in eight tumor types (B).</w:t>
      </w:r>
    </w:p>
    <w:p w14:paraId="2CBBF525"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Fig.S5.</w:t>
      </w:r>
      <w:r>
        <w:rPr>
          <w:rFonts w:ascii="Times New Roman" w:eastAsia="SimSun" w:hAnsi="Times New Roman" w:cs="Times New Roman" w:hint="eastAsia"/>
          <w:szCs w:val="21"/>
        </w:rPr>
        <w:t xml:space="preserve"> Difference of signaling pathways between LRP2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in EC </w:t>
      </w:r>
      <w:proofErr w:type="gramStart"/>
      <w:r>
        <w:rPr>
          <w:rFonts w:ascii="Times New Roman" w:eastAsia="SimSun" w:hAnsi="Times New Roman" w:cs="Times New Roman" w:hint="eastAsia"/>
          <w:szCs w:val="21"/>
        </w:rPr>
        <w:t>cohort .</w:t>
      </w:r>
      <w:proofErr w:type="gramEnd"/>
    </w:p>
    <w:p w14:paraId="41B84DEE"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Fig.S6.</w:t>
      </w:r>
      <w:r>
        <w:rPr>
          <w:rFonts w:ascii="Times New Roman" w:eastAsia="SimSun" w:hAnsi="Times New Roman" w:cs="Times New Roman" w:hint="eastAsia"/>
          <w:szCs w:val="21"/>
        </w:rPr>
        <w:t xml:space="preserve"> Relationship of LRP2 mutation with immune cells and immune-related genes in EC cohort. Difference of immune cells between LRP2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(A). Difference of immune checkpoints genes (B), immune receptors (C), MHC molecular (D) and chemokines (E) between LRP2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w:t>
      </w:r>
      <w:bookmarkStart w:id="0" w:name="OLE_LINK1"/>
      <w:r>
        <w:rPr>
          <w:rFonts w:ascii="Times New Roman" w:eastAsia="SimSun" w:hAnsi="Times New Roman" w:cs="Times New Roman" w:hint="eastAsia"/>
          <w:szCs w:val="21"/>
        </w:rPr>
        <w:t>(</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bookmarkEnd w:id="0"/>
    <w:p w14:paraId="569273DC"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Fig.S7.</w:t>
      </w:r>
      <w:r>
        <w:rPr>
          <w:rFonts w:ascii="Times New Roman" w:eastAsia="SimSun" w:hAnsi="Times New Roman" w:cs="Times New Roman" w:hint="eastAsia"/>
          <w:szCs w:val="21"/>
        </w:rPr>
        <w:t xml:space="preserve"> Relationship of LRP2 mutation with EC molecular types in TCGA and CATAC cohorts. </w:t>
      </w:r>
      <w:r>
        <w:rPr>
          <w:rFonts w:ascii="Times New Roman" w:eastAsia="SimSun" w:hAnsi="Times New Roman" w:cs="Times New Roman" w:hint="eastAsia"/>
          <w:szCs w:val="21"/>
          <w:shd w:val="clear" w:color="auto" w:fill="FFFFFF"/>
        </w:rPr>
        <w:t xml:space="preserve">Relationship of LRP2 mutation with genomics subtypes of EC in the TCGA (left) and CATAC cohorts (right) (A). Distribution of patients with different types of LRP2 mutation in EC molecular subtypes in the TCGA (right) and CATAC cohort (right) (B). Mutation frequency of MSH6, MSH2, MLH1 and PMS2 in patients with LRP2 mutation and without LRP2 mutation in TCGA (right) and CATAC cohorts (right) (C). Mutation frequency of POLE in patients with LRP2 mutation and without LRP2 mutation in TCGA (right) and CATAC cohort (right) (D). Mutation frequency of TP53 in patients with LRP2 mutation and without LRP2 mutation in TCGA (right) and CATAC cohorts (right) (E). Percentage of patients with LRP2 mutation in the four EC molecular types in the TCGA (up) and CATAC cohort (down) (F). </w:t>
      </w:r>
      <w:r>
        <w:rPr>
          <w:rFonts w:ascii="Times New Roman" w:eastAsia="SimSun" w:hAnsi="Times New Roman" w:cs="Times New Roman" w:hint="eastAsia"/>
          <w:szCs w:val="21"/>
        </w:rPr>
        <w:t>(</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4B7394F0"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Fig.S8. </w:t>
      </w:r>
      <w:r>
        <w:rPr>
          <w:rFonts w:ascii="Times New Roman" w:eastAsia="SimSun" w:hAnsi="Times New Roman" w:cs="Times New Roman" w:hint="eastAsia"/>
          <w:szCs w:val="21"/>
        </w:rPr>
        <w:t xml:space="preserve">Development and validation of LRP2 mutation signature (LMS). Forest plot of OS-related genes in TCGA-UCEC cohort (A). </w:t>
      </w:r>
      <w:r>
        <w:rPr>
          <w:rFonts w:ascii="Times New Roman" w:eastAsia="SimSun" w:hAnsi="Times New Roman" w:cs="Times New Roman"/>
          <w:szCs w:val="21"/>
        </w:rPr>
        <w:t xml:space="preserve">Selection of the optimal parameter (lambda) in the LASSO model </w:t>
      </w:r>
      <w:r>
        <w:rPr>
          <w:rFonts w:ascii="Times New Roman" w:eastAsia="SimSun" w:hAnsi="Times New Roman" w:cs="Times New Roman" w:hint="eastAsia"/>
          <w:szCs w:val="21"/>
        </w:rPr>
        <w:t>(B). Forest plot showing the results of a m</w:t>
      </w:r>
      <w:r>
        <w:rPr>
          <w:rFonts w:ascii="Times New Roman" w:eastAsia="SimSun" w:hAnsi="Times New Roman" w:cs="Times New Roman"/>
          <w:szCs w:val="21"/>
        </w:rPr>
        <w:t>ultivariable</w:t>
      </w:r>
      <w:r>
        <w:rPr>
          <w:rFonts w:ascii="Times New Roman" w:eastAsia="SimSun" w:hAnsi="Times New Roman" w:cs="Times New Roman" w:hint="eastAsia"/>
          <w:szCs w:val="21"/>
        </w:rPr>
        <w:t xml:space="preserve"> cox analysis (C). Survival analysis showing CD3D and ONECUT prognosis (D). </w:t>
      </w:r>
      <w:r>
        <w:rPr>
          <w:rFonts w:ascii="Times New Roman" w:eastAsia="SimSun" w:hAnsi="Times New Roman" w:cs="Times New Roman"/>
          <w:szCs w:val="21"/>
        </w:rPr>
        <w:t xml:space="preserve">Time-dependent ROC analysis </w:t>
      </w:r>
      <w:r>
        <w:rPr>
          <w:rFonts w:ascii="Times New Roman" w:eastAsia="SimSun" w:hAnsi="Times New Roman" w:cs="Times New Roman" w:hint="eastAsia"/>
          <w:szCs w:val="21"/>
        </w:rPr>
        <w:t>and c</w:t>
      </w:r>
      <w:r>
        <w:rPr>
          <w:rFonts w:ascii="Times New Roman" w:eastAsia="SimSun" w:hAnsi="Times New Roman" w:cs="Times New Roman"/>
          <w:szCs w:val="21"/>
        </w:rPr>
        <w:t xml:space="preserve">alibration plot at 1, </w:t>
      </w:r>
      <w:r>
        <w:rPr>
          <w:rFonts w:ascii="Times New Roman" w:eastAsia="SimSun" w:hAnsi="Times New Roman" w:cs="Times New Roman" w:hint="eastAsia"/>
          <w:szCs w:val="21"/>
        </w:rPr>
        <w:t>3</w:t>
      </w:r>
      <w:r>
        <w:rPr>
          <w:rFonts w:ascii="Times New Roman" w:eastAsia="SimSun" w:hAnsi="Times New Roman" w:cs="Times New Roman"/>
          <w:szCs w:val="21"/>
        </w:rPr>
        <w:t xml:space="preserve"> and </w:t>
      </w:r>
      <w:r>
        <w:rPr>
          <w:rFonts w:ascii="Times New Roman" w:eastAsia="SimSun" w:hAnsi="Times New Roman" w:cs="Times New Roman" w:hint="eastAsia"/>
          <w:szCs w:val="21"/>
        </w:rPr>
        <w:t>5</w:t>
      </w:r>
      <w:r>
        <w:rPr>
          <w:rFonts w:ascii="Times New Roman" w:eastAsia="SimSun" w:hAnsi="Times New Roman" w:cs="Times New Roman"/>
          <w:szCs w:val="21"/>
        </w:rPr>
        <w:t xml:space="preserve"> years</w:t>
      </w:r>
      <w:r>
        <w:rPr>
          <w:rFonts w:ascii="Times New Roman" w:eastAsia="SimSun" w:hAnsi="Times New Roman" w:cs="Times New Roman" w:hint="eastAsia"/>
          <w:szCs w:val="21"/>
        </w:rPr>
        <w:t xml:space="preserve"> in TCGA-UCEC (E) and pan-cancer cohorts (F). (</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2C25A91C"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t xml:space="preserve">Fig.S9. </w:t>
      </w:r>
      <w:r>
        <w:rPr>
          <w:rFonts w:ascii="Times New Roman" w:eastAsia="SimSun" w:hAnsi="Times New Roman" w:cs="Times New Roman" w:hint="eastAsia"/>
          <w:szCs w:val="21"/>
        </w:rPr>
        <w:t>Relationship of LMS score with immune microenvironment. Difference of immune cell infiltration between high and low LMS score in TCGA-UCEC (A) and pan-cancer cohorts (B). Difference of CTLA4, PDCD1, TIGIT, and GZMB between high and low LMS score in TCGA-UCEC (C) and pan-cancer cohorts (D). (</w:t>
      </w:r>
      <w:r>
        <w:rPr>
          <w:rFonts w:ascii="Times New Roman" w:eastAsia="SimSun" w:hAnsi="Times New Roman" w:cs="Times New Roman"/>
          <w:szCs w:val="21"/>
        </w:rPr>
        <w:t xml:space="preserve">NS, </w:t>
      </w:r>
      <w:r>
        <w:rPr>
          <w:rFonts w:ascii="Times New Roman" w:eastAsia="AdvOT65f8a23b . I" w:hAnsi="Times New Roman" w:cs="Times New Roman"/>
          <w:szCs w:val="21"/>
        </w:rPr>
        <w:t xml:space="preserve">P </w:t>
      </w:r>
      <w:r>
        <w:rPr>
          <w:rFonts w:ascii="Times New Roman" w:eastAsia="AdvTT6780a46b" w:hAnsi="Times New Roman" w:cs="Times New Roman"/>
          <w:szCs w:val="21"/>
        </w:rPr>
        <w:t>&gt; 0.05</w:t>
      </w:r>
      <w:r>
        <w:rPr>
          <w:rFonts w:ascii="Times New Roman" w:eastAsia="SimSun" w:hAnsi="Times New Roman" w:cs="Times New Roman" w:hint="eastAsia"/>
          <w:szCs w:val="21"/>
        </w:rPr>
        <w:t xml:space="preserve">; </w:t>
      </w:r>
      <w:r>
        <w:rPr>
          <w:rFonts w:ascii="Times New Roman" w:eastAsia="AdvTT6780a46b" w:hAnsi="Times New Roman" w:cs="Times New Roman"/>
          <w:szCs w:val="21"/>
        </w:rPr>
        <w:t>*</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0.05</w:t>
      </w:r>
      <w:r>
        <w:rPr>
          <w:rFonts w:ascii="Times New Roman" w:eastAsia="SimSun" w:hAnsi="Times New Roman" w:cs="Times New Roman" w:hint="eastAsia"/>
          <w:szCs w:val="21"/>
        </w:rPr>
        <w:t>;</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w:t>
      </w:r>
      <w:r>
        <w:rPr>
          <w:rFonts w:ascii="Times New Roman" w:eastAsia="SimSun" w:hAnsi="Times New Roman" w:cs="Times New Roman" w:hint="eastAsia"/>
          <w:szCs w:val="21"/>
        </w:rPr>
        <w:t>1;</w:t>
      </w:r>
      <w:r>
        <w:rPr>
          <w:rFonts w:ascii="Times New Roman" w:eastAsia="AdvTT6780a46b" w:hAnsi="Times New Roman" w:cs="Times New Roman"/>
          <w:szCs w:val="21"/>
        </w:rPr>
        <w:t xml:space="preserve"> ***</w:t>
      </w:r>
      <w:r>
        <w:rPr>
          <w:rFonts w:ascii="Times New Roman" w:eastAsia="AdvOT65f8a23b . I" w:hAnsi="Times New Roman" w:cs="Times New Roman"/>
          <w:szCs w:val="21"/>
        </w:rPr>
        <w:t xml:space="preserve">P </w:t>
      </w:r>
      <w:r>
        <w:rPr>
          <w:rFonts w:ascii="Times New Roman" w:eastAsia="AdvTT6780a46b" w:hAnsi="Times New Roman" w:cs="Times New Roman"/>
          <w:szCs w:val="21"/>
        </w:rPr>
        <w:t>&lt; 0.001</w:t>
      </w:r>
      <w:r>
        <w:rPr>
          <w:rFonts w:ascii="Times New Roman" w:eastAsia="SimSun" w:hAnsi="Times New Roman" w:cs="Times New Roman" w:hint="eastAsia"/>
          <w:szCs w:val="21"/>
        </w:rPr>
        <w:t>).</w:t>
      </w:r>
      <w:r>
        <w:rPr>
          <w:rFonts w:ascii="Times New Roman" w:eastAsia="SimSun" w:hAnsi="Times New Roman" w:cs="Times New Roman"/>
          <w:szCs w:val="21"/>
        </w:rPr>
        <w:t xml:space="preserve">  </w:t>
      </w:r>
    </w:p>
    <w:p w14:paraId="3BD55C8E"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hint="eastAsia"/>
          <w:b/>
          <w:bCs/>
          <w:szCs w:val="21"/>
        </w:rPr>
        <w:lastRenderedPageBreak/>
        <w:t xml:space="preserve">Fig.S10. </w:t>
      </w:r>
      <w:r>
        <w:rPr>
          <w:rFonts w:ascii="Times New Roman" w:eastAsia="SimSun" w:hAnsi="Times New Roman" w:cs="Times New Roman" w:hint="eastAsia"/>
          <w:szCs w:val="21"/>
        </w:rPr>
        <w:t xml:space="preserve">Relationship of LMS score with TIDE, immune </w:t>
      </w:r>
      <w:proofErr w:type="gramStart"/>
      <w:r>
        <w:rPr>
          <w:rFonts w:ascii="Times New Roman" w:eastAsia="SimSun" w:hAnsi="Times New Roman" w:cs="Times New Roman" w:hint="eastAsia"/>
          <w:szCs w:val="21"/>
        </w:rPr>
        <w:t>exclusion</w:t>
      </w:r>
      <w:proofErr w:type="gramEnd"/>
      <w:r>
        <w:rPr>
          <w:rFonts w:ascii="Times New Roman" w:eastAsia="SimSun" w:hAnsi="Times New Roman" w:cs="Times New Roman" w:hint="eastAsia"/>
          <w:szCs w:val="21"/>
        </w:rPr>
        <w:t xml:space="preserve"> and immune dysfunction. Difference of TIDE (up), immune exclusion (middle) and immune dysfunction (down) in UCEC (A), SKCM (B), and COAD cohorts (C). </w:t>
      </w:r>
    </w:p>
    <w:p w14:paraId="034C9512" w14:textId="77777777" w:rsidR="00DC4333" w:rsidRDefault="00DC4333" w:rsidP="00DC4333">
      <w:pPr>
        <w:spacing w:line="360" w:lineRule="auto"/>
        <w:rPr>
          <w:rFonts w:ascii="Times New Roman" w:eastAsia="SimSun" w:hAnsi="Times New Roman" w:cs="Times New Roman"/>
          <w:szCs w:val="21"/>
        </w:rPr>
      </w:pPr>
      <w:r>
        <w:rPr>
          <w:rFonts w:ascii="Times New Roman" w:eastAsia="SimSun" w:hAnsi="Times New Roman" w:cs="Times New Roman"/>
          <w:szCs w:val="21"/>
        </w:rPr>
        <w:t xml:space="preserve">  </w:t>
      </w:r>
    </w:p>
    <w:p w14:paraId="2BFF9314" w14:textId="77777777" w:rsidR="00DC4333" w:rsidRDefault="00DC4333" w:rsidP="00DC4333">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Table.S1.</w:t>
      </w:r>
      <w:r>
        <w:rPr>
          <w:rFonts w:ascii="Times New Roman" w:eastAsia="SimSun" w:hAnsi="Times New Roman" w:cs="Times New Roman" w:hint="eastAsia"/>
          <w:szCs w:val="21"/>
          <w:shd w:val="clear" w:color="auto" w:fill="FFFFFF"/>
        </w:rPr>
        <w:t xml:space="preserve"> Mutation frequencies of homologous recombination repair genes </w:t>
      </w:r>
      <w:r>
        <w:rPr>
          <w:rFonts w:ascii="Times New Roman" w:eastAsia="SimSun" w:hAnsi="Times New Roman" w:cs="Times New Roman" w:hint="eastAsia"/>
          <w:szCs w:val="21"/>
        </w:rPr>
        <w:t xml:space="preserve">between LRP mutation and </w:t>
      </w:r>
      <w:proofErr w:type="spellStart"/>
      <w:r>
        <w:rPr>
          <w:rFonts w:ascii="Times New Roman" w:eastAsia="SimSun" w:hAnsi="Times New Roman" w:cs="Times New Roman" w:hint="eastAsia"/>
          <w:szCs w:val="21"/>
        </w:rPr>
        <w:t>non mutation</w:t>
      </w:r>
      <w:proofErr w:type="spellEnd"/>
      <w:r>
        <w:rPr>
          <w:rFonts w:ascii="Times New Roman" w:eastAsia="SimSun" w:hAnsi="Times New Roman" w:cs="Times New Roman" w:hint="eastAsia"/>
          <w:szCs w:val="21"/>
        </w:rPr>
        <w:t xml:space="preserve">. </w:t>
      </w:r>
    </w:p>
    <w:p w14:paraId="06BA414F" w14:textId="77777777" w:rsidR="00DC4333" w:rsidRDefault="00DC4333" w:rsidP="00DC4333">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Table.S2.</w:t>
      </w:r>
      <w:r>
        <w:rPr>
          <w:rFonts w:ascii="Times New Roman" w:eastAsia="SimSun" w:hAnsi="Times New Roman" w:cs="Times New Roman" w:hint="eastAsia"/>
          <w:szCs w:val="21"/>
          <w:shd w:val="clear" w:color="auto" w:fill="FFFFFF"/>
        </w:rPr>
        <w:t xml:space="preserve"> </w:t>
      </w:r>
      <w:bookmarkStart w:id="1" w:name="OLE_LINK9"/>
      <w:r>
        <w:rPr>
          <w:rFonts w:ascii="Times New Roman" w:eastAsia="SimSun" w:hAnsi="Times New Roman" w:cs="Times New Roman" w:hint="eastAsia"/>
          <w:szCs w:val="21"/>
          <w:shd w:val="clear" w:color="auto" w:fill="FFFFFF"/>
        </w:rPr>
        <w:t>Relationship</w:t>
      </w:r>
      <w:bookmarkEnd w:id="1"/>
      <w:r>
        <w:rPr>
          <w:rFonts w:ascii="Times New Roman" w:eastAsia="SimSun" w:hAnsi="Times New Roman" w:cs="Times New Roman" w:hint="eastAsia"/>
          <w:szCs w:val="21"/>
          <w:shd w:val="clear" w:color="auto" w:fill="FFFFFF"/>
        </w:rPr>
        <w:t xml:space="preserve"> of LRP2 mutation with prognosis in different tumor types. </w:t>
      </w:r>
    </w:p>
    <w:p w14:paraId="3268326A" w14:textId="77777777" w:rsidR="00DC4333" w:rsidRDefault="00DC4333" w:rsidP="00DC4333">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Table.S3.</w:t>
      </w:r>
      <w:r>
        <w:rPr>
          <w:rFonts w:ascii="Times New Roman" w:eastAsia="SimSun" w:hAnsi="Times New Roman" w:cs="Times New Roman" w:hint="eastAsia"/>
          <w:szCs w:val="21"/>
          <w:shd w:val="clear" w:color="auto" w:fill="FFFFFF"/>
        </w:rPr>
        <w:t xml:space="preserve"> Characteristics of studies evaluating immunotherapy </w:t>
      </w:r>
    </w:p>
    <w:p w14:paraId="6262E79E" w14:textId="77777777" w:rsidR="00DC4333" w:rsidRDefault="00DC4333" w:rsidP="00DC4333">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Table.S4.</w:t>
      </w:r>
      <w:r>
        <w:rPr>
          <w:rFonts w:ascii="Times New Roman" w:eastAsia="SimSun" w:hAnsi="Times New Roman" w:cs="Times New Roman" w:hint="eastAsia"/>
          <w:szCs w:val="21"/>
          <w:shd w:val="clear" w:color="auto" w:fill="FFFFFF"/>
        </w:rPr>
        <w:t xml:space="preserve"> Differentially expressed genes in TCGA-UCEC cohort between LRP2 mutation and </w:t>
      </w:r>
      <w:proofErr w:type="spellStart"/>
      <w:r>
        <w:rPr>
          <w:rFonts w:ascii="Times New Roman" w:eastAsia="SimSun" w:hAnsi="Times New Roman" w:cs="Times New Roman" w:hint="eastAsia"/>
          <w:szCs w:val="21"/>
          <w:shd w:val="clear" w:color="auto" w:fill="FFFFFF"/>
        </w:rPr>
        <w:t>non mutation</w:t>
      </w:r>
      <w:proofErr w:type="spellEnd"/>
      <w:r>
        <w:rPr>
          <w:rFonts w:ascii="Times New Roman" w:eastAsia="SimSun" w:hAnsi="Times New Roman" w:cs="Times New Roman" w:hint="eastAsia"/>
          <w:szCs w:val="21"/>
          <w:shd w:val="clear" w:color="auto" w:fill="FFFFFF"/>
        </w:rPr>
        <w:t xml:space="preserve">.    </w:t>
      </w:r>
    </w:p>
    <w:p w14:paraId="075C93CF" w14:textId="77777777" w:rsidR="00DC4333" w:rsidRDefault="00DC4333" w:rsidP="00DC4333">
      <w:pPr>
        <w:spacing w:line="360" w:lineRule="auto"/>
        <w:rPr>
          <w:rFonts w:ascii="Times New Roman" w:eastAsia="SimSun" w:hAnsi="Times New Roman" w:cs="Times New Roman"/>
          <w:szCs w:val="21"/>
          <w:shd w:val="clear" w:color="auto" w:fill="FFFFFF"/>
        </w:rPr>
      </w:pPr>
      <w:r>
        <w:rPr>
          <w:rFonts w:ascii="Times New Roman" w:eastAsia="SimSun" w:hAnsi="Times New Roman" w:cs="Times New Roman" w:hint="eastAsia"/>
          <w:b/>
          <w:bCs/>
          <w:szCs w:val="21"/>
          <w:shd w:val="clear" w:color="auto" w:fill="FFFFFF"/>
        </w:rPr>
        <w:t xml:space="preserve">Table.S5. </w:t>
      </w:r>
      <w:r>
        <w:rPr>
          <w:rFonts w:ascii="Times New Roman" w:eastAsia="SimSun" w:hAnsi="Times New Roman" w:cs="Times New Roman" w:hint="eastAsia"/>
          <w:szCs w:val="21"/>
          <w:shd w:val="clear" w:color="auto" w:fill="FFFFFF"/>
        </w:rPr>
        <w:t xml:space="preserve">Relationship of LMS score with prognosis in 11 tumor types. </w:t>
      </w:r>
    </w:p>
    <w:p w14:paraId="4BDEC977" w14:textId="77777777" w:rsidR="00B262B5" w:rsidRDefault="00B262B5"/>
    <w:sectPr w:rsidR="00B262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dvOT65f8a23b . I">
    <w:altName w:val="Segoe Print"/>
    <w:charset w:val="00"/>
    <w:family w:val="auto"/>
    <w:pitch w:val="default"/>
  </w:font>
  <w:font w:name="AdvTT6780a46b">
    <w:altName w:val="Segoe Print"/>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333"/>
    <w:rsid w:val="00B262B5"/>
    <w:rsid w:val="00DC4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2FDFF"/>
  <w15:chartTrackingRefBased/>
  <w15:docId w15:val="{1E1C146B-098E-4256-BAFA-64E809EA2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333"/>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605</Words>
  <Characters>3450</Characters>
  <Application>Microsoft Office Word</Application>
  <DocSecurity>0</DocSecurity>
  <Lines>28</Lines>
  <Paragraphs>8</Paragraphs>
  <ScaleCrop>false</ScaleCrop>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2022-05-02T18:32:00Z</dcterms:created>
  <dcterms:modified xsi:type="dcterms:W3CDTF">2022-05-02T18:32:00Z</dcterms:modified>
</cp:coreProperties>
</file>