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b/>
          <w:bCs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Table.S3. The characteristics of studies invovling in immuntherapy </w:t>
      </w:r>
    </w:p>
    <w:p>
      <w:pPr>
        <w:bidi w:val="0"/>
        <w:rPr>
          <w:b/>
          <w:bCs/>
          <w:lang w:val="en-US" w:eastAsia="zh-CN"/>
        </w:rPr>
      </w:pPr>
    </w:p>
    <w:tbl>
      <w:tblPr>
        <w:tblStyle w:val="3"/>
        <w:tblW w:w="9580" w:type="dxa"/>
        <w:tblInd w:w="-419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820"/>
        <w:gridCol w:w="1880"/>
        <w:gridCol w:w="1890"/>
        <w:gridCol w:w="1180"/>
        <w:gridCol w:w="1130"/>
        <w:gridCol w:w="13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8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Study</w:t>
            </w:r>
          </w:p>
        </w:tc>
        <w:tc>
          <w:tcPr>
            <w:tcW w:w="82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Year</w:t>
            </w:r>
          </w:p>
        </w:tc>
        <w:tc>
          <w:tcPr>
            <w:tcW w:w="188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Group</w:t>
            </w:r>
          </w:p>
        </w:tc>
        <w:tc>
          <w:tcPr>
            <w:tcW w:w="189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Drug</w:t>
            </w:r>
          </w:p>
        </w:tc>
        <w:tc>
          <w:tcPr>
            <w:tcW w:w="118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Response</w:t>
            </w:r>
          </w:p>
        </w:tc>
        <w:tc>
          <w:tcPr>
            <w:tcW w:w="113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Data type</w:t>
            </w:r>
          </w:p>
        </w:tc>
        <w:tc>
          <w:tcPr>
            <w:tcW w:w="130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Diease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Van allen et al</w:t>
            </w:r>
          </w:p>
        </w:tc>
        <w:tc>
          <w:tcPr>
            <w:tcW w:w="82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2015</w:t>
            </w:r>
          </w:p>
        </w:tc>
        <w:tc>
          <w:tcPr>
            <w:tcW w:w="188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LRP2 mutaiton:29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LRP2 no mutation:81</w:t>
            </w:r>
          </w:p>
        </w:tc>
        <w:tc>
          <w:tcPr>
            <w:tcW w:w="189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Ipilimumab</w:t>
            </w:r>
          </w:p>
        </w:tc>
        <w:tc>
          <w:tcPr>
            <w:tcW w:w="118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14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23</w:t>
            </w:r>
          </w:p>
        </w:tc>
        <w:tc>
          <w:tcPr>
            <w:tcW w:w="113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WES</w:t>
            </w:r>
          </w:p>
        </w:tc>
        <w:tc>
          <w:tcPr>
            <w:tcW w:w="1300" w:type="dxa"/>
            <w:tcBorders>
              <w:top w:val="single" w:color="auto" w:sz="4" w:space="0"/>
            </w:tcBorders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Hugo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2016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LRP2 mutaiton:12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LRP2 no mutation:26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Pembrolizumab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/nivolumab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10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:11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WES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Riaz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2017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LRP2 mutaiton:11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LRP2 no mutation:62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Nivolumab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:4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:11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WES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Chen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2016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group:16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group:15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Ipilimumab/nivolumab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CR/PR:7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CR/PR:4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  <w:bookmarkEnd w:id="0"/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Gide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2019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group:37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group:36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olor w:val="auto"/>
                <w:spacing w:val="0"/>
                <w:sz w:val="18"/>
                <w:szCs w:val="18"/>
                <w:shd w:val="clear" w:color="auto" w:fill="auto"/>
              </w:rPr>
              <w:t>N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ivolumab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/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pembrolizumab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/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ipilimumab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CR/PR:27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CR/PR:13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Hugo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2016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group:14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group:13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Pembrolizumab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/nivolumab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CR/PR:9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CR/PR:5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Kim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2018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group:23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group:22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P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embrolizumab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CR/PR:5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CR/PR:7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Gastric cancer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Lauss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2017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group:13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group:12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BRAF inhibitor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CR/PR:7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CR/PR:3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Nathanson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2017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group:8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group:8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CTLA-4 blockade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CR/PR:4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CR/PR:1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Prat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2017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group:33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</w:t>
            </w:r>
            <w:bookmarkStart w:id="1" w:name="_GoBack"/>
            <w:bookmarkEnd w:id="1"/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32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  <w:lang w:val="en-US" w:eastAsia="zh-CN"/>
              </w:rPr>
              <w:t>I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pilimumab 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CR/PR:11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CR/PR:9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 xml:space="preserve">Lung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cancer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 xml:space="preserve">, Head and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n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 xml:space="preserve">eck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  <w:lang w:val="en-US" w:eastAsia="zh-CN"/>
              </w:rPr>
              <w:t>c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18"/>
                <w:szCs w:val="18"/>
                <w:shd w:val="clear" w:fill="FFFFFF"/>
              </w:rPr>
              <w:t>arcinoma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Riaz et al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2017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group:13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group:12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Nivolumab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CR/PR:3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CR/PR:3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Melanoma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3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superscript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I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Mvigor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82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2016</w:t>
            </w:r>
          </w:p>
        </w:tc>
        <w:tc>
          <w:tcPr>
            <w:tcW w:w="18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High LMS group:174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Low LMS group:174</w:t>
            </w:r>
          </w:p>
        </w:tc>
        <w:tc>
          <w:tcPr>
            <w:tcW w:w="189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ambria" w:cs="Times New Roman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CTLA-4 blockade</w:t>
            </w:r>
          </w:p>
        </w:tc>
        <w:tc>
          <w:tcPr>
            <w:tcW w:w="118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CR/PR:39</w:t>
            </w:r>
          </w:p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CR/PR:29</w:t>
            </w:r>
          </w:p>
        </w:tc>
        <w:tc>
          <w:tcPr>
            <w:tcW w:w="113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  <w:t>RNA-seq</w:t>
            </w:r>
          </w:p>
        </w:tc>
        <w:tc>
          <w:tcPr>
            <w:tcW w:w="1300" w:type="dxa"/>
            <w:shd w:val="clear" w:color="auto" w:fill="FFFFFF" w:themeFill="background1"/>
          </w:tcPr>
          <w:p>
            <w:pPr>
              <w:bidi w:val="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U</w:t>
            </w:r>
            <w:r>
              <w:rPr>
                <w:rFonts w:hint="default" w:ascii="Times New Roman" w:hAnsi="Times New Roman" w:eastAsia="宋体" w:cs="Times New Roman"/>
                <w:sz w:val="18"/>
                <w:szCs w:val="18"/>
              </w:rPr>
              <w:t>rothelial cancer</w:t>
            </w:r>
          </w:p>
        </w:tc>
      </w:tr>
    </w:tbl>
    <w:p>
      <w:pPr>
        <w:bidi w:val="0"/>
        <w:jc w:val="left"/>
        <w:rPr>
          <w:rFonts w:hint="eastAsia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References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Van Allen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E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Miao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D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Schilling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B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Shukl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a,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Blank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C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Zimmer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Sucker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Hillen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U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Foppen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H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G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et al. (2015).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Genomic correlates of response to CTLA-4 blockade in metastatic melanoma. Science. 350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,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207-211.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Hugo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W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Zaretsky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J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Sun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Song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C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Moreno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B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H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Hu-Lieskovan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Berent-Maoz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B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Pang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J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Chmielowski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B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and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Cherry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G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et al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.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 (2016).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Genomic and Transcriptomic Features of Response to Anti-PD-1 Therapy in Metastatic Melanoma. 165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,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35-44.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Riaz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Havel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J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J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Makarov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V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Desrichard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Urba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W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J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Sims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J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Hodi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F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Martín-Algarra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Mandal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R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and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Sharfman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W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H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et al. (2017).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Tumor and Microenvironment Evolution during Immunotherapy with Nivolumab. Cell. 171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,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934-949.e16.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Chen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P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Roh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W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Reuben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Cooper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,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Z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Spencer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C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Prieto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P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Miller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J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P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Bassett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R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Gopalakrishnan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V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and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Wani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K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et al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.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 (2016).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Analysis of Immune Signatures in Longitudinal Tumor Samples Yields Insight into Biomarkers of Response and Mechanisms of Resistance to Immune Checkpoint Blockade. Cancer Discov. 6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,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827-37.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Gide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Quek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C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Menzies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Tasker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Shang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P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Holst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J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Madore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J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Lim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Y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Velickovic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R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and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Wongchenko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 et al. (2019).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Distinct Immune Cell Populations Define Response to Anti-PD-1 Monotherapy and Anti-PD-1/Anti-CTLA-4 Combined Therapy. Cancer Cell. 35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,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238-255.e6.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Kim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Cristescu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R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Bass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J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Kim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K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Odegaard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J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I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Kim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K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Liu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X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Q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Sher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X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Jung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H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and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Lee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 et al. (2018).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Comprehensive molecular characterization of clinical responses to PD-1 inhibition in metastatic gastric cancer. Nat Med.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24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,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1449-1458.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Lauss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Donia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Harbst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K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Andersen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R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Mitra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Rosengren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F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Salim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Vallon-Christersson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J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Törngren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 xml:space="preserve">and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Kvist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et al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.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 xml:space="preserve"> (2017).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Mutational and putative neoantigen load predict clinical benefit of adoptive T cell therapy in melanoma. Nat Commun. 8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 xml:space="preserve">,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1738.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Nathanson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Ahuja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Rubinsteyn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Aksoy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B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Hellman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n,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M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D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Miao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D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Van Allen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E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Merghoub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, Wolchok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J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D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 xml:space="preserve">and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Snyder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 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>et al. (2017)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>. Somatic Mutations and Neoepitope Homology in Melanomas Treated with CTLA-4 Blockade. Cancer Immunol Res. 25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  <w:lang w:val="en-US" w:eastAsia="zh-CN"/>
        </w:rPr>
        <w:t xml:space="preserve">,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03030"/>
          <w:spacing w:val="0"/>
          <w:sz w:val="21"/>
          <w:szCs w:val="21"/>
          <w:shd w:val="clear" w:fill="FFFFFF"/>
        </w:rPr>
        <w:t xml:space="preserve">84-91.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Arial" w:cs="Times New Roman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Prat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Navarro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Paré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Reguart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Galván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P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Pascual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T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Martínez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Nuciforo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P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 Comerma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,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and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Alos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L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,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 et al. (2017).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 xml:space="preserve"> Immune-Related Gene Expression Profiling After PD-1 Blockade in Non-Small Cell Lung Carcinoma, Head and Neck Squamous Cell Carcinoma, and Melanoma. Cancer Res. 77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  <w:lang w:val="en-US" w:eastAsia="zh-CN"/>
        </w:rPr>
        <w:t xml:space="preserve">,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212121"/>
          <w:spacing w:val="0"/>
          <w:sz w:val="21"/>
          <w:szCs w:val="21"/>
          <w:shd w:val="clear" w:fill="FFFFFF"/>
        </w:rPr>
        <w:t>3540-3550.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Arial" w:cs="Times New Roman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  <w:u w:val="none"/>
        </w:rPr>
        <w:fldChar w:fldCharType="begin"/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u w:val="none"/>
        </w:rPr>
        <w:instrText xml:space="preserve"> HYPERLINK "http://research-pub.gene.com/IMvigor210CoreBiologies/" </w:instrTex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u w:val="none"/>
        </w:rPr>
        <w:fldChar w:fldCharType="separate"/>
      </w:r>
      <w:r>
        <w:rPr>
          <w:rStyle w:val="6"/>
          <w:rFonts w:hint="default" w:ascii="Times New Roman" w:hAnsi="Times New Roman" w:eastAsia="宋体" w:cs="Times New Roman"/>
          <w:color w:val="auto"/>
          <w:sz w:val="21"/>
          <w:szCs w:val="21"/>
          <w:u w:val="none"/>
        </w:rPr>
        <w:t>TGF-b attenuates tumor response to PD-L1 blockade by contributing to exclusion of T cells (gene.com)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u w:val="none"/>
        </w:rPr>
        <w:fldChar w:fldCharType="end"/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u w:val="none"/>
          <w:lang w:val="en-US" w:eastAsia="zh-CN"/>
        </w:rPr>
        <w:t>(</w:t>
      </w:r>
      <w:r>
        <w:rPr>
          <w:rFonts w:hint="default" w:ascii="Times New Roman" w:hAnsi="Times New Roman" w:eastAsia="宋体" w:cs="Times New Roman"/>
          <w:sz w:val="21"/>
          <w:szCs w:val="21"/>
        </w:rPr>
        <w:t>http://research-pub.gene.com/ IMvigor210CoreBiologies/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u w:val="none"/>
          <w:lang w:val="en-US" w:eastAsia="zh-CN"/>
        </w:rPr>
        <w:t>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E02FA4"/>
    <w:multiLevelType w:val="singleLevel"/>
    <w:tmpl w:val="B2E02FA4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F6BDC2AA"/>
    <w:multiLevelType w:val="singleLevel"/>
    <w:tmpl w:val="F6BDC2A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F6D3D56"/>
    <w:multiLevelType w:val="singleLevel"/>
    <w:tmpl w:val="5F6D3D5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6217BF"/>
    <w:rsid w:val="018276FB"/>
    <w:rsid w:val="01BF2A3E"/>
    <w:rsid w:val="02166173"/>
    <w:rsid w:val="072F436F"/>
    <w:rsid w:val="07C35693"/>
    <w:rsid w:val="07DF44A0"/>
    <w:rsid w:val="0B1269BE"/>
    <w:rsid w:val="0F4A768D"/>
    <w:rsid w:val="108B7452"/>
    <w:rsid w:val="1629395A"/>
    <w:rsid w:val="16492D73"/>
    <w:rsid w:val="189B7D38"/>
    <w:rsid w:val="1A6217BF"/>
    <w:rsid w:val="1E830638"/>
    <w:rsid w:val="2125696A"/>
    <w:rsid w:val="23F944BF"/>
    <w:rsid w:val="24040344"/>
    <w:rsid w:val="2551032A"/>
    <w:rsid w:val="2BB533C1"/>
    <w:rsid w:val="31880C30"/>
    <w:rsid w:val="32153F73"/>
    <w:rsid w:val="354457B6"/>
    <w:rsid w:val="39666F13"/>
    <w:rsid w:val="3AE3337B"/>
    <w:rsid w:val="3E281F2B"/>
    <w:rsid w:val="405E3BCF"/>
    <w:rsid w:val="44575D69"/>
    <w:rsid w:val="44667144"/>
    <w:rsid w:val="44FA7096"/>
    <w:rsid w:val="474927B8"/>
    <w:rsid w:val="49831FB1"/>
    <w:rsid w:val="49C12AD9"/>
    <w:rsid w:val="4A0A4BEE"/>
    <w:rsid w:val="4A123335"/>
    <w:rsid w:val="4A6B3DAE"/>
    <w:rsid w:val="4DF647A7"/>
    <w:rsid w:val="515818C2"/>
    <w:rsid w:val="531A4FDB"/>
    <w:rsid w:val="567E16AE"/>
    <w:rsid w:val="5889430A"/>
    <w:rsid w:val="59A9411B"/>
    <w:rsid w:val="5CD526CC"/>
    <w:rsid w:val="5E4662E1"/>
    <w:rsid w:val="6051650D"/>
    <w:rsid w:val="6146003C"/>
    <w:rsid w:val="6638261C"/>
    <w:rsid w:val="667C41DA"/>
    <w:rsid w:val="6BCA3618"/>
    <w:rsid w:val="6CCB1BC5"/>
    <w:rsid w:val="6D050DAB"/>
    <w:rsid w:val="6F110F01"/>
    <w:rsid w:val="6FA128E1"/>
    <w:rsid w:val="71A618A6"/>
    <w:rsid w:val="727603A8"/>
    <w:rsid w:val="72913F07"/>
    <w:rsid w:val="734E60FF"/>
    <w:rsid w:val="73AB3D2F"/>
    <w:rsid w:val="76C2746C"/>
    <w:rsid w:val="7A623539"/>
    <w:rsid w:val="7D01709E"/>
    <w:rsid w:val="7D132CF6"/>
    <w:rsid w:val="7D50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594</Words>
  <Characters>3499</Characters>
  <Lines>0</Lines>
  <Paragraphs>0</Paragraphs>
  <TotalTime>2</TotalTime>
  <ScaleCrop>false</ScaleCrop>
  <LinksUpToDate>false</LinksUpToDate>
  <CharactersWithSpaces>3974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2022-03-10T04:11:00Z</dcterms:created>
  <dc:creator>龚玉萍</dc:creator>
  <cp:lastModifiedBy>龚玉萍</cp:lastModifiedBy>
  <dcterms:modified xsi:type="dcterms:W3CDTF">2022-03-29T14:22:54Z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1A2DFF41D1F149F2A51D233D016F5F7E</vt:lpwstr>
  </property>
</Properties>
</file>