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F0C" w:rsidRDefault="00071F0C" w:rsidP="00071F0C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Appendix 1. Classes of antimicrobial agents reported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71F0C" w:rsidTr="009D6500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Antimicrobial class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Antimicrobial agents</w:t>
            </w:r>
          </w:p>
        </w:tc>
      </w:tr>
      <w:tr w:rsidR="00071F0C" w:rsidTr="009D6500">
        <w:tc>
          <w:tcPr>
            <w:tcW w:w="4675" w:type="dxa"/>
            <w:tcBorders>
              <w:top w:val="single" w:sz="4" w:space="0" w:color="auto"/>
            </w:tcBorders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Aminoglycosides</w:t>
            </w:r>
          </w:p>
        </w:tc>
        <w:tc>
          <w:tcPr>
            <w:tcW w:w="4675" w:type="dxa"/>
            <w:tcBorders>
              <w:top w:val="single" w:sz="4" w:space="0" w:color="auto"/>
            </w:tcBorders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Amikacin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Gentamicin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Streptomycin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Tobramycin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Carbapenems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Ertapenem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Imipenem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Meropenem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Cephalosporins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Cefazolin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Cephalexin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Cefuroxime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Ceftazidime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Ceftriaxone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Cefotaxime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Cefepime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Ceftaroline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Macrolides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Azithromycin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Clarithromycin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Erythromycin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Penicillins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Penicillin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Ampicillin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Nafcillin-oxacillin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Beta-lactamase inhibitor combinations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Amoxacillin-clavulanate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Ampicillin-sulbactam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Piperacillin-tazobactam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Ceftolozane-</w:t>
            </w:r>
            <w:r w:rsidRPr="00167E7F">
              <w:rPr>
                <w:rFonts w:ascii="Arial" w:hAnsi="Arial" w:cs="Arial"/>
                <w:sz w:val="22"/>
                <w:szCs w:val="22"/>
              </w:rPr>
              <w:t>tazobactam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Quinolones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Ciprofloxacin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Levofloxacin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Moxifloxacin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Tetracyclines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Doxycycline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Tetracycline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DC68BB">
              <w:rPr>
                <w:rFonts w:ascii="Arial" w:hAnsi="Arial" w:cs="Arial"/>
                <w:sz w:val="22"/>
                <w:szCs w:val="22"/>
              </w:rPr>
              <w:t>Glycopeptides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Vancomycin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 w:rsidRPr="00367C8C">
              <w:rPr>
                <w:rFonts w:ascii="Arial" w:hAnsi="Arial" w:cs="Arial"/>
                <w:sz w:val="22"/>
                <w:szCs w:val="22"/>
              </w:rPr>
              <w:t>Oxazolidinones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Linezolid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Rifamycins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Rifampin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Sulfonamides combination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Trimethoprim-sulfamethoxazole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Monobactam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Aztreonam</w:t>
            </w:r>
          </w:p>
        </w:tc>
      </w:tr>
      <w:tr w:rsidR="00071F0C" w:rsidTr="009D6500">
        <w:trPr>
          <w:trHeight w:val="278"/>
        </w:trPr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Lincosamides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Clindamycin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Lipopeptides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Daptomycin</w:t>
            </w:r>
          </w:p>
        </w:tc>
      </w:tr>
      <w:tr w:rsidR="00071F0C" w:rsidTr="009D6500">
        <w:trPr>
          <w:trHeight w:val="278"/>
        </w:trPr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Nitrofuran derivate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Nitrofurantoin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Nitro-imidazole derivatives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Metronidazole</w:t>
            </w:r>
          </w:p>
        </w:tc>
      </w:tr>
      <w:tr w:rsidR="00071F0C" w:rsidTr="009D6500"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Phosphonic</w:t>
            </w:r>
          </w:p>
        </w:tc>
        <w:tc>
          <w:tcPr>
            <w:tcW w:w="4675" w:type="dxa"/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Fosfomycin</w:t>
            </w:r>
          </w:p>
        </w:tc>
      </w:tr>
      <w:tr w:rsidR="00071F0C" w:rsidTr="009D6500">
        <w:tc>
          <w:tcPr>
            <w:tcW w:w="4675" w:type="dxa"/>
            <w:tcBorders>
              <w:bottom w:val="single" w:sz="4" w:space="0" w:color="auto"/>
            </w:tcBorders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Amphenicols</w:t>
            </w:r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:rsidR="00071F0C" w:rsidRDefault="00071F0C" w:rsidP="009D6500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Chloramphenicol</w:t>
            </w:r>
          </w:p>
        </w:tc>
      </w:tr>
    </w:tbl>
    <w:p w:rsidR="00071F0C" w:rsidRDefault="00071F0C" w:rsidP="00071F0C">
      <w:pPr>
        <w:spacing w:line="480" w:lineRule="auto"/>
        <w:rPr>
          <w:rFonts w:ascii="Arial" w:hAnsi="Arial" w:cs="Arial"/>
          <w:sz w:val="22"/>
          <w:szCs w:val="22"/>
        </w:rPr>
      </w:pPr>
    </w:p>
    <w:p w:rsidR="00071F0C" w:rsidRDefault="00071F0C">
      <w:pPr>
        <w:spacing w:after="160" w:line="259" w:lineRule="auto"/>
      </w:pPr>
      <w:r>
        <w:br w:type="page"/>
      </w:r>
    </w:p>
    <w:p w:rsidR="00071F0C" w:rsidRPr="00313083" w:rsidRDefault="00071F0C" w:rsidP="00071F0C">
      <w:pPr>
        <w:spacing w:line="480" w:lineRule="auto"/>
        <w:rPr>
          <w:rFonts w:ascii="Arial" w:hAnsi="Arial" w:cs="Arial"/>
          <w:sz w:val="22"/>
          <w:szCs w:val="22"/>
        </w:rPr>
      </w:pPr>
      <w:r w:rsidRPr="00313083">
        <w:rPr>
          <w:rFonts w:ascii="Arial" w:hAnsi="Arial" w:cs="Arial"/>
          <w:sz w:val="22"/>
          <w:szCs w:val="22"/>
        </w:rPr>
        <w:lastRenderedPageBreak/>
        <w:t xml:space="preserve">Supplemental table 1. Demographic characteristics of patients with </w:t>
      </w:r>
      <w:r w:rsidRPr="00313083">
        <w:rPr>
          <w:rFonts w:ascii="Arial" w:hAnsi="Arial" w:cs="Arial"/>
          <w:i/>
          <w:sz w:val="22"/>
          <w:szCs w:val="22"/>
        </w:rPr>
        <w:t>E. coli</w:t>
      </w:r>
      <w:r w:rsidRPr="0031308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bacteriuria </w:t>
      </w:r>
      <w:r w:rsidRPr="00313083">
        <w:rPr>
          <w:rFonts w:ascii="Arial" w:hAnsi="Arial" w:cs="Arial"/>
          <w:sz w:val="22"/>
          <w:szCs w:val="22"/>
        </w:rPr>
        <w:t>episodes in public outpatient, inpatient, and skilled nursing facility services, San Francisco, 2014-2020</w:t>
      </w:r>
    </w:p>
    <w:tbl>
      <w:tblPr>
        <w:tblW w:w="9985" w:type="dxa"/>
        <w:tblInd w:w="-270" w:type="dxa"/>
        <w:tblLayout w:type="fixed"/>
        <w:tblLook w:val="04A0" w:firstRow="1" w:lastRow="0" w:firstColumn="1" w:lastColumn="0" w:noHBand="0" w:noVBand="1"/>
      </w:tblPr>
      <w:tblGrid>
        <w:gridCol w:w="2785"/>
        <w:gridCol w:w="1530"/>
        <w:gridCol w:w="236"/>
        <w:gridCol w:w="1654"/>
        <w:gridCol w:w="236"/>
        <w:gridCol w:w="1654"/>
        <w:gridCol w:w="237"/>
        <w:gridCol w:w="1653"/>
      </w:tblGrid>
      <w:tr w:rsidR="00071F0C" w:rsidRPr="00313083" w:rsidTr="009D6500">
        <w:trPr>
          <w:trHeight w:val="320"/>
        </w:trPr>
        <w:tc>
          <w:tcPr>
            <w:tcW w:w="2785" w:type="dxa"/>
            <w:tcBorders>
              <w:top w:val="single" w:sz="4" w:space="0" w:color="auto"/>
            </w:tcBorders>
            <w:noWrap/>
            <w:vAlign w:val="center"/>
          </w:tcPr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0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Number of patients, N (%)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Outpatient</w:t>
            </w:r>
          </w:p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N= 4844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Inpatient</w:t>
            </w:r>
          </w:p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 = 1183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Skilled nursing facility</w:t>
            </w:r>
          </w:p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 = 264</w:t>
            </w:r>
          </w:p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All facilities</w:t>
            </w:r>
          </w:p>
          <w:p w:rsidR="00071F0C" w:rsidRPr="00313083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N= 6291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Age category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(years)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0-17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306 (6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28 (2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334 (5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18-34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1489 (31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179 (15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 (3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1677 (27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35-64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2185 (45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501 (42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100 (38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2786 (44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65+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864 (18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475 (40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155 (59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1494 (24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sz w:val="22"/>
                <w:szCs w:val="22"/>
              </w:rPr>
              <w:t>Female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4282 (88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892 (75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146 (55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5320 (85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560 (12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289 (24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118 (45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967 (15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 (&lt;1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 (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&lt;1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 (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&lt;1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Race/Ethnicity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Asian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924 (19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259 (22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48 (18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1231 (20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Black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656 (13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171 (14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69 (26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896 (14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Latinx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2083 (43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370 (31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41 (15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2494 (40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343 (7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94 (8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15 (6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452 (7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Unknown/Declined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71 (1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25 (2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 (&lt;1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97 (1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White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767 (16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264 (22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90 (34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1121 (18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Preferred language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sz w:val="22"/>
                <w:szCs w:val="22"/>
              </w:rPr>
            </w:pPr>
            <w:r w:rsidRPr="00A32329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Chinese dialect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363 (8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113 (10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29 (11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505 (8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lastRenderedPageBreak/>
              <w:t>English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2728 (56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740 (63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196 (74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3664 (58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Other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199 (4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48 (4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 (3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256 (4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20"/>
        </w:trPr>
        <w:tc>
          <w:tcPr>
            <w:tcW w:w="2785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Spanish</w:t>
            </w:r>
          </w:p>
        </w:tc>
        <w:tc>
          <w:tcPr>
            <w:tcW w:w="1530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1497 (31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244 (21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27 (10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1768 (28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  <w:tr w:rsidR="00071F0C" w:rsidRPr="00313083" w:rsidTr="009D6500">
        <w:trPr>
          <w:trHeight w:val="350"/>
        </w:trPr>
        <w:tc>
          <w:tcPr>
            <w:tcW w:w="2785" w:type="dxa"/>
            <w:tcBorders>
              <w:bottom w:val="single" w:sz="4" w:space="0" w:color="auto"/>
            </w:tcBorders>
            <w:noWrap/>
            <w:hideMark/>
          </w:tcPr>
          <w:p w:rsidR="00071F0C" w:rsidRPr="00313083" w:rsidRDefault="00071F0C" w:rsidP="009D6500">
            <w:pPr>
              <w:spacing w:line="480" w:lineRule="auto"/>
              <w:ind w:left="342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Unknown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57 (1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tcBorders>
              <w:bottom w:val="single" w:sz="4" w:space="0" w:color="auto"/>
            </w:tcBorders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38 (3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4" w:type="dxa"/>
            <w:tcBorders>
              <w:bottom w:val="single" w:sz="4" w:space="0" w:color="auto"/>
            </w:tcBorders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3 (1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653" w:type="dxa"/>
            <w:tcBorders>
              <w:bottom w:val="single" w:sz="4" w:space="0" w:color="auto"/>
            </w:tcBorders>
            <w:noWrap/>
            <w:hideMark/>
          </w:tcPr>
          <w:p w:rsidR="00071F0C" w:rsidRPr="00313083" w:rsidRDefault="00071F0C" w:rsidP="009D6500">
            <w:pPr>
              <w:spacing w:line="480" w:lineRule="auto"/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98 (2</w:t>
            </w:r>
            <w:r w:rsidRPr="0031308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)</w:t>
            </w:r>
          </w:p>
        </w:tc>
      </w:tr>
    </w:tbl>
    <w:p w:rsidR="00071F0C" w:rsidRPr="00313083" w:rsidRDefault="00071F0C" w:rsidP="00071F0C">
      <w:pPr>
        <w:spacing w:line="480" w:lineRule="auto"/>
        <w:rPr>
          <w:rFonts w:ascii="Arial" w:hAnsi="Arial" w:cs="Arial"/>
          <w:sz w:val="22"/>
          <w:szCs w:val="22"/>
        </w:rPr>
      </w:pPr>
      <w:r w:rsidRPr="00313083">
        <w:rPr>
          <w:rFonts w:ascii="Arial" w:hAnsi="Arial" w:cs="Arial"/>
          <w:sz w:val="22"/>
          <w:szCs w:val="22"/>
        </w:rPr>
        <w:t>Note: Data from a public healthcare system including inpatient and outpatient services and a skilled nursing facility</w:t>
      </w:r>
      <w:r>
        <w:rPr>
          <w:rFonts w:ascii="Arial" w:hAnsi="Arial" w:cs="Arial"/>
          <w:sz w:val="22"/>
          <w:szCs w:val="22"/>
        </w:rPr>
        <w:t>.</w:t>
      </w:r>
    </w:p>
    <w:p w:rsidR="00071F0C" w:rsidRPr="00313083" w:rsidRDefault="00071F0C" w:rsidP="00071F0C">
      <w:pPr>
        <w:spacing w:line="480" w:lineRule="auto"/>
        <w:rPr>
          <w:rFonts w:ascii="Arial" w:hAnsi="Arial" w:cs="Arial"/>
          <w:sz w:val="22"/>
          <w:szCs w:val="22"/>
        </w:rPr>
      </w:pPr>
    </w:p>
    <w:p w:rsidR="00071F0C" w:rsidRDefault="00071F0C" w:rsidP="00071F0C">
      <w:pPr>
        <w:spacing w:line="480" w:lineRule="auto"/>
        <w:rPr>
          <w:rFonts w:ascii="Arial" w:hAnsi="Arial" w:cs="Arial"/>
          <w:sz w:val="22"/>
          <w:szCs w:val="22"/>
        </w:rPr>
        <w:sectPr w:rsidR="00071F0C" w:rsidSect="003572A1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071F0C" w:rsidRPr="00313083" w:rsidRDefault="00071F0C" w:rsidP="00071F0C">
      <w:pPr>
        <w:spacing w:line="480" w:lineRule="auto"/>
        <w:rPr>
          <w:rFonts w:ascii="Arial" w:hAnsi="Arial" w:cs="Arial"/>
          <w:sz w:val="22"/>
          <w:szCs w:val="22"/>
        </w:rPr>
      </w:pPr>
      <w:r w:rsidRPr="00313083">
        <w:rPr>
          <w:rFonts w:ascii="Arial" w:hAnsi="Arial" w:cs="Arial"/>
          <w:sz w:val="22"/>
          <w:szCs w:val="22"/>
        </w:rPr>
        <w:lastRenderedPageBreak/>
        <w:t xml:space="preserve">Supplemental table </w:t>
      </w:r>
      <w:r>
        <w:rPr>
          <w:rFonts w:ascii="Arial" w:hAnsi="Arial" w:cs="Arial"/>
          <w:sz w:val="22"/>
          <w:szCs w:val="22"/>
        </w:rPr>
        <w:t>2</w:t>
      </w:r>
      <w:r w:rsidRPr="00313083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Annual percentage point c</w:t>
      </w:r>
      <w:r w:rsidRPr="00EA674C">
        <w:rPr>
          <w:rFonts w:ascii="Arial" w:hAnsi="Arial" w:cs="Arial"/>
          <w:sz w:val="22"/>
          <w:szCs w:val="22"/>
        </w:rPr>
        <w:t>hange</w:t>
      </w:r>
      <w:r>
        <w:rPr>
          <w:rFonts w:ascii="Arial" w:hAnsi="Arial" w:cs="Arial"/>
          <w:sz w:val="22"/>
          <w:szCs w:val="22"/>
        </w:rPr>
        <w:t>s</w:t>
      </w:r>
      <w:r w:rsidRPr="00EA674C">
        <w:rPr>
          <w:rFonts w:ascii="Arial" w:hAnsi="Arial" w:cs="Arial"/>
          <w:sz w:val="22"/>
          <w:szCs w:val="22"/>
        </w:rPr>
        <w:t xml:space="preserve"> in </w:t>
      </w:r>
      <w:r>
        <w:rPr>
          <w:rFonts w:ascii="Arial" w:hAnsi="Arial" w:cs="Arial"/>
          <w:sz w:val="22"/>
          <w:szCs w:val="22"/>
        </w:rPr>
        <w:t>prevalence of</w:t>
      </w:r>
      <w:r w:rsidRPr="00EA674C">
        <w:rPr>
          <w:rFonts w:ascii="Arial" w:hAnsi="Arial" w:cs="Arial"/>
          <w:sz w:val="22"/>
          <w:szCs w:val="22"/>
        </w:rPr>
        <w:t xml:space="preserve"> antimicrobial resistant </w:t>
      </w:r>
      <w:r w:rsidRPr="00EA674C">
        <w:rPr>
          <w:rFonts w:ascii="Arial" w:hAnsi="Arial" w:cs="Arial"/>
          <w:i/>
          <w:sz w:val="22"/>
          <w:szCs w:val="22"/>
        </w:rPr>
        <w:t xml:space="preserve">E. coli </w:t>
      </w:r>
      <w:r>
        <w:rPr>
          <w:rFonts w:ascii="Arial" w:hAnsi="Arial" w:cs="Arial"/>
          <w:sz w:val="22"/>
          <w:szCs w:val="22"/>
        </w:rPr>
        <w:t>among isolates from bacteriuria episodes</w:t>
      </w:r>
      <w:r w:rsidRPr="00EA674C">
        <w:rPr>
          <w:rFonts w:ascii="Arial" w:hAnsi="Arial" w:cs="Arial"/>
          <w:sz w:val="22"/>
          <w:szCs w:val="22"/>
        </w:rPr>
        <w:t>, 2014-2020</w:t>
      </w:r>
    </w:p>
    <w:tbl>
      <w:tblPr>
        <w:tblW w:w="13200" w:type="dxa"/>
        <w:tblLayout w:type="fixed"/>
        <w:tblLook w:val="04A0" w:firstRow="1" w:lastRow="0" w:firstColumn="1" w:lastColumn="0" w:noHBand="0" w:noVBand="1"/>
      </w:tblPr>
      <w:tblGrid>
        <w:gridCol w:w="2340"/>
        <w:gridCol w:w="1710"/>
        <w:gridCol w:w="1800"/>
        <w:gridCol w:w="1800"/>
        <w:gridCol w:w="1800"/>
        <w:gridCol w:w="1800"/>
        <w:gridCol w:w="1848"/>
        <w:gridCol w:w="102"/>
      </w:tblGrid>
      <w:tr w:rsidR="00071F0C" w:rsidRPr="009234F6" w:rsidTr="009D6500">
        <w:trPr>
          <w:gridAfter w:val="1"/>
          <w:wAfter w:w="102" w:type="dxa"/>
          <w:trHeight w:val="340"/>
        </w:trPr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071F0C" w:rsidRPr="00156004" w:rsidRDefault="00071F0C" w:rsidP="009D6500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5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71F0C" w:rsidRPr="007B5FF1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fr-FR"/>
              </w:rPr>
            </w:pPr>
            <w:r w:rsidRPr="0088551B">
              <w:rPr>
                <w:rFonts w:ascii="Arial" w:eastAsia="Times New Roman" w:hAnsi="Arial" w:cs="Arial"/>
                <w:color w:val="000000"/>
                <w:sz w:val="20"/>
                <w:szCs w:val="20"/>
                <w:lang w:val="fr-FR"/>
              </w:rPr>
              <w:t>Annual percent point change</w:t>
            </w:r>
            <w:r w:rsidRPr="007B5FF1">
              <w:rPr>
                <w:rFonts w:ascii="Arial" w:eastAsia="Times New Roman" w:hAnsi="Arial" w:cs="Arial"/>
                <w:color w:val="000000"/>
                <w:sz w:val="20"/>
                <w:szCs w:val="20"/>
                <w:lang w:val="fr-FR"/>
              </w:rPr>
              <w:t xml:space="preserve"> (95% CI)</w:t>
            </w:r>
          </w:p>
        </w:tc>
      </w:tr>
      <w:tr w:rsidR="00071F0C" w:rsidRPr="00156004" w:rsidTr="009D6500">
        <w:trPr>
          <w:trHeight w:val="340"/>
        </w:trPr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7B5FF1" w:rsidRDefault="00071F0C" w:rsidP="009D6500">
            <w:pPr>
              <w:spacing w:line="48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1F0C" w:rsidRPr="00156004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NIT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1F0C" w:rsidRPr="00156004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T/S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1F0C" w:rsidRPr="00156004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CIP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1F0C" w:rsidRPr="00156004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ESBL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1F0C" w:rsidRPr="00156004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Any AMR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1F0C" w:rsidRPr="00156004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MDR</w:t>
            </w:r>
          </w:p>
        </w:tc>
      </w:tr>
      <w:tr w:rsidR="00071F0C" w:rsidRPr="00156004" w:rsidTr="009D6500">
        <w:trPr>
          <w:trHeight w:val="386"/>
        </w:trPr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Outpatient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0.36 (0.17, 0.55)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0.58 (-0.04, 1.20)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 (-0.51, 0.53)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1.03 (0.67, 1.40)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 (</w:t>
            </w:r>
            <w:r w:rsidRPr="002E7D5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0.36, 1.62</w:t>
            </w: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 (</w:t>
            </w:r>
            <w:r w:rsidRPr="002E7D5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-0.37, 0.61</w:t>
            </w: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156004" w:rsidTr="009D6500">
        <w:trPr>
          <w:trHeight w:val="252"/>
        </w:trPr>
        <w:tc>
          <w:tcPr>
            <w:tcW w:w="2340" w:type="dxa"/>
            <w:shd w:val="clear" w:color="auto" w:fill="auto"/>
            <w:vAlign w:val="bottom"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Inpatient</w:t>
            </w:r>
          </w:p>
        </w:tc>
        <w:tc>
          <w:tcPr>
            <w:tcW w:w="1710" w:type="dxa"/>
            <w:shd w:val="clear" w:color="auto" w:fill="auto"/>
            <w:vAlign w:val="bottom"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0.59 (0.06, 1.13)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 (-0.44, 2.42)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0.33 (-0.99, 1.65)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1.05 (-0.07, 2.16)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0.47 (</w:t>
            </w:r>
            <w:r w:rsidRPr="002E7D5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-0.92, 1.86</w:t>
            </w: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50" w:type="dxa"/>
            <w:gridSpan w:val="2"/>
            <w:shd w:val="clear" w:color="auto" w:fill="auto"/>
            <w:vAlign w:val="bottom"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0.59 (</w:t>
            </w:r>
            <w:r w:rsidRPr="002E7D5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-0.67, 1.85</w:t>
            </w: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156004" w:rsidTr="009D6500">
        <w:trPr>
          <w:trHeight w:val="252"/>
        </w:trPr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Skilled nursing facility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3.64 (0.98, 6.30)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0.91 (-1.36, 3.17)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0.58 (-1.75, 2.90)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3.51 (1.50, 5.52)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0.93 (</w:t>
            </w:r>
            <w:r w:rsidRPr="002E7D5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-1.16, 3.03</w:t>
            </w: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50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071F0C" w:rsidRPr="00156004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1.36 (</w:t>
            </w:r>
            <w:r w:rsidRPr="002E7D5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-0.81, 3.52</w:t>
            </w:r>
            <w:r w:rsidRPr="0015600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</w:tbl>
    <w:p w:rsidR="00071F0C" w:rsidRDefault="00071F0C" w:rsidP="00071F0C">
      <w:pPr>
        <w:spacing w:line="480" w:lineRule="auto"/>
        <w:rPr>
          <w:rFonts w:ascii="Arial" w:hAnsi="Arial" w:cs="Arial"/>
          <w:sz w:val="22"/>
          <w:szCs w:val="22"/>
        </w:rPr>
        <w:sectPr w:rsidR="00071F0C" w:rsidSect="003572A1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7457CA">
        <w:rPr>
          <w:rFonts w:ascii="Arial" w:hAnsi="Arial" w:cs="Arial"/>
          <w:sz w:val="22"/>
          <w:szCs w:val="22"/>
        </w:rPr>
        <w:t>Note: Data from a public healthcare sy</w:t>
      </w:r>
      <w:r>
        <w:rPr>
          <w:rFonts w:ascii="Arial" w:hAnsi="Arial" w:cs="Arial"/>
          <w:sz w:val="22"/>
          <w:szCs w:val="22"/>
        </w:rPr>
        <w:t xml:space="preserve">stem; NIT: nitrofurantoin, T/S: </w:t>
      </w:r>
      <w:r w:rsidRPr="007457CA">
        <w:rPr>
          <w:rFonts w:ascii="Arial" w:hAnsi="Arial" w:cs="Arial"/>
          <w:sz w:val="22"/>
          <w:szCs w:val="22"/>
        </w:rPr>
        <w:t>trimethoprim/sulfamethoxazole, CIP: ciprofloxacin, ESBL: extended-spectrum beta-lactamase, AMR: antimicrobial resistance, MDR: multidrug resistance. L</w:t>
      </w:r>
      <w:r>
        <w:rPr>
          <w:rFonts w:ascii="Arial" w:hAnsi="Arial" w:cs="Arial"/>
          <w:sz w:val="22"/>
          <w:szCs w:val="22"/>
        </w:rPr>
        <w:t>ogistic</w:t>
      </w:r>
      <w:r w:rsidRPr="007457CA">
        <w:rPr>
          <w:rFonts w:ascii="Arial" w:hAnsi="Arial" w:cs="Arial"/>
          <w:sz w:val="22"/>
          <w:szCs w:val="22"/>
        </w:rPr>
        <w:t xml:space="preserve"> regression are univariate analyses including </w:t>
      </w:r>
      <w:r>
        <w:rPr>
          <w:rFonts w:ascii="Arial" w:hAnsi="Arial" w:cs="Arial"/>
          <w:sz w:val="22"/>
          <w:szCs w:val="22"/>
        </w:rPr>
        <w:t>presence or absence of</w:t>
      </w:r>
      <w:r w:rsidRPr="007457CA">
        <w:rPr>
          <w:rFonts w:ascii="Arial" w:hAnsi="Arial" w:cs="Arial"/>
          <w:sz w:val="22"/>
          <w:szCs w:val="22"/>
        </w:rPr>
        <w:t xml:space="preserve"> antimicrobial resistance to antibiotic and year</w:t>
      </w:r>
      <w:r>
        <w:rPr>
          <w:rFonts w:ascii="Arial" w:hAnsi="Arial" w:cs="Arial"/>
          <w:sz w:val="22"/>
          <w:szCs w:val="22"/>
        </w:rPr>
        <w:t xml:space="preserve"> from baseline</w:t>
      </w:r>
      <w:r w:rsidRPr="007457CA">
        <w:rPr>
          <w:rFonts w:ascii="Arial" w:hAnsi="Arial" w:cs="Arial"/>
          <w:sz w:val="22"/>
          <w:szCs w:val="22"/>
        </w:rPr>
        <w:t>.</w:t>
      </w:r>
    </w:p>
    <w:p w:rsidR="00071F0C" w:rsidRPr="00313083" w:rsidRDefault="00071F0C" w:rsidP="00071F0C">
      <w:p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Supplemental table 3</w:t>
      </w:r>
      <w:r w:rsidRPr="00CF1F4D">
        <w:rPr>
          <w:rFonts w:ascii="Arial" w:hAnsi="Arial" w:cs="Arial"/>
          <w:sz w:val="22"/>
          <w:szCs w:val="22"/>
        </w:rPr>
        <w:t>. Associat</w:t>
      </w:r>
      <w:r>
        <w:rPr>
          <w:rFonts w:ascii="Arial" w:hAnsi="Arial" w:cs="Arial"/>
          <w:sz w:val="22"/>
          <w:szCs w:val="22"/>
        </w:rPr>
        <w:t>ion between patient demographic characteristics</w:t>
      </w:r>
      <w:r w:rsidRPr="00CF1F4D">
        <w:rPr>
          <w:rFonts w:ascii="Arial" w:hAnsi="Arial" w:cs="Arial"/>
          <w:sz w:val="22"/>
          <w:szCs w:val="22"/>
        </w:rPr>
        <w:t xml:space="preserve"> and antimicrobial resistant </w:t>
      </w:r>
      <w:r w:rsidRPr="00CF1F4D">
        <w:rPr>
          <w:rFonts w:ascii="Arial" w:hAnsi="Arial" w:cs="Arial"/>
          <w:i/>
          <w:sz w:val="22"/>
          <w:szCs w:val="22"/>
        </w:rPr>
        <w:t>E. coli</w:t>
      </w:r>
      <w:r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bacteriuria episodes, univariate analyses</w:t>
      </w:r>
    </w:p>
    <w:tbl>
      <w:tblPr>
        <w:tblW w:w="13045" w:type="dxa"/>
        <w:tblInd w:w="-630" w:type="dxa"/>
        <w:tblLayout w:type="fixed"/>
        <w:tblLook w:val="04A0" w:firstRow="1" w:lastRow="0" w:firstColumn="1" w:lastColumn="0" w:noHBand="0" w:noVBand="1"/>
      </w:tblPr>
      <w:tblGrid>
        <w:gridCol w:w="2880"/>
        <w:gridCol w:w="1890"/>
        <w:gridCol w:w="2124"/>
        <w:gridCol w:w="2070"/>
        <w:gridCol w:w="2070"/>
        <w:gridCol w:w="2011"/>
      </w:tblGrid>
      <w:tr w:rsidR="00071F0C" w:rsidRPr="002F72F8" w:rsidTr="009D6500">
        <w:trPr>
          <w:trHeight w:val="32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6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RR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(95% CI)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NIT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T/S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CIP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Any AMR</w:t>
            </w: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MDR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Community-onset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60"/>
        </w:trPr>
        <w:tc>
          <w:tcPr>
            <w:tcW w:w="288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 category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(years)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0-17 (reference)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18-34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E44BB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0.41, 4.65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035B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0.81, 1.17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4D17E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0.95, 1.94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0.97 (0.84, 1.12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0.83 (0.62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1.11)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35-64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2.50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E44BB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0.78, 7.95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1.08 (0.90, 1.29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4D17E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1.64, 3.28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1.08 (0.94, 1.24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1.21 (0.92, 1.59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65+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E44BB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0.89, 9.34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1.04 (0.87, 1.26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94206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2.70, 5.39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1.13 (0.98, 1.30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1.57 (1.19, 2.0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Female (reference)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2.41 (1.62, 3.58)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1.29 (</w:t>
            </w:r>
            <w:r w:rsidRPr="00035B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1.16, 1.43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1.62 (</w:t>
            </w:r>
            <w:r w:rsidRPr="0094206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1.42, 1.84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1.12 (1.03, 1.21)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1.60 (1.39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Race/ethnicity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297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0.41 (0.21, 0.79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0.80 (0.70, 0.92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1.06 (0.89, 1.26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0.98 (0.88, 1.08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0.97 (0.81, 1.18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32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0.76 (0.42, 1.39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0.77 (0.67, 0.90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1.02 (0.85, 1.24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0.93 (0.84, 1.04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0.80 (0.64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Latinx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0.76 (0.48, 1.19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.09 (0.98, 1.2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1.08 (0.93, 1.26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1.09 (1.00, 1.19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1.11 (0.95, 1.30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0.81 (0.39, 1.66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0.90 (0.75, 1.07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 (0.79, 1.25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1.03 (0.91, 1.17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1.07 (0.84, 1.36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White (reference)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3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sz w:val="20"/>
                <w:szCs w:val="20"/>
              </w:rPr>
              <w:t>Preferred language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3232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Chinese dialect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.57 (0.25, 1.32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0.84 (0.71, 0.99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1.16 (0.96, 1.40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1.00 (0.89, 1.12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1.07 (0.87, 1.33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English (reference)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1.25 (0.58, 2.72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(0.69, 1.07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1.05 (0.81, 1.37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0.98 (0.84, 1.15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1.11 (0.84, 1.47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Spanish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0.80 (0.54, 1.20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1.27 (1.17, 1.38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1.18 (1.06, 1.31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1.15 (1.08, 1.22)</w:t>
            </w:r>
          </w:p>
        </w:tc>
        <w:tc>
          <w:tcPr>
            <w:tcW w:w="20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1.31 (1.17, 1.48)</w:t>
            </w:r>
          </w:p>
        </w:tc>
      </w:tr>
      <w:tr w:rsidR="00071F0C" w:rsidRPr="002F72F8" w:rsidTr="009D6500">
        <w:trPr>
          <w:trHeight w:val="539"/>
        </w:trPr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Healthcare-onset/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associated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0-17 (reference)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18-34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8002D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0.40, 1.89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1.24 (0.29, 5.24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1.25 (0.61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.70 (0.21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2.33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35-64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8002D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0.43, 1.92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2.84 (0.71, 11.41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1.23 (0.61, 2.47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1.62 (0.52, 5.06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65+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8002D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0.31, 1.41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2.63 (0.65, 10.59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1.08 (0.54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2.18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.28 (0.41, 4.02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89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Female (reference)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8002D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0.97, 1.38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1.43 (1.20, 1.71)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98, 1.28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1.36 (1.11, 1.66)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Race/ethnicity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Asian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118" w:hanging="118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.7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</w:t>
            </w:r>
            <w:r w:rsidRPr="008002D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0.59, 1.04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0.70 (0.52, 0.94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0.88 (0.71, 1.08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0.70 (0.50, 0.98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1890" w:type="dxa"/>
            <w:shd w:val="clear" w:color="auto" w:fill="auto"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8002D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0.79, 1.32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1.07 (0.83, 1.3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1.09 (0.89, 1.32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0.95 (0.70, 1.28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Latinx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1.20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8002D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0.97, 1.50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 (0.79, 1.25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1.16 (</w:t>
            </w:r>
            <w:r w:rsidRPr="00731A7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0.98, 1.38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1.21 (0.95, 1.56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(0.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77, 1.59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(0.64, 1.38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1.04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731A7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0.78, 1.39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0.95 (0.61, 1.47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White (reference)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sz w:val="20"/>
                <w:szCs w:val="20"/>
              </w:rPr>
              <w:t>Preferred language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3232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Chinese dialect</w:t>
            </w:r>
          </w:p>
        </w:tc>
        <w:tc>
          <w:tcPr>
            <w:tcW w:w="1890" w:type="dxa"/>
            <w:shd w:val="clear" w:color="auto" w:fill="auto"/>
            <w:vAlign w:val="bottom"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600D2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0.48, 0.98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0.76 (0.54, 1.09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0.85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731A7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0.66, 1.1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0.65 (0.42, 0.98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41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English (reference)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071F0C" w:rsidRPr="002F72F8" w:rsidTr="009D6500">
        <w:trPr>
          <w:trHeight w:val="35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0.83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600D2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0.51, 1.35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(0.63, 1.58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731A7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0.68, 1.37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1.04 (0.63, 1.72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  <w:tr w:rsidR="00071F0C" w:rsidRPr="002F72F8" w:rsidTr="009D6500">
        <w:trPr>
          <w:trHeight w:val="320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ind w:left="253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Spanish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1.23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600D2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0.99, 1.51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1.08 (0.86, 1.35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1.13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</w:t>
            </w:r>
            <w:r w:rsidRPr="00731A7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0.96, 1.33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201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1F0C" w:rsidRPr="002F72F8" w:rsidRDefault="00071F0C" w:rsidP="009D6500">
            <w:pPr>
              <w:spacing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1.10 (0.86, 1.41</w:t>
            </w:r>
            <w:r w:rsidRPr="002F72F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</w:tr>
    </w:tbl>
    <w:p w:rsidR="00071F0C" w:rsidRPr="000678BD" w:rsidRDefault="00071F0C" w:rsidP="00071F0C">
      <w:pPr>
        <w:spacing w:line="480" w:lineRule="auto"/>
        <w:rPr>
          <w:rFonts w:ascii="Arial" w:hAnsi="Arial" w:cs="Arial"/>
          <w:sz w:val="22"/>
          <w:szCs w:val="22"/>
        </w:rPr>
      </w:pPr>
      <w:r w:rsidRPr="000678BD">
        <w:rPr>
          <w:rFonts w:ascii="Arial" w:hAnsi="Arial" w:cs="Arial"/>
          <w:sz w:val="22"/>
          <w:szCs w:val="22"/>
        </w:rPr>
        <w:t xml:space="preserve">Note: Univariate logistic regressions including all variables presented above. Data from a public healthcare system; </w:t>
      </w:r>
      <w:r>
        <w:rPr>
          <w:rFonts w:ascii="Arial" w:hAnsi="Arial" w:cs="Arial"/>
          <w:sz w:val="22"/>
          <w:szCs w:val="22"/>
        </w:rPr>
        <w:t xml:space="preserve">RR: risk ratio, </w:t>
      </w:r>
      <w:r w:rsidRPr="000678BD">
        <w:rPr>
          <w:rFonts w:ascii="Arial" w:hAnsi="Arial" w:cs="Arial"/>
          <w:sz w:val="22"/>
          <w:szCs w:val="22"/>
        </w:rPr>
        <w:t xml:space="preserve">NIT: nitrofurantoin, T/S: trimethoprim/sulfamethoxazole, CIP: ciprofloxacin, ESBL: extended-spectrum beta-lactamase, AMR: antimicrobial resistance, MDR: multidrug resistance. NIT, T/S, and CIP not tested in all ESBL-producing </w:t>
      </w:r>
      <w:r w:rsidRPr="000678BD">
        <w:rPr>
          <w:rFonts w:ascii="Arial" w:hAnsi="Arial" w:cs="Arial"/>
          <w:i/>
          <w:sz w:val="22"/>
          <w:szCs w:val="22"/>
        </w:rPr>
        <w:t>E. coli</w:t>
      </w:r>
      <w:r w:rsidRPr="000678BD">
        <w:rPr>
          <w:rFonts w:ascii="Arial" w:hAnsi="Arial" w:cs="Arial"/>
          <w:sz w:val="22"/>
          <w:szCs w:val="22"/>
        </w:rPr>
        <w:t xml:space="preserve"> isola</w:t>
      </w:r>
      <w:r>
        <w:rPr>
          <w:rFonts w:ascii="Arial" w:hAnsi="Arial" w:cs="Arial"/>
          <w:sz w:val="22"/>
          <w:szCs w:val="22"/>
        </w:rPr>
        <w:t>tes.</w:t>
      </w:r>
    </w:p>
    <w:p w:rsidR="00071F0C" w:rsidRDefault="00071F0C" w:rsidP="00071F0C">
      <w:pPr>
        <w:spacing w:line="480" w:lineRule="auto"/>
        <w:rPr>
          <w:rFonts w:ascii="Arial" w:hAnsi="Arial" w:cs="Arial"/>
        </w:rPr>
      </w:pPr>
    </w:p>
    <w:p w:rsidR="00071F0C" w:rsidRDefault="00071F0C" w:rsidP="00071F0C">
      <w:pPr>
        <w:spacing w:line="480" w:lineRule="auto"/>
        <w:rPr>
          <w:rFonts w:ascii="Arial" w:hAnsi="Arial" w:cs="Arial"/>
        </w:rPr>
      </w:pPr>
    </w:p>
    <w:p w:rsidR="00F4526F" w:rsidRDefault="00F4526F">
      <w:bookmarkStart w:id="0" w:name="_GoBack"/>
      <w:bookmarkEnd w:id="0"/>
    </w:p>
    <w:sectPr w:rsidR="00F4526F" w:rsidSect="00071F0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F0C"/>
    <w:rsid w:val="00071F0C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07AC08-D983-425D-A837-D8492507C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1F0C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71F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2F8E2-55DA-4B85-ADD3-42B77D219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934</Words>
  <Characters>5327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6249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2021-01-20T06:21:00Z</dcterms:created>
  <dcterms:modified xsi:type="dcterms:W3CDTF">2021-01-20T06:23:00Z</dcterms:modified>
</cp:coreProperties>
</file>