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C155" w14:textId="7313B08F" w:rsidR="00A73935" w:rsidRDefault="00041989" w:rsidP="00BA126A">
      <w:pPr>
        <w:rPr>
          <w:b/>
          <w:bCs/>
          <w:sz w:val="24"/>
        </w:rPr>
      </w:pPr>
      <w:r>
        <w:rPr>
          <w:b/>
          <w:bCs/>
          <w:sz w:val="24"/>
        </w:rPr>
        <w:t>Supplementary i</w:t>
      </w:r>
      <w:r w:rsidR="00BA126A">
        <w:rPr>
          <w:b/>
          <w:bCs/>
          <w:sz w:val="24"/>
        </w:rPr>
        <w:t>nformation</w:t>
      </w:r>
    </w:p>
    <w:p w14:paraId="1BA9CDA5" w14:textId="23D203D9" w:rsidR="00BA126A" w:rsidRDefault="00AE146D" w:rsidP="00BA126A">
      <w:pPr>
        <w:rPr>
          <w:b/>
          <w:bCs/>
          <w:sz w:val="24"/>
        </w:rPr>
      </w:pPr>
      <w:r w:rsidRPr="00AE146D">
        <w:rPr>
          <w:b/>
          <w:bCs/>
          <w:sz w:val="24"/>
        </w:rPr>
        <w:t xml:space="preserve">Operando nanoscale </w:t>
      </w:r>
      <w:r w:rsidR="00087581">
        <w:rPr>
          <w:b/>
          <w:bCs/>
          <w:sz w:val="24"/>
        </w:rPr>
        <w:t>imaging</w:t>
      </w:r>
      <w:r w:rsidRPr="00AE146D">
        <w:rPr>
          <w:b/>
          <w:bCs/>
          <w:sz w:val="24"/>
        </w:rPr>
        <w:t xml:space="preserve"> reveals Fe doping of Ni oxide enhancing oxygen evolution reaction via fragmentation and formation of dual active sites</w:t>
      </w:r>
    </w:p>
    <w:p w14:paraId="122768BA" w14:textId="77777777" w:rsidR="0028740A" w:rsidRPr="0002689A"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rPr>
      </w:pPr>
      <w:r w:rsidRPr="0002689A">
        <w:rPr>
          <w:rFonts w:asciiTheme="minorHAnsi" w:hAnsiTheme="minorHAnsi" w:cstheme="minorHAnsi"/>
          <w:b w:val="0"/>
          <w:sz w:val="22"/>
          <w:szCs w:val="24"/>
        </w:rPr>
        <w:t>Yunchang Liang,</w:t>
      </w:r>
      <w:r w:rsidRPr="0002689A">
        <w:rPr>
          <w:rFonts w:asciiTheme="minorHAnsi" w:hAnsiTheme="minorHAnsi" w:cstheme="minorHAnsi"/>
          <w:b w:val="0"/>
          <w:sz w:val="22"/>
          <w:szCs w:val="24"/>
          <w:vertAlign w:val="superscript"/>
        </w:rPr>
        <w:t>1,2</w:t>
      </w:r>
      <w:r w:rsidRPr="0002689A">
        <w:rPr>
          <w:rFonts w:asciiTheme="minorHAnsi" w:hAnsiTheme="minorHAnsi" w:cstheme="minorHAnsi"/>
          <w:b w:val="0"/>
          <w:sz w:val="22"/>
          <w:szCs w:val="24"/>
        </w:rPr>
        <w:t xml:space="preserve"> Sofia O</w:t>
      </w:r>
      <w:r>
        <w:rPr>
          <w:rFonts w:asciiTheme="minorHAnsi" w:hAnsiTheme="minorHAnsi" w:cstheme="minorHAnsi"/>
          <w:b w:val="0"/>
          <w:sz w:val="22"/>
          <w:szCs w:val="24"/>
        </w:rPr>
        <w:t>.</w:t>
      </w:r>
      <w:r w:rsidRPr="0002689A">
        <w:rPr>
          <w:rFonts w:asciiTheme="minorHAnsi" w:hAnsiTheme="minorHAnsi" w:cstheme="minorHAnsi"/>
          <w:b w:val="0"/>
          <w:sz w:val="22"/>
          <w:szCs w:val="24"/>
        </w:rPr>
        <w:t xml:space="preserve"> Parreiras</w:t>
      </w:r>
      <w:r>
        <w:rPr>
          <w:rFonts w:asciiTheme="minorHAnsi" w:hAnsiTheme="minorHAnsi" w:cstheme="minorHAnsi"/>
          <w:b w:val="0"/>
          <w:sz w:val="22"/>
          <w:szCs w:val="24"/>
        </w:rPr>
        <w:t>,</w:t>
      </w:r>
      <w:r w:rsidRPr="0002689A">
        <w:rPr>
          <w:rFonts w:asciiTheme="minorHAnsi" w:hAnsiTheme="minorHAnsi" w:cstheme="minorHAnsi"/>
          <w:b w:val="0"/>
          <w:sz w:val="22"/>
          <w:szCs w:val="24"/>
          <w:vertAlign w:val="superscript"/>
        </w:rPr>
        <w:t>3</w:t>
      </w:r>
      <w:r>
        <w:rPr>
          <w:rFonts w:asciiTheme="minorHAnsi" w:hAnsiTheme="minorHAnsi" w:cstheme="minorHAnsi"/>
          <w:b w:val="0"/>
          <w:sz w:val="22"/>
          <w:szCs w:val="24"/>
        </w:rPr>
        <w:t xml:space="preserve"> </w:t>
      </w:r>
      <w:r w:rsidRPr="0002689A">
        <w:rPr>
          <w:rFonts w:asciiTheme="minorHAnsi" w:hAnsiTheme="minorHAnsi" w:cstheme="minorHAnsi"/>
          <w:b w:val="0"/>
          <w:sz w:val="22"/>
          <w:szCs w:val="24"/>
        </w:rPr>
        <w:t>Seunghwa Lee,</w:t>
      </w:r>
      <w:r w:rsidRPr="0002689A">
        <w:rPr>
          <w:rFonts w:asciiTheme="minorHAnsi" w:hAnsiTheme="minorHAnsi" w:cstheme="minorHAnsi"/>
          <w:b w:val="0"/>
          <w:sz w:val="22"/>
          <w:szCs w:val="24"/>
          <w:vertAlign w:val="superscript"/>
        </w:rPr>
        <w:t>4</w:t>
      </w:r>
      <w:r>
        <w:rPr>
          <w:rFonts w:asciiTheme="minorHAnsi" w:hAnsiTheme="minorHAnsi" w:cstheme="minorHAnsi"/>
          <w:b w:val="0"/>
          <w:sz w:val="22"/>
          <w:szCs w:val="24"/>
          <w:vertAlign w:val="superscript"/>
        </w:rPr>
        <w:t>,5</w:t>
      </w:r>
      <w:r w:rsidRPr="0002689A">
        <w:rPr>
          <w:rFonts w:asciiTheme="minorHAnsi" w:hAnsiTheme="minorHAnsi" w:cstheme="minorHAnsi"/>
          <w:b w:val="0"/>
          <w:sz w:val="22"/>
          <w:szCs w:val="24"/>
        </w:rPr>
        <w:t xml:space="preserve"> Karla Banjac,</w:t>
      </w:r>
      <w:r w:rsidRPr="0002689A">
        <w:rPr>
          <w:rFonts w:asciiTheme="minorHAnsi" w:hAnsiTheme="minorHAnsi" w:cstheme="minorHAnsi"/>
          <w:b w:val="0"/>
          <w:sz w:val="22"/>
          <w:szCs w:val="24"/>
          <w:vertAlign w:val="superscript"/>
        </w:rPr>
        <w:t>1,2</w:t>
      </w:r>
      <w:r w:rsidRPr="0002689A">
        <w:rPr>
          <w:rFonts w:asciiTheme="minorHAnsi" w:hAnsiTheme="minorHAnsi" w:cstheme="minorHAnsi"/>
          <w:b w:val="0"/>
          <w:sz w:val="22"/>
          <w:szCs w:val="24"/>
        </w:rPr>
        <w:t xml:space="preserve"> Victor Boureau</w:t>
      </w:r>
      <w:r>
        <w:rPr>
          <w:rFonts w:asciiTheme="minorHAnsi" w:hAnsiTheme="minorHAnsi" w:cstheme="minorHAnsi"/>
          <w:b w:val="0"/>
          <w:sz w:val="22"/>
          <w:szCs w:val="24"/>
        </w:rPr>
        <w:t>,</w:t>
      </w:r>
      <w:r>
        <w:rPr>
          <w:rFonts w:asciiTheme="minorHAnsi" w:hAnsiTheme="minorHAnsi" w:cstheme="minorHAnsi"/>
          <w:b w:val="0"/>
          <w:sz w:val="22"/>
          <w:szCs w:val="24"/>
          <w:vertAlign w:val="superscript"/>
        </w:rPr>
        <w:t>6</w:t>
      </w:r>
      <w:r w:rsidRPr="0002689A">
        <w:rPr>
          <w:rFonts w:asciiTheme="minorHAnsi" w:hAnsiTheme="minorHAnsi" w:cstheme="minorHAnsi"/>
          <w:b w:val="0"/>
          <w:sz w:val="22"/>
          <w:szCs w:val="24"/>
        </w:rPr>
        <w:t xml:space="preserve"> José María Gallego</w:t>
      </w:r>
      <w:r>
        <w:rPr>
          <w:rFonts w:asciiTheme="minorHAnsi" w:hAnsiTheme="minorHAnsi" w:cstheme="minorHAnsi"/>
          <w:b w:val="0"/>
          <w:sz w:val="22"/>
          <w:szCs w:val="24"/>
        </w:rPr>
        <w:t>,</w:t>
      </w:r>
      <w:r w:rsidRPr="0002689A">
        <w:rPr>
          <w:rFonts w:asciiTheme="minorHAnsi" w:hAnsiTheme="minorHAnsi" w:cstheme="minorHAnsi"/>
          <w:b w:val="0"/>
          <w:sz w:val="22"/>
          <w:szCs w:val="24"/>
          <w:vertAlign w:val="superscript"/>
        </w:rPr>
        <w:t>3</w:t>
      </w:r>
      <w:r>
        <w:rPr>
          <w:rFonts w:asciiTheme="minorHAnsi" w:hAnsiTheme="minorHAnsi" w:cstheme="minorHAnsi"/>
          <w:b w:val="0"/>
          <w:sz w:val="22"/>
          <w:szCs w:val="24"/>
          <w:vertAlign w:val="superscript"/>
        </w:rPr>
        <w:t>,7</w:t>
      </w:r>
      <w:r>
        <w:rPr>
          <w:rFonts w:asciiTheme="minorHAnsi" w:hAnsiTheme="minorHAnsi" w:cstheme="minorHAnsi"/>
          <w:b w:val="0"/>
          <w:sz w:val="22"/>
          <w:szCs w:val="24"/>
        </w:rPr>
        <w:t xml:space="preserve"> </w:t>
      </w:r>
      <w:r w:rsidRPr="0002689A">
        <w:rPr>
          <w:rFonts w:asciiTheme="minorHAnsi" w:hAnsiTheme="minorHAnsi" w:cstheme="minorHAnsi"/>
          <w:b w:val="0"/>
          <w:sz w:val="22"/>
          <w:szCs w:val="24"/>
        </w:rPr>
        <w:t>Xile Hu,</w:t>
      </w:r>
      <w:r>
        <w:rPr>
          <w:rFonts w:asciiTheme="minorHAnsi" w:hAnsiTheme="minorHAnsi" w:cstheme="minorHAnsi"/>
          <w:b w:val="0"/>
          <w:sz w:val="22"/>
          <w:szCs w:val="24"/>
          <w:vertAlign w:val="superscript"/>
        </w:rPr>
        <w:t>4</w:t>
      </w:r>
      <w:r w:rsidRPr="0002689A">
        <w:rPr>
          <w:rFonts w:asciiTheme="minorHAnsi" w:hAnsiTheme="minorHAnsi" w:cstheme="minorHAnsi"/>
          <w:b w:val="0"/>
          <w:sz w:val="22"/>
          <w:szCs w:val="24"/>
        </w:rPr>
        <w:t xml:space="preserve"> David Écija</w:t>
      </w:r>
      <w:r>
        <w:rPr>
          <w:rFonts w:asciiTheme="minorHAnsi" w:hAnsiTheme="minorHAnsi" w:cstheme="minorHAnsi"/>
          <w:b w:val="0"/>
          <w:sz w:val="22"/>
          <w:szCs w:val="24"/>
        </w:rPr>
        <w:t>,</w:t>
      </w:r>
      <w:r w:rsidRPr="0002689A">
        <w:rPr>
          <w:rFonts w:asciiTheme="minorHAnsi" w:hAnsiTheme="minorHAnsi" w:cstheme="minorHAnsi"/>
          <w:b w:val="0"/>
          <w:sz w:val="22"/>
          <w:szCs w:val="24"/>
          <w:vertAlign w:val="superscript"/>
        </w:rPr>
        <w:t>3,*</w:t>
      </w:r>
      <w:r w:rsidRPr="0002689A">
        <w:rPr>
          <w:rFonts w:asciiTheme="minorHAnsi" w:hAnsiTheme="minorHAnsi" w:cstheme="minorHAnsi"/>
          <w:b w:val="0"/>
          <w:sz w:val="22"/>
          <w:szCs w:val="24"/>
        </w:rPr>
        <w:t xml:space="preserve"> Magalí Lingenfelder</w:t>
      </w:r>
      <w:r w:rsidRPr="0002689A">
        <w:rPr>
          <w:rFonts w:asciiTheme="minorHAnsi" w:hAnsiTheme="minorHAnsi" w:cstheme="minorHAnsi"/>
          <w:b w:val="0"/>
          <w:sz w:val="22"/>
          <w:szCs w:val="24"/>
          <w:vertAlign w:val="superscript"/>
        </w:rPr>
        <w:t>1,2</w:t>
      </w:r>
      <w:r>
        <w:rPr>
          <w:rFonts w:asciiTheme="minorHAnsi" w:hAnsiTheme="minorHAnsi" w:cstheme="minorHAnsi"/>
          <w:b w:val="0"/>
          <w:sz w:val="22"/>
          <w:szCs w:val="24"/>
          <w:vertAlign w:val="superscript"/>
        </w:rPr>
        <w:t>,</w:t>
      </w:r>
      <w:r w:rsidRPr="0002689A">
        <w:rPr>
          <w:rFonts w:asciiTheme="minorHAnsi" w:hAnsiTheme="minorHAnsi" w:cstheme="minorHAnsi"/>
          <w:b w:val="0"/>
          <w:sz w:val="22"/>
          <w:szCs w:val="24"/>
          <w:vertAlign w:val="superscript"/>
        </w:rPr>
        <w:t>*</w:t>
      </w:r>
    </w:p>
    <w:p w14:paraId="0CE96BC2" w14:textId="2F784932" w:rsidR="0028740A" w:rsidRPr="0008758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lang w:val="fr-FR"/>
        </w:rPr>
      </w:pPr>
      <w:r w:rsidRPr="00087581">
        <w:rPr>
          <w:rFonts w:asciiTheme="minorHAnsi" w:hAnsiTheme="minorHAnsi" w:cstheme="minorHAnsi"/>
          <w:b w:val="0"/>
          <w:sz w:val="22"/>
          <w:szCs w:val="24"/>
          <w:vertAlign w:val="superscript"/>
          <w:lang w:val="fr-FR"/>
        </w:rPr>
        <w:t>1</w:t>
      </w:r>
      <w:r w:rsidRPr="00087581">
        <w:rPr>
          <w:rFonts w:asciiTheme="minorHAnsi" w:hAnsiTheme="minorHAnsi" w:cstheme="minorHAnsi"/>
          <w:b w:val="0"/>
          <w:sz w:val="22"/>
          <w:szCs w:val="24"/>
          <w:lang w:val="fr-FR"/>
        </w:rPr>
        <w:t xml:space="preserve"> Max Planck-EPFL Laboratory for Molecular Nanoscience and Technology, École Polytechnique Fédérale de Lausanne (EPFL), 1015 Lausanne, Switzerland</w:t>
      </w:r>
      <w:r w:rsidR="00041989" w:rsidRPr="00087581">
        <w:rPr>
          <w:rFonts w:asciiTheme="minorHAnsi" w:hAnsiTheme="minorHAnsi" w:cstheme="minorHAnsi"/>
          <w:b w:val="0"/>
          <w:sz w:val="22"/>
          <w:szCs w:val="24"/>
          <w:lang w:val="fr-FR"/>
        </w:rPr>
        <w:t>.</w:t>
      </w:r>
    </w:p>
    <w:p w14:paraId="71D7B030" w14:textId="349CD523" w:rsidR="0028740A" w:rsidRPr="0008758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lang w:val="fr-FR"/>
        </w:rPr>
      </w:pPr>
      <w:r w:rsidRPr="00087581">
        <w:rPr>
          <w:rFonts w:asciiTheme="minorHAnsi" w:hAnsiTheme="minorHAnsi" w:cstheme="minorHAnsi"/>
          <w:b w:val="0"/>
          <w:sz w:val="22"/>
          <w:szCs w:val="24"/>
          <w:vertAlign w:val="superscript"/>
          <w:lang w:val="fr-FR"/>
        </w:rPr>
        <w:t>2</w:t>
      </w:r>
      <w:r w:rsidRPr="00087581">
        <w:rPr>
          <w:rFonts w:asciiTheme="minorHAnsi" w:hAnsiTheme="minorHAnsi" w:cstheme="minorHAnsi"/>
          <w:b w:val="0"/>
          <w:sz w:val="22"/>
          <w:szCs w:val="24"/>
          <w:lang w:val="fr-FR"/>
        </w:rPr>
        <w:t xml:space="preserve"> Institut of Physics (IPHYS), Ecole Polytechnique Fédérale de Lausanne (EPFL), 1015 Lausanne, Switzerland</w:t>
      </w:r>
      <w:r w:rsidR="00041989" w:rsidRPr="00087581">
        <w:rPr>
          <w:rFonts w:asciiTheme="minorHAnsi" w:hAnsiTheme="minorHAnsi" w:cstheme="minorHAnsi"/>
          <w:b w:val="0"/>
          <w:sz w:val="22"/>
          <w:szCs w:val="24"/>
          <w:lang w:val="fr-FR"/>
        </w:rPr>
        <w:t>.</w:t>
      </w:r>
    </w:p>
    <w:p w14:paraId="7A8F22E9" w14:textId="7FA96E9C" w:rsidR="0028740A" w:rsidRPr="0008758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lang w:val="fr-FR"/>
        </w:rPr>
      </w:pPr>
      <w:r w:rsidRPr="00087581">
        <w:rPr>
          <w:rFonts w:asciiTheme="minorHAnsi" w:hAnsiTheme="minorHAnsi" w:cstheme="minorHAnsi"/>
          <w:b w:val="0"/>
          <w:sz w:val="22"/>
          <w:szCs w:val="24"/>
          <w:vertAlign w:val="superscript"/>
          <w:lang w:val="fr-FR"/>
        </w:rPr>
        <w:t>3</w:t>
      </w:r>
      <w:r w:rsidRPr="00087581">
        <w:rPr>
          <w:rFonts w:asciiTheme="minorHAnsi" w:hAnsiTheme="minorHAnsi" w:cstheme="minorHAnsi"/>
          <w:b w:val="0"/>
          <w:sz w:val="22"/>
          <w:szCs w:val="24"/>
          <w:lang w:val="fr-FR"/>
        </w:rPr>
        <w:t xml:space="preserve"> IMDEA-Nanociencia, C/Faraday 9, Ciudad Universitaria de Cantoblanco, 28049 Madrid, Spain</w:t>
      </w:r>
      <w:r w:rsidR="00041989" w:rsidRPr="00087581">
        <w:rPr>
          <w:rFonts w:asciiTheme="minorHAnsi" w:hAnsiTheme="minorHAnsi" w:cstheme="minorHAnsi"/>
          <w:b w:val="0"/>
          <w:sz w:val="22"/>
          <w:szCs w:val="24"/>
          <w:lang w:val="fr-FR"/>
        </w:rPr>
        <w:t>.</w:t>
      </w:r>
    </w:p>
    <w:p w14:paraId="603B400D" w14:textId="22056124" w:rsidR="0028740A" w:rsidRPr="0008758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lang w:val="fr-FR"/>
        </w:rPr>
      </w:pPr>
      <w:r w:rsidRPr="00087581">
        <w:rPr>
          <w:rFonts w:asciiTheme="minorHAnsi" w:hAnsiTheme="minorHAnsi" w:cstheme="minorHAnsi"/>
          <w:b w:val="0"/>
          <w:sz w:val="22"/>
          <w:szCs w:val="24"/>
          <w:vertAlign w:val="superscript"/>
          <w:lang w:val="fr-FR"/>
        </w:rPr>
        <w:t>4</w:t>
      </w:r>
      <w:r w:rsidRPr="00087581">
        <w:rPr>
          <w:rFonts w:asciiTheme="minorHAnsi" w:hAnsiTheme="minorHAnsi" w:cstheme="minorHAnsi"/>
          <w:b w:val="0"/>
          <w:sz w:val="22"/>
          <w:szCs w:val="24"/>
          <w:lang w:val="fr-FR"/>
        </w:rPr>
        <w:t xml:space="preserve"> Laboratory of Inorganic Synthesis and Catalysis, Institute of Chemical Sciences and Engineering, École Polytechnique Fédérale de Lausanne (EPFL), 1015 Lausanne, Switzerland</w:t>
      </w:r>
      <w:r w:rsidR="00041989" w:rsidRPr="00087581">
        <w:rPr>
          <w:rFonts w:asciiTheme="minorHAnsi" w:hAnsiTheme="minorHAnsi" w:cstheme="minorHAnsi"/>
          <w:b w:val="0"/>
          <w:sz w:val="22"/>
          <w:szCs w:val="24"/>
          <w:lang w:val="fr-FR"/>
        </w:rPr>
        <w:t>.</w:t>
      </w:r>
    </w:p>
    <w:p w14:paraId="5C1512DB" w14:textId="436C6F54" w:rsidR="0028740A" w:rsidRPr="0007615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0"/>
          <w:vertAlign w:val="superscript"/>
        </w:rPr>
      </w:pPr>
      <w:r w:rsidRPr="00076151">
        <w:rPr>
          <w:rFonts w:asciiTheme="minorHAnsi" w:hAnsiTheme="minorHAnsi" w:cstheme="minorHAnsi"/>
          <w:b w:val="0"/>
          <w:sz w:val="22"/>
          <w:szCs w:val="22"/>
          <w:vertAlign w:val="superscript"/>
        </w:rPr>
        <w:t>5</w:t>
      </w:r>
      <w:r w:rsidRPr="00076151">
        <w:rPr>
          <w:rFonts w:asciiTheme="minorHAnsi" w:hAnsiTheme="minorHAnsi" w:cstheme="minorHAnsi"/>
          <w:b w:val="0"/>
          <w:sz w:val="22"/>
          <w:szCs w:val="22"/>
        </w:rPr>
        <w:t xml:space="preserve"> Department of</w:t>
      </w:r>
      <w:r w:rsidRPr="00076151">
        <w:rPr>
          <w:rFonts w:asciiTheme="minorHAnsi" w:hAnsiTheme="minorHAnsi" w:cstheme="minorHAnsi"/>
          <w:b w:val="0"/>
          <w:sz w:val="22"/>
          <w:szCs w:val="20"/>
        </w:rPr>
        <w:t xml:space="preserve"> Chemical Engineering, Changwon National University,</w:t>
      </w:r>
      <w:r>
        <w:rPr>
          <w:rFonts w:asciiTheme="minorHAnsi" w:hAnsiTheme="minorHAnsi" w:cstheme="minorHAnsi"/>
          <w:b w:val="0"/>
          <w:sz w:val="22"/>
          <w:szCs w:val="20"/>
        </w:rPr>
        <w:t xml:space="preserve"> </w:t>
      </w:r>
      <w:r w:rsidRPr="005E44B7">
        <w:rPr>
          <w:rFonts w:asciiTheme="minorHAnsi" w:hAnsiTheme="minorHAnsi" w:cstheme="minorHAnsi"/>
          <w:b w:val="0"/>
          <w:sz w:val="22"/>
          <w:szCs w:val="20"/>
        </w:rPr>
        <w:t>51140</w:t>
      </w:r>
      <w:r w:rsidRPr="00076151">
        <w:rPr>
          <w:rFonts w:asciiTheme="minorHAnsi" w:hAnsiTheme="minorHAnsi" w:cstheme="minorHAnsi"/>
          <w:b w:val="0"/>
          <w:sz w:val="22"/>
          <w:szCs w:val="20"/>
        </w:rPr>
        <w:t xml:space="preserve"> Changwon, South Korea</w:t>
      </w:r>
      <w:r w:rsidR="00041989">
        <w:rPr>
          <w:rFonts w:asciiTheme="minorHAnsi" w:hAnsiTheme="minorHAnsi" w:cstheme="minorHAnsi"/>
          <w:b w:val="0"/>
          <w:sz w:val="22"/>
          <w:szCs w:val="20"/>
        </w:rPr>
        <w:t>.</w:t>
      </w:r>
    </w:p>
    <w:p w14:paraId="2F81371F" w14:textId="5699E512" w:rsidR="0028740A" w:rsidRPr="00087581"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vertAlign w:val="superscript"/>
          <w:lang w:val="fr-FR"/>
        </w:rPr>
      </w:pPr>
      <w:r w:rsidRPr="00087581">
        <w:rPr>
          <w:rFonts w:asciiTheme="minorHAnsi" w:hAnsiTheme="minorHAnsi" w:cstheme="minorHAnsi"/>
          <w:b w:val="0"/>
          <w:sz w:val="22"/>
          <w:szCs w:val="24"/>
          <w:vertAlign w:val="superscript"/>
          <w:lang w:val="fr-FR"/>
        </w:rPr>
        <w:t>6</w:t>
      </w:r>
      <w:r w:rsidR="00E01F98" w:rsidRPr="00087581">
        <w:rPr>
          <w:rFonts w:asciiTheme="minorHAnsi" w:hAnsiTheme="minorHAnsi" w:cstheme="minorHAnsi"/>
          <w:b w:val="0"/>
          <w:sz w:val="22"/>
          <w:szCs w:val="24"/>
          <w:lang w:val="fr-FR"/>
        </w:rPr>
        <w:t xml:space="preserve"> Interdisciplinary Center for Electron Microscopy (CIME), École Polytechnique Fédérale de Lausanne (EPFL), 1015 Lausanne, Switzerland.</w:t>
      </w:r>
    </w:p>
    <w:p w14:paraId="0B2C78C1" w14:textId="31F7CDC5" w:rsidR="0028740A" w:rsidRDefault="0028740A" w:rsidP="0028740A">
      <w:pPr>
        <w:pStyle w:val="NCCRSectiontitle"/>
        <w:numPr>
          <w:ilvl w:val="0"/>
          <w:numId w:val="0"/>
        </w:numPr>
        <w:spacing w:line="480" w:lineRule="auto"/>
        <w:ind w:left="574"/>
        <w:jc w:val="center"/>
        <w:rPr>
          <w:rFonts w:asciiTheme="minorHAnsi" w:hAnsiTheme="minorHAnsi" w:cstheme="minorHAnsi"/>
          <w:b w:val="0"/>
          <w:sz w:val="22"/>
          <w:lang w:val="es-ES"/>
        </w:rPr>
      </w:pPr>
      <w:r>
        <w:rPr>
          <w:rFonts w:asciiTheme="minorHAnsi" w:hAnsiTheme="minorHAnsi" w:cstheme="minorHAnsi"/>
          <w:b w:val="0"/>
          <w:sz w:val="22"/>
          <w:szCs w:val="24"/>
          <w:vertAlign w:val="superscript"/>
        </w:rPr>
        <w:t>7</w:t>
      </w:r>
      <w:r w:rsidRPr="00076151">
        <w:rPr>
          <w:rFonts w:asciiTheme="minorHAnsi" w:hAnsiTheme="minorHAnsi" w:cstheme="minorHAnsi"/>
          <w:b w:val="0"/>
          <w:sz w:val="18"/>
          <w:szCs w:val="24"/>
        </w:rPr>
        <w:t xml:space="preserve"> </w:t>
      </w:r>
      <w:r w:rsidRPr="00223B49">
        <w:rPr>
          <w:rFonts w:asciiTheme="minorHAnsi" w:hAnsiTheme="minorHAnsi" w:cstheme="minorHAnsi"/>
          <w:b w:val="0"/>
          <w:sz w:val="22"/>
          <w:lang w:val="es-ES"/>
        </w:rPr>
        <w:t>Instituto de Ciencia de Materiales de Madrid, CSIC, Cantoblanco, 28049 Madrid, Spain</w:t>
      </w:r>
      <w:r w:rsidR="00041989">
        <w:rPr>
          <w:rFonts w:asciiTheme="minorHAnsi" w:hAnsiTheme="minorHAnsi" w:cstheme="minorHAnsi"/>
          <w:b w:val="0"/>
          <w:sz w:val="22"/>
          <w:lang w:val="es-ES"/>
        </w:rPr>
        <w:t>.</w:t>
      </w:r>
    </w:p>
    <w:p w14:paraId="44214B72" w14:textId="77777777" w:rsidR="0028740A" w:rsidRPr="00223B49"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rPr>
      </w:pPr>
    </w:p>
    <w:p w14:paraId="4C582B41" w14:textId="185DCEF6" w:rsidR="0028740A" w:rsidRDefault="0028740A" w:rsidP="0028740A">
      <w:pPr>
        <w:pStyle w:val="NCCRSectiontitle"/>
        <w:numPr>
          <w:ilvl w:val="0"/>
          <w:numId w:val="0"/>
        </w:numPr>
        <w:spacing w:line="480" w:lineRule="auto"/>
        <w:ind w:left="574"/>
        <w:jc w:val="center"/>
        <w:rPr>
          <w:rFonts w:asciiTheme="minorHAnsi" w:hAnsiTheme="minorHAnsi" w:cstheme="minorHAnsi"/>
          <w:b w:val="0"/>
          <w:sz w:val="22"/>
          <w:szCs w:val="24"/>
        </w:rPr>
      </w:pPr>
      <w:r w:rsidRPr="0002689A">
        <w:rPr>
          <w:rFonts w:asciiTheme="minorHAnsi" w:hAnsiTheme="minorHAnsi" w:cstheme="minorHAnsi"/>
          <w:b w:val="0"/>
          <w:sz w:val="22"/>
          <w:szCs w:val="24"/>
        </w:rPr>
        <w:t>These authors contributed equally: Yunchang Liang</w:t>
      </w:r>
      <w:r>
        <w:rPr>
          <w:rFonts w:asciiTheme="minorHAnsi" w:hAnsiTheme="minorHAnsi" w:cstheme="minorHAnsi"/>
          <w:b w:val="0"/>
          <w:sz w:val="22"/>
          <w:szCs w:val="24"/>
        </w:rPr>
        <w:t xml:space="preserve">, </w:t>
      </w:r>
      <w:r w:rsidRPr="0002689A">
        <w:rPr>
          <w:rFonts w:asciiTheme="minorHAnsi" w:hAnsiTheme="minorHAnsi" w:cstheme="minorHAnsi"/>
          <w:b w:val="0"/>
          <w:sz w:val="22"/>
          <w:szCs w:val="24"/>
        </w:rPr>
        <w:t>Sofia O</w:t>
      </w:r>
      <w:r w:rsidR="002060C0">
        <w:rPr>
          <w:rFonts w:asciiTheme="minorHAnsi" w:hAnsiTheme="minorHAnsi" w:cstheme="minorHAnsi"/>
          <w:b w:val="0"/>
          <w:sz w:val="22"/>
          <w:szCs w:val="24"/>
        </w:rPr>
        <w:t>.</w:t>
      </w:r>
      <w:r w:rsidRPr="0002689A">
        <w:rPr>
          <w:rFonts w:asciiTheme="minorHAnsi" w:hAnsiTheme="minorHAnsi" w:cstheme="minorHAnsi"/>
          <w:b w:val="0"/>
          <w:sz w:val="22"/>
          <w:szCs w:val="24"/>
        </w:rPr>
        <w:t xml:space="preserve"> Parreiras</w:t>
      </w:r>
    </w:p>
    <w:p w14:paraId="6D804A75" w14:textId="77777777" w:rsidR="0028740A" w:rsidRDefault="0028740A" w:rsidP="0028740A">
      <w:pPr>
        <w:pStyle w:val="NCCRSectiontitle"/>
        <w:numPr>
          <w:ilvl w:val="0"/>
          <w:numId w:val="0"/>
        </w:numPr>
        <w:spacing w:line="480" w:lineRule="auto"/>
        <w:ind w:left="574"/>
        <w:jc w:val="center"/>
        <w:rPr>
          <w:rFonts w:asciiTheme="minorHAnsi" w:eastAsia="Arial" w:hAnsiTheme="minorHAnsi" w:cstheme="minorHAnsi"/>
          <w:b w:val="0"/>
          <w:bCs w:val="0"/>
          <w:color w:val="0563C1"/>
          <w:sz w:val="22"/>
          <w:szCs w:val="22"/>
          <w:u w:val="single"/>
          <w:lang w:val="de-CH" w:eastAsia="fr-FR"/>
        </w:rPr>
      </w:pPr>
      <w:r w:rsidRPr="0002689A">
        <w:rPr>
          <w:rFonts w:asciiTheme="minorHAnsi" w:hAnsiTheme="minorHAnsi" w:cstheme="minorHAnsi"/>
          <w:b w:val="0"/>
          <w:sz w:val="22"/>
          <w:szCs w:val="24"/>
        </w:rPr>
        <w:t>*</w:t>
      </w:r>
      <w:r>
        <w:rPr>
          <w:rFonts w:asciiTheme="minorHAnsi" w:hAnsiTheme="minorHAnsi" w:cstheme="minorHAnsi"/>
          <w:b w:val="0"/>
          <w:sz w:val="22"/>
          <w:szCs w:val="24"/>
        </w:rPr>
        <w:t xml:space="preserve">e-mail: </w:t>
      </w:r>
      <w:hyperlink r:id="rId8" w:history="1">
        <w:r w:rsidRPr="000F2B61">
          <w:rPr>
            <w:rStyle w:val="Hyperlink"/>
            <w:rFonts w:asciiTheme="minorHAnsi" w:hAnsiTheme="minorHAnsi" w:cstheme="minorHAnsi"/>
            <w:b w:val="0"/>
            <w:sz w:val="22"/>
            <w:szCs w:val="24"/>
          </w:rPr>
          <w:t>david.ecija@imdea.org</w:t>
        </w:r>
      </w:hyperlink>
      <w:r>
        <w:rPr>
          <w:rFonts w:asciiTheme="minorHAnsi" w:hAnsiTheme="minorHAnsi" w:cstheme="minorHAnsi"/>
          <w:b w:val="0"/>
          <w:sz w:val="22"/>
          <w:szCs w:val="24"/>
        </w:rPr>
        <w:t xml:space="preserve">; </w:t>
      </w:r>
      <w:hyperlink r:id="rId9">
        <w:r w:rsidRPr="0002689A">
          <w:rPr>
            <w:rFonts w:asciiTheme="minorHAnsi" w:eastAsia="Arial" w:hAnsiTheme="minorHAnsi" w:cstheme="minorHAnsi"/>
            <w:b w:val="0"/>
            <w:bCs w:val="0"/>
            <w:color w:val="0563C1"/>
            <w:sz w:val="22"/>
            <w:szCs w:val="22"/>
            <w:u w:val="single"/>
            <w:lang w:val="de-CH" w:eastAsia="fr-FR"/>
          </w:rPr>
          <w:t>magali.lingenfelder@epfl.ch</w:t>
        </w:r>
      </w:hyperlink>
    </w:p>
    <w:p w14:paraId="5C42FED8" w14:textId="5C7358AF" w:rsidR="0028740A" w:rsidRDefault="0028740A" w:rsidP="00BA126A">
      <w:pPr>
        <w:rPr>
          <w:b/>
          <w:bCs/>
          <w:sz w:val="24"/>
          <w:lang w:val="de-CH"/>
        </w:rPr>
      </w:pPr>
      <w:r>
        <w:rPr>
          <w:b/>
          <w:bCs/>
          <w:sz w:val="24"/>
          <w:lang w:val="de-CH"/>
        </w:rPr>
        <w:br w:type="page"/>
      </w:r>
    </w:p>
    <w:p w14:paraId="11377E63" w14:textId="77777777" w:rsidR="00A73935" w:rsidRDefault="00A73935" w:rsidP="00BA126A">
      <w:pPr>
        <w:rPr>
          <w:b/>
          <w:bCs/>
          <w:sz w:val="24"/>
        </w:rPr>
      </w:pPr>
      <w:r>
        <w:rPr>
          <w:b/>
          <w:bCs/>
          <w:sz w:val="24"/>
        </w:rPr>
        <w:lastRenderedPageBreak/>
        <w:t>XPS analysis</w:t>
      </w:r>
    </w:p>
    <w:p w14:paraId="18F84E3F" w14:textId="205592E9" w:rsidR="00963405" w:rsidRDefault="00BA126A" w:rsidP="00BA126A">
      <w:pPr>
        <w:rPr>
          <w:color w:val="000000" w:themeColor="text1"/>
        </w:rPr>
      </w:pPr>
      <w:r>
        <w:rPr>
          <w:color w:val="000000" w:themeColor="text1"/>
        </w:rPr>
        <w:t>The</w:t>
      </w:r>
      <w:r w:rsidR="00337147">
        <w:rPr>
          <w:color w:val="000000" w:themeColor="text1"/>
        </w:rPr>
        <w:t xml:space="preserve"> chemical structure of</w:t>
      </w:r>
      <w:r>
        <w:rPr>
          <w:color w:val="000000" w:themeColor="text1"/>
        </w:rPr>
        <w:t xml:space="preserve"> MBE-prepared nanoislands of Ni and NiFe oxides </w:t>
      </w:r>
      <w:r w:rsidR="00337147">
        <w:rPr>
          <w:color w:val="000000" w:themeColor="text1"/>
        </w:rPr>
        <w:t>ha</w:t>
      </w:r>
      <w:r w:rsidR="00E459E9">
        <w:rPr>
          <w:color w:val="000000" w:themeColor="text1"/>
        </w:rPr>
        <w:t>s</w:t>
      </w:r>
      <w:r w:rsidR="00337147">
        <w:rPr>
          <w:color w:val="000000" w:themeColor="text1"/>
        </w:rPr>
        <w:t xml:space="preserve"> been analyzed by XPS</w:t>
      </w:r>
      <w:r w:rsidR="00E459E9">
        <w:rPr>
          <w:color w:val="000000" w:themeColor="text1"/>
        </w:rPr>
        <w:t>, regarding the</w:t>
      </w:r>
      <w:r w:rsidR="00106210">
        <w:rPr>
          <w:color w:val="000000" w:themeColor="text1"/>
        </w:rPr>
        <w:t xml:space="preserve"> Ni2p, Fe2p and O1s</w:t>
      </w:r>
      <w:r w:rsidR="00337147">
        <w:rPr>
          <w:color w:val="000000" w:themeColor="text1"/>
        </w:rPr>
        <w:t xml:space="preserve"> peaks</w:t>
      </w:r>
      <w:r>
        <w:rPr>
          <w:color w:val="000000" w:themeColor="text1"/>
        </w:rPr>
        <w:t xml:space="preserve">. </w:t>
      </w:r>
      <w:r w:rsidR="00337147">
        <w:rPr>
          <w:color w:val="000000" w:themeColor="text1"/>
        </w:rPr>
        <w:t>The Ni2p spectra ha</w:t>
      </w:r>
      <w:r w:rsidR="00E459E9">
        <w:rPr>
          <w:color w:val="000000" w:themeColor="text1"/>
        </w:rPr>
        <w:t>ve</w:t>
      </w:r>
      <w:r w:rsidR="00337147">
        <w:rPr>
          <w:color w:val="000000" w:themeColor="text1"/>
        </w:rPr>
        <w:t xml:space="preserve"> many </w:t>
      </w:r>
      <w:r>
        <w:rPr>
          <w:color w:val="000000" w:themeColor="text1"/>
        </w:rPr>
        <w:t>compounds</w:t>
      </w:r>
      <w:r w:rsidR="00337147">
        <w:rPr>
          <w:color w:val="000000" w:themeColor="text1"/>
        </w:rPr>
        <w:t xml:space="preserve"> (</w:t>
      </w:r>
      <w:r>
        <w:rPr>
          <w:color w:val="000000" w:themeColor="text1"/>
        </w:rPr>
        <w:t>metallic Ni, NiO, NiFe</w:t>
      </w:r>
      <w:r>
        <w:rPr>
          <w:color w:val="000000" w:themeColor="text1"/>
          <w:vertAlign w:val="subscript"/>
        </w:rPr>
        <w:t>2</w:t>
      </w:r>
      <w:r>
        <w:rPr>
          <w:color w:val="000000" w:themeColor="text1"/>
        </w:rPr>
        <w:t>O</w:t>
      </w:r>
      <w:r>
        <w:rPr>
          <w:color w:val="000000" w:themeColor="text1"/>
          <w:vertAlign w:val="subscript"/>
        </w:rPr>
        <w:t>4</w:t>
      </w:r>
      <w:r>
        <w:rPr>
          <w:color w:val="000000" w:themeColor="text1"/>
        </w:rPr>
        <w:t>, Ni(OH)</w:t>
      </w:r>
      <w:r>
        <w:rPr>
          <w:color w:val="000000" w:themeColor="text1"/>
          <w:vertAlign w:val="subscript"/>
        </w:rPr>
        <w:t>2</w:t>
      </w:r>
      <w:r>
        <w:rPr>
          <w:color w:val="000000" w:themeColor="text1"/>
        </w:rPr>
        <w:t xml:space="preserve"> and NiOOH</w:t>
      </w:r>
      <w:r w:rsidR="00337147">
        <w:rPr>
          <w:color w:val="000000" w:themeColor="text1"/>
        </w:rPr>
        <w:t>)</w:t>
      </w:r>
      <w:bookmarkStart w:id="0" w:name="_Ref52914283"/>
      <w:bookmarkStart w:id="1" w:name="_Ref47036345"/>
      <w:r w:rsidR="00E459E9">
        <w:rPr>
          <w:color w:val="000000" w:themeColor="text1"/>
        </w:rPr>
        <w:t>,</w:t>
      </w:r>
      <w:r w:rsidR="00963405" w:rsidRPr="00963405">
        <w:t xml:space="preserve"> </w:t>
      </w:r>
      <w:r w:rsidR="00963405">
        <w:t xml:space="preserve">each with </w:t>
      </w:r>
      <w:r w:rsidR="00963405" w:rsidRPr="00963405">
        <w:rPr>
          <w:color w:val="000000" w:themeColor="text1"/>
        </w:rPr>
        <w:t>multiple peaks, summing up 28 components only for the Ni2p</w:t>
      </w:r>
      <w:r w:rsidR="00963405" w:rsidRPr="00AE146D">
        <w:rPr>
          <w:color w:val="000000" w:themeColor="text1"/>
          <w:vertAlign w:val="subscript"/>
        </w:rPr>
        <w:t xml:space="preserve">3/2 </w:t>
      </w:r>
      <w:r w:rsidR="00963405" w:rsidRPr="00963405">
        <w:rPr>
          <w:color w:val="000000" w:themeColor="text1"/>
        </w:rPr>
        <w:t>peak</w:t>
      </w:r>
      <w:r w:rsidR="002D7574">
        <w:rPr>
          <w:rStyle w:val="EndnoteReference"/>
          <w:color w:val="000000" w:themeColor="text1"/>
        </w:rPr>
        <w:endnoteReference w:id="1"/>
      </w:r>
      <w:bookmarkEnd w:id="0"/>
      <w:r w:rsidR="002D7574">
        <w:rPr>
          <w:color w:val="000000" w:themeColor="text1"/>
          <w:vertAlign w:val="superscript"/>
        </w:rPr>
        <w:t>,</w:t>
      </w:r>
      <w:bookmarkStart w:id="2" w:name="_Ref52914042"/>
      <w:r w:rsidR="002D7574">
        <w:rPr>
          <w:rStyle w:val="EndnoteReference"/>
          <w:color w:val="000000" w:themeColor="text1"/>
        </w:rPr>
        <w:endnoteReference w:id="2"/>
      </w:r>
      <w:bookmarkEnd w:id="1"/>
      <w:bookmarkEnd w:id="2"/>
      <w:r>
        <w:rPr>
          <w:color w:val="000000" w:themeColor="text1"/>
        </w:rPr>
        <w:t xml:space="preserve">. </w:t>
      </w:r>
      <w:r w:rsidR="00337147">
        <w:rPr>
          <w:color w:val="000000" w:themeColor="text1"/>
        </w:rPr>
        <w:t>This prevents a quantitative analysis</w:t>
      </w:r>
      <w:r w:rsidR="00E459E9">
        <w:rPr>
          <w:color w:val="000000" w:themeColor="text1"/>
        </w:rPr>
        <w:t>.</w:t>
      </w:r>
      <w:r w:rsidR="00337147">
        <w:rPr>
          <w:color w:val="000000" w:themeColor="text1"/>
        </w:rPr>
        <w:t xml:space="preserve"> </w:t>
      </w:r>
      <w:r w:rsidR="00E459E9">
        <w:rPr>
          <w:color w:val="000000" w:themeColor="text1"/>
        </w:rPr>
        <w:t>T</w:t>
      </w:r>
      <w:r w:rsidR="00337147">
        <w:rPr>
          <w:color w:val="000000" w:themeColor="text1"/>
        </w:rPr>
        <w:t>he Ni2p spectra were qualitatively analyzed</w:t>
      </w:r>
      <w:r w:rsidR="00E459E9">
        <w:rPr>
          <w:color w:val="000000" w:themeColor="text1"/>
        </w:rPr>
        <w:t>,</w:t>
      </w:r>
      <w:r w:rsidR="00337147">
        <w:rPr>
          <w:color w:val="000000" w:themeColor="text1"/>
        </w:rPr>
        <w:t xml:space="preserve"> </w:t>
      </w:r>
      <w:r w:rsidR="00E459E9">
        <w:rPr>
          <w:color w:val="000000" w:themeColor="text1"/>
        </w:rPr>
        <w:t>considering</w:t>
      </w:r>
      <w:r w:rsidR="00337147">
        <w:rPr>
          <w:color w:val="000000" w:themeColor="text1"/>
        </w:rPr>
        <w:t xml:space="preserve"> only the components corresponding to more than 10% of the total intensity. </w:t>
      </w:r>
      <w:r w:rsidR="00963405" w:rsidRPr="00963405">
        <w:rPr>
          <w:color w:val="000000" w:themeColor="text1"/>
        </w:rPr>
        <w:t>Importantly, the displayed spectra are shown after the subtraction of a single background covering the whole 2p region</w:t>
      </w:r>
      <w:r w:rsidR="00963405" w:rsidRPr="00963405">
        <w:rPr>
          <w:color w:val="000000" w:themeColor="text1"/>
          <w:vertAlign w:val="superscript"/>
        </w:rPr>
        <w:fldChar w:fldCharType="begin"/>
      </w:r>
      <w:r w:rsidR="00963405" w:rsidRPr="00963405">
        <w:rPr>
          <w:color w:val="000000" w:themeColor="text1"/>
          <w:vertAlign w:val="superscript"/>
        </w:rPr>
        <w:instrText xml:space="preserve"> NOTEREF _Ref52914283 \h </w:instrText>
      </w:r>
      <w:r w:rsidR="00963405">
        <w:rPr>
          <w:color w:val="000000" w:themeColor="text1"/>
          <w:vertAlign w:val="superscript"/>
        </w:rPr>
        <w:instrText xml:space="preserve"> \* MERGEFORMAT </w:instrText>
      </w:r>
      <w:r w:rsidR="00963405" w:rsidRPr="00963405">
        <w:rPr>
          <w:color w:val="000000" w:themeColor="text1"/>
          <w:vertAlign w:val="superscript"/>
        </w:rPr>
      </w:r>
      <w:r w:rsidR="00963405" w:rsidRPr="00963405">
        <w:rPr>
          <w:color w:val="000000" w:themeColor="text1"/>
          <w:vertAlign w:val="superscript"/>
        </w:rPr>
        <w:fldChar w:fldCharType="separate"/>
      </w:r>
      <w:r w:rsidR="00963405" w:rsidRPr="00963405">
        <w:rPr>
          <w:color w:val="000000" w:themeColor="text1"/>
          <w:vertAlign w:val="superscript"/>
        </w:rPr>
        <w:t>1</w:t>
      </w:r>
      <w:r w:rsidR="00963405" w:rsidRPr="00963405">
        <w:rPr>
          <w:color w:val="000000" w:themeColor="text1"/>
          <w:vertAlign w:val="superscript"/>
        </w:rPr>
        <w:fldChar w:fldCharType="end"/>
      </w:r>
      <w:r w:rsidR="00963405" w:rsidRPr="00963405">
        <w:rPr>
          <w:color w:val="000000" w:themeColor="text1"/>
        </w:rPr>
        <w:t xml:space="preserve">. After background subtraction, all spectra are normalized to have the same area in order </w:t>
      </w:r>
      <w:r w:rsidR="00E459E9">
        <w:rPr>
          <w:color w:val="000000" w:themeColor="text1"/>
        </w:rPr>
        <w:t xml:space="preserve">to </w:t>
      </w:r>
      <w:r w:rsidR="00963405" w:rsidRPr="00963405">
        <w:rPr>
          <w:color w:val="000000" w:themeColor="text1"/>
        </w:rPr>
        <w:t xml:space="preserve">avoid any effect of varying beam intensity. Following this procedure, it is possible to compare how the proportions of the different components change between experiments. </w:t>
      </w:r>
    </w:p>
    <w:p w14:paraId="08DE75CC" w14:textId="7F323111" w:rsidR="00BA126A" w:rsidRDefault="00BA126A" w:rsidP="00D0486C">
      <w:pPr>
        <w:rPr>
          <w:color w:val="000000" w:themeColor="text1"/>
        </w:rPr>
      </w:pPr>
      <w:r>
        <w:t>Reference energy values for a</w:t>
      </w:r>
      <w:r>
        <w:rPr>
          <w:color w:val="000000" w:themeColor="text1"/>
        </w:rPr>
        <w:t xml:space="preserve">ll </w:t>
      </w:r>
      <w:r w:rsidR="00337147">
        <w:rPr>
          <w:color w:val="000000" w:themeColor="text1"/>
        </w:rPr>
        <w:t xml:space="preserve">considered </w:t>
      </w:r>
      <w:r>
        <w:rPr>
          <w:color w:val="000000" w:themeColor="text1"/>
        </w:rPr>
        <w:t xml:space="preserve">components are listed in </w:t>
      </w:r>
      <w:r w:rsidRPr="007F6514">
        <w:rPr>
          <w:b/>
          <w:bCs/>
          <w:color w:val="000000" w:themeColor="text1"/>
        </w:rPr>
        <w:t>Table S1</w:t>
      </w:r>
      <w:r w:rsidR="00337147">
        <w:rPr>
          <w:color w:val="000000" w:themeColor="text1"/>
        </w:rPr>
        <w:t xml:space="preserve"> as also indicated by vertical lines in </w:t>
      </w:r>
      <w:r w:rsidR="00337147" w:rsidRPr="007F6514">
        <w:rPr>
          <w:b/>
          <w:bCs/>
          <w:color w:val="000000" w:themeColor="text1"/>
        </w:rPr>
        <w:t>Figure</w:t>
      </w:r>
      <w:r w:rsidR="00AD4F58" w:rsidRPr="007F6514">
        <w:rPr>
          <w:b/>
          <w:bCs/>
          <w:color w:val="000000" w:themeColor="text1"/>
        </w:rPr>
        <w:t>s</w:t>
      </w:r>
      <w:r w:rsidR="00337147" w:rsidRPr="007F6514">
        <w:rPr>
          <w:b/>
          <w:bCs/>
          <w:color w:val="000000" w:themeColor="text1"/>
        </w:rPr>
        <w:t xml:space="preserve"> S1a</w:t>
      </w:r>
      <w:r w:rsidR="00BB566F">
        <w:rPr>
          <w:color w:val="000000" w:themeColor="text1"/>
        </w:rPr>
        <w:t xml:space="preserve"> and </w:t>
      </w:r>
      <w:r w:rsidR="00BB566F" w:rsidRPr="007F6514">
        <w:rPr>
          <w:b/>
          <w:bCs/>
          <w:color w:val="000000" w:themeColor="text1"/>
        </w:rPr>
        <w:t>b</w:t>
      </w:r>
      <w:r w:rsidR="00BB566F">
        <w:rPr>
          <w:color w:val="000000" w:themeColor="text1"/>
        </w:rPr>
        <w:t>, which</w:t>
      </w:r>
      <w:r w:rsidR="00337147">
        <w:rPr>
          <w:color w:val="000000" w:themeColor="text1"/>
        </w:rPr>
        <w:t xml:space="preserve"> present selected spect</w:t>
      </w:r>
      <w:r>
        <w:rPr>
          <w:color w:val="000000" w:themeColor="text1"/>
        </w:rPr>
        <w:t>ra</w:t>
      </w:r>
      <w:r w:rsidR="00BB566F">
        <w:rPr>
          <w:color w:val="000000" w:themeColor="text1"/>
        </w:rPr>
        <w:t xml:space="preserve"> taken</w:t>
      </w:r>
      <w:r w:rsidR="006A57F0">
        <w:rPr>
          <w:color w:val="000000" w:themeColor="text1"/>
        </w:rPr>
        <w:t xml:space="preserve"> before (red) and after (blue) the exposure to water</w:t>
      </w:r>
      <w:r>
        <w:rPr>
          <w:color w:val="000000" w:themeColor="text1"/>
        </w:rPr>
        <w:t xml:space="preserve">. </w:t>
      </w:r>
      <w:r w:rsidR="00AD4F58">
        <w:rPr>
          <w:color w:val="000000" w:themeColor="text1"/>
        </w:rPr>
        <w:t>The high</w:t>
      </w:r>
      <w:r w:rsidR="00E459E9">
        <w:rPr>
          <w:color w:val="000000" w:themeColor="text1"/>
        </w:rPr>
        <w:t>-</w:t>
      </w:r>
      <w:r w:rsidR="00AD4F58">
        <w:rPr>
          <w:color w:val="000000" w:themeColor="text1"/>
        </w:rPr>
        <w:t>intensity peak around 852.6 eV (purple line 1) in all s</w:t>
      </w:r>
      <w:r w:rsidR="00FF52AD">
        <w:rPr>
          <w:color w:val="000000" w:themeColor="text1"/>
        </w:rPr>
        <w:t>pectra</w:t>
      </w:r>
      <w:r w:rsidR="00AD4F58">
        <w:rPr>
          <w:color w:val="000000" w:themeColor="text1"/>
        </w:rPr>
        <w:t xml:space="preserve"> indicate</w:t>
      </w:r>
      <w:r w:rsidR="00E459E9">
        <w:rPr>
          <w:color w:val="000000" w:themeColor="text1"/>
        </w:rPr>
        <w:t>s</w:t>
      </w:r>
      <w:r w:rsidR="00AD4F58">
        <w:rPr>
          <w:color w:val="000000" w:themeColor="text1"/>
        </w:rPr>
        <w:t xml:space="preserve"> the presence of </w:t>
      </w:r>
      <w:r>
        <w:rPr>
          <w:color w:val="000000" w:themeColor="text1"/>
        </w:rPr>
        <w:t>a significant amount of metallic</w:t>
      </w:r>
      <w:r w:rsidR="00AD4F58">
        <w:rPr>
          <w:color w:val="000000" w:themeColor="text1"/>
        </w:rPr>
        <w:t xml:space="preserve"> Ni</w:t>
      </w:r>
      <w:r>
        <w:rPr>
          <w:color w:val="000000" w:themeColor="text1"/>
        </w:rPr>
        <w:t>.</w:t>
      </w:r>
      <w:r w:rsidR="00896734" w:rsidRPr="00896734">
        <w:t xml:space="preserve"> </w:t>
      </w:r>
      <w:r w:rsidR="00896734" w:rsidRPr="00896734">
        <w:rPr>
          <w:color w:val="000000" w:themeColor="text1"/>
        </w:rPr>
        <w:t>The high intensity of this peak is explained by the fact that the component indicated by the purple line 1 concentrates 81.2% of the total metallic signal</w:t>
      </w:r>
      <w:r w:rsidR="00E459E9">
        <w:rPr>
          <w:color w:val="000000" w:themeColor="text1"/>
        </w:rPr>
        <w:t>,</w:t>
      </w:r>
      <w:r w:rsidR="00896734" w:rsidRPr="00896734">
        <w:rPr>
          <w:color w:val="000000" w:themeColor="text1"/>
        </w:rPr>
        <w:t xml:space="preserve"> while the Ni </w:t>
      </w:r>
      <w:r w:rsidR="00896734">
        <w:rPr>
          <w:color w:val="000000" w:themeColor="text1"/>
        </w:rPr>
        <w:t xml:space="preserve">and NiFe </w:t>
      </w:r>
      <w:r w:rsidR="00896734" w:rsidRPr="00896734">
        <w:rPr>
          <w:color w:val="000000" w:themeColor="text1"/>
        </w:rPr>
        <w:t>oxide</w:t>
      </w:r>
      <w:r w:rsidR="00896734">
        <w:rPr>
          <w:color w:val="000000" w:themeColor="text1"/>
        </w:rPr>
        <w:t>s</w:t>
      </w:r>
      <w:r w:rsidR="00896734" w:rsidRPr="00896734">
        <w:rPr>
          <w:color w:val="000000" w:themeColor="text1"/>
        </w:rPr>
        <w:t xml:space="preserve"> signal</w:t>
      </w:r>
      <w:r w:rsidR="00896734">
        <w:rPr>
          <w:color w:val="000000" w:themeColor="text1"/>
        </w:rPr>
        <w:t>s</w:t>
      </w:r>
      <w:r w:rsidR="00896734" w:rsidRPr="00896734">
        <w:rPr>
          <w:color w:val="000000" w:themeColor="text1"/>
        </w:rPr>
        <w:t xml:space="preserve"> </w:t>
      </w:r>
      <w:r w:rsidR="00896734">
        <w:rPr>
          <w:color w:val="000000" w:themeColor="text1"/>
        </w:rPr>
        <w:t>are</w:t>
      </w:r>
      <w:r w:rsidR="00896734" w:rsidRPr="00896734">
        <w:rPr>
          <w:color w:val="000000" w:themeColor="text1"/>
        </w:rPr>
        <w:t xml:space="preserve"> divided in</w:t>
      </w:r>
      <w:r w:rsidR="00E459E9">
        <w:rPr>
          <w:color w:val="000000" w:themeColor="text1"/>
        </w:rPr>
        <w:t>to</w:t>
      </w:r>
      <w:r w:rsidR="00896734" w:rsidRPr="00896734">
        <w:rPr>
          <w:color w:val="000000" w:themeColor="text1"/>
        </w:rPr>
        <w:t xml:space="preserve"> 5 components</w:t>
      </w:r>
      <w:r w:rsidR="00896734" w:rsidRPr="00896734">
        <w:rPr>
          <w:color w:val="000000" w:themeColor="text1"/>
          <w:vertAlign w:val="superscript"/>
        </w:rPr>
        <w:fldChar w:fldCharType="begin"/>
      </w:r>
      <w:r w:rsidR="00896734" w:rsidRPr="00896734">
        <w:rPr>
          <w:color w:val="000000" w:themeColor="text1"/>
          <w:vertAlign w:val="superscript"/>
        </w:rPr>
        <w:instrText xml:space="preserve"> NOTEREF _Ref52914042 \h </w:instrText>
      </w:r>
      <w:r w:rsidR="00896734">
        <w:rPr>
          <w:color w:val="000000" w:themeColor="text1"/>
          <w:vertAlign w:val="superscript"/>
        </w:rPr>
        <w:instrText xml:space="preserve"> \* MERGEFORMAT </w:instrText>
      </w:r>
      <w:r w:rsidR="00896734" w:rsidRPr="00896734">
        <w:rPr>
          <w:color w:val="000000" w:themeColor="text1"/>
          <w:vertAlign w:val="superscript"/>
        </w:rPr>
      </w:r>
      <w:r w:rsidR="00896734" w:rsidRPr="00896734">
        <w:rPr>
          <w:color w:val="000000" w:themeColor="text1"/>
          <w:vertAlign w:val="superscript"/>
        </w:rPr>
        <w:fldChar w:fldCharType="separate"/>
      </w:r>
      <w:r w:rsidR="00896734" w:rsidRPr="00896734">
        <w:rPr>
          <w:color w:val="000000" w:themeColor="text1"/>
          <w:vertAlign w:val="superscript"/>
        </w:rPr>
        <w:t>2</w:t>
      </w:r>
      <w:r w:rsidR="00896734" w:rsidRPr="00896734">
        <w:rPr>
          <w:color w:val="000000" w:themeColor="text1"/>
          <w:vertAlign w:val="superscript"/>
        </w:rPr>
        <w:fldChar w:fldCharType="end"/>
      </w:r>
      <w:r w:rsidR="00896734">
        <w:rPr>
          <w:color w:val="000000" w:themeColor="text1"/>
        </w:rPr>
        <w:t>.</w:t>
      </w:r>
      <w:r>
        <w:rPr>
          <w:color w:val="000000" w:themeColor="text1"/>
        </w:rPr>
        <w:t xml:space="preserve"> Part of the signal of this peak also came from the NiO component indicated by the</w:t>
      </w:r>
      <w:r w:rsidR="00FF52AD">
        <w:rPr>
          <w:color w:val="000000" w:themeColor="text1"/>
        </w:rPr>
        <w:t xml:space="preserve"> green line 1. </w:t>
      </w:r>
      <w:r w:rsidR="007F6514" w:rsidRPr="007F6514">
        <w:rPr>
          <w:color w:val="000000" w:themeColor="text1"/>
        </w:rPr>
        <w:t>After the Fe doping</w:t>
      </w:r>
      <w:r w:rsidR="00E459E9">
        <w:rPr>
          <w:color w:val="000000" w:themeColor="text1"/>
        </w:rPr>
        <w:t>,</w:t>
      </w:r>
      <w:r w:rsidR="007F6514" w:rsidRPr="007F6514">
        <w:rPr>
          <w:color w:val="000000" w:themeColor="text1"/>
        </w:rPr>
        <w:t xml:space="preserve"> there is a clear change in the shape of the spectrum</w:t>
      </w:r>
      <w:r w:rsidR="00E459E9">
        <w:rPr>
          <w:color w:val="000000" w:themeColor="text1"/>
        </w:rPr>
        <w:t>; for instance,</w:t>
      </w:r>
      <w:r>
        <w:rPr>
          <w:color w:val="000000" w:themeColor="text1"/>
        </w:rPr>
        <w:t xml:space="preserve"> this peak is wider and shifted to the left. It is explained by the addition of</w:t>
      </w:r>
      <w:r w:rsidR="007F6514" w:rsidRPr="007F6514">
        <w:rPr>
          <w:color w:val="000000" w:themeColor="text1"/>
        </w:rPr>
        <w:t xml:space="preserve"> a new oxide phase due to the formation of a NiFe alloy. The rise of a shoulder at the left of the main peak is consistent with the formation of NiFe</w:t>
      </w:r>
      <w:r w:rsidR="007F6514" w:rsidRPr="00AE146D">
        <w:rPr>
          <w:color w:val="000000" w:themeColor="text1"/>
          <w:vertAlign w:val="subscript"/>
        </w:rPr>
        <w:t>2</w:t>
      </w:r>
      <w:r w:rsidR="007F6514" w:rsidRPr="007F6514">
        <w:rPr>
          <w:color w:val="000000" w:themeColor="text1"/>
        </w:rPr>
        <w:t>O</w:t>
      </w:r>
      <w:r w:rsidR="007F6514" w:rsidRPr="00AE146D">
        <w:rPr>
          <w:color w:val="000000" w:themeColor="text1"/>
          <w:vertAlign w:val="subscript"/>
        </w:rPr>
        <w:t>4</w:t>
      </w:r>
      <w:r w:rsidR="007F6514" w:rsidRPr="007F6514">
        <w:rPr>
          <w:color w:val="000000" w:themeColor="text1"/>
        </w:rPr>
        <w:t xml:space="preserve">, </w:t>
      </w:r>
      <w:r w:rsidR="00E459E9">
        <w:rPr>
          <w:color w:val="000000" w:themeColor="text1"/>
        </w:rPr>
        <w:t>which</w:t>
      </w:r>
      <w:r w:rsidR="00E459E9" w:rsidRPr="007F6514">
        <w:rPr>
          <w:color w:val="000000" w:themeColor="text1"/>
        </w:rPr>
        <w:t xml:space="preserve"> </w:t>
      </w:r>
      <w:r w:rsidR="007F6514" w:rsidRPr="007F6514">
        <w:rPr>
          <w:color w:val="000000" w:themeColor="text1"/>
        </w:rPr>
        <w:t>has peaks at 854.3 and 856.0 eV</w:t>
      </w:r>
      <w:r w:rsidR="007C1645" w:rsidRPr="004641B5">
        <w:rPr>
          <w:rFonts w:eastAsia="Times New Roman" w:cstheme="minorHAnsi"/>
          <w:sz w:val="20"/>
          <w:szCs w:val="20"/>
          <w:vertAlign w:val="superscript"/>
        </w:rPr>
        <w:fldChar w:fldCharType="begin"/>
      </w:r>
      <w:r w:rsidR="007C1645" w:rsidRPr="004641B5">
        <w:rPr>
          <w:rFonts w:eastAsia="Times New Roman" w:cstheme="minorHAnsi"/>
          <w:sz w:val="20"/>
          <w:szCs w:val="20"/>
          <w:vertAlign w:val="superscript"/>
        </w:rPr>
        <w:instrText xml:space="preserve"> NOTEREF _Ref52914042 \h </w:instrText>
      </w:r>
      <w:r w:rsidR="007C1645">
        <w:rPr>
          <w:rFonts w:eastAsia="Times New Roman" w:cstheme="minorHAnsi"/>
          <w:sz w:val="20"/>
          <w:szCs w:val="20"/>
          <w:vertAlign w:val="superscript"/>
        </w:rPr>
        <w:instrText xml:space="preserve"> \* MERGEFORMAT </w:instrText>
      </w:r>
      <w:r w:rsidR="007C1645" w:rsidRPr="004641B5">
        <w:rPr>
          <w:rFonts w:eastAsia="Times New Roman" w:cstheme="minorHAnsi"/>
          <w:sz w:val="20"/>
          <w:szCs w:val="20"/>
          <w:vertAlign w:val="superscript"/>
        </w:rPr>
      </w:r>
      <w:r w:rsidR="007C1645" w:rsidRPr="004641B5">
        <w:rPr>
          <w:rFonts w:eastAsia="Times New Roman" w:cstheme="minorHAnsi"/>
          <w:sz w:val="20"/>
          <w:szCs w:val="20"/>
          <w:vertAlign w:val="superscript"/>
        </w:rPr>
        <w:fldChar w:fldCharType="separate"/>
      </w:r>
      <w:r w:rsidR="007C1645" w:rsidRPr="004641B5">
        <w:rPr>
          <w:rFonts w:eastAsia="Times New Roman" w:cstheme="minorHAnsi"/>
          <w:sz w:val="20"/>
          <w:szCs w:val="20"/>
          <w:vertAlign w:val="superscript"/>
        </w:rPr>
        <w:t>2</w:t>
      </w:r>
      <w:r w:rsidR="007C1645" w:rsidRPr="004641B5">
        <w:rPr>
          <w:rFonts w:eastAsia="Times New Roman" w:cstheme="minorHAnsi"/>
          <w:sz w:val="20"/>
          <w:szCs w:val="20"/>
          <w:vertAlign w:val="superscript"/>
        </w:rPr>
        <w:fldChar w:fldCharType="end"/>
      </w:r>
      <w:r w:rsidR="007F6514" w:rsidRPr="007F6514">
        <w:rPr>
          <w:color w:val="000000" w:themeColor="text1"/>
        </w:rPr>
        <w:t xml:space="preserve">  and is highly </w:t>
      </w:r>
      <w:r w:rsidR="00E459E9">
        <w:rPr>
          <w:color w:val="000000" w:themeColor="text1"/>
        </w:rPr>
        <w:t>active</w:t>
      </w:r>
      <w:r w:rsidR="007F6514" w:rsidRPr="007F6514">
        <w:rPr>
          <w:color w:val="000000" w:themeColor="text1"/>
        </w:rPr>
        <w:t xml:space="preserve"> towards the OER</w:t>
      </w:r>
      <w:r w:rsidR="007C1645">
        <w:rPr>
          <w:rStyle w:val="EndnoteReference"/>
          <w:color w:val="000000" w:themeColor="text1"/>
        </w:rPr>
        <w:endnoteReference w:id="3"/>
      </w:r>
      <w:r w:rsidR="007C1645">
        <w:rPr>
          <w:color w:val="000000" w:themeColor="text1"/>
          <w:vertAlign w:val="superscript"/>
        </w:rPr>
        <w:t>,</w:t>
      </w:r>
      <w:r w:rsidR="007C1645">
        <w:rPr>
          <w:rStyle w:val="EndnoteReference"/>
          <w:color w:val="000000" w:themeColor="text1"/>
        </w:rPr>
        <w:endnoteReference w:id="4"/>
      </w:r>
      <w:r w:rsidR="007F6514" w:rsidRPr="007F6514">
        <w:rPr>
          <w:color w:val="000000" w:themeColor="text1"/>
        </w:rPr>
        <w:t>.</w:t>
      </w:r>
      <w:r w:rsidR="007F6514">
        <w:rPr>
          <w:color w:val="000000" w:themeColor="text1"/>
        </w:rPr>
        <w:t xml:space="preserve"> </w:t>
      </w:r>
    </w:p>
    <w:p w14:paraId="5959BB58" w14:textId="5CFC5326" w:rsidR="00FF52AD" w:rsidRDefault="00FF52AD" w:rsidP="00FF52AD">
      <w:pPr>
        <w:rPr>
          <w:color w:val="000000" w:themeColor="text1"/>
        </w:rPr>
      </w:pPr>
      <w:r>
        <w:rPr>
          <w:color w:val="000000" w:themeColor="text1"/>
        </w:rPr>
        <w:t>Ni oxide spectra before and after water exposure (</w:t>
      </w:r>
      <w:r w:rsidRPr="00AE146D">
        <w:rPr>
          <w:b/>
          <w:bCs/>
          <w:color w:val="000000" w:themeColor="text1"/>
        </w:rPr>
        <w:t>Figure S1a</w:t>
      </w:r>
      <w:r>
        <w:rPr>
          <w:color w:val="000000" w:themeColor="text1"/>
        </w:rPr>
        <w:t>) are very similar.</w:t>
      </w:r>
      <w:r w:rsidR="00BA126A">
        <w:rPr>
          <w:color w:val="000000" w:themeColor="text1"/>
        </w:rPr>
        <w:t xml:space="preserve"> The</w:t>
      </w:r>
      <w:r>
        <w:rPr>
          <w:color w:val="000000" w:themeColor="text1"/>
        </w:rPr>
        <w:t xml:space="preserve"> minor changes</w:t>
      </w:r>
      <w:r w:rsidR="00BA126A">
        <w:rPr>
          <w:color w:val="000000" w:themeColor="text1"/>
        </w:rPr>
        <w:t xml:space="preserve"> are difficult to interpret</w:t>
      </w:r>
      <w:r>
        <w:rPr>
          <w:color w:val="000000" w:themeColor="text1"/>
        </w:rPr>
        <w:t xml:space="preserve"> because of the complex multipeak structure. In this case</w:t>
      </w:r>
      <w:r w:rsidR="00E459E9">
        <w:rPr>
          <w:color w:val="000000" w:themeColor="text1"/>
        </w:rPr>
        <w:t>,</w:t>
      </w:r>
      <w:r>
        <w:rPr>
          <w:color w:val="000000" w:themeColor="text1"/>
        </w:rPr>
        <w:t xml:space="preserve"> the effect of the hydroxylation can be observed more clearly in</w:t>
      </w:r>
      <w:r w:rsidR="00BA126A">
        <w:rPr>
          <w:color w:val="000000" w:themeColor="text1"/>
        </w:rPr>
        <w:t xml:space="preserve"> the O1s spectra</w:t>
      </w:r>
      <w:r w:rsidR="00E459E9">
        <w:rPr>
          <w:color w:val="000000" w:themeColor="text1"/>
        </w:rPr>
        <w:t>,</w:t>
      </w:r>
      <w:r>
        <w:rPr>
          <w:color w:val="000000" w:themeColor="text1"/>
        </w:rPr>
        <w:t xml:space="preserve"> </w:t>
      </w:r>
      <w:r w:rsidR="00D0486C">
        <w:rPr>
          <w:color w:val="000000" w:themeColor="text1"/>
        </w:rPr>
        <w:t xml:space="preserve">as discussed in the main text </w:t>
      </w:r>
      <w:r>
        <w:rPr>
          <w:color w:val="000000" w:themeColor="text1"/>
        </w:rPr>
        <w:t>(</w:t>
      </w:r>
      <w:r w:rsidR="00E459E9" w:rsidRPr="00AE146D">
        <w:rPr>
          <w:b/>
          <w:bCs/>
          <w:color w:val="000000" w:themeColor="text1"/>
        </w:rPr>
        <w:t>Fig</w:t>
      </w:r>
      <w:r w:rsidR="00E459E9">
        <w:rPr>
          <w:b/>
          <w:bCs/>
          <w:color w:val="000000" w:themeColor="text1"/>
        </w:rPr>
        <w:t>.</w:t>
      </w:r>
      <w:r w:rsidR="00E459E9" w:rsidRPr="00AE146D">
        <w:rPr>
          <w:b/>
          <w:bCs/>
          <w:color w:val="000000" w:themeColor="text1"/>
        </w:rPr>
        <w:t xml:space="preserve"> </w:t>
      </w:r>
      <w:r w:rsidR="00D0486C">
        <w:rPr>
          <w:b/>
          <w:bCs/>
          <w:color w:val="000000" w:themeColor="text1"/>
        </w:rPr>
        <w:t>2e-h</w:t>
      </w:r>
      <w:r>
        <w:rPr>
          <w:color w:val="000000" w:themeColor="text1"/>
        </w:rPr>
        <w:t>)</w:t>
      </w:r>
      <w:r w:rsidR="00BA126A">
        <w:rPr>
          <w:color w:val="000000" w:themeColor="text1"/>
        </w:rPr>
        <w:t xml:space="preserve">. </w:t>
      </w:r>
      <w:r>
        <w:rPr>
          <w:color w:val="000000" w:themeColor="text1"/>
        </w:rPr>
        <w:t>On the other side, for Fe doped oxide samples, the hydroxylation is evident also in the Ni2p spectra (</w:t>
      </w:r>
      <w:r w:rsidRPr="00AE146D">
        <w:rPr>
          <w:b/>
          <w:bCs/>
          <w:color w:val="000000" w:themeColor="text1"/>
        </w:rPr>
        <w:t>Figure S1b</w:t>
      </w:r>
      <w:r>
        <w:rPr>
          <w:color w:val="000000" w:themeColor="text1"/>
        </w:rPr>
        <w:t>). A</w:t>
      </w:r>
      <w:r w:rsidR="00A777A7">
        <w:rPr>
          <w:color w:val="000000" w:themeColor="text1"/>
        </w:rPr>
        <w:t>fter water exposure, the peak around</w:t>
      </w:r>
      <w:r>
        <w:rPr>
          <w:color w:val="000000" w:themeColor="text1"/>
        </w:rPr>
        <w:t xml:space="preserve"> 852.6 eV is narrowed and </w:t>
      </w:r>
      <w:r w:rsidR="00E459E9">
        <w:rPr>
          <w:color w:val="000000" w:themeColor="text1"/>
        </w:rPr>
        <w:t xml:space="preserve">shifted </w:t>
      </w:r>
      <w:r>
        <w:rPr>
          <w:color w:val="000000" w:themeColor="text1"/>
        </w:rPr>
        <w:t>to the right. This happens due to the decrease of NiO and NiFe</w:t>
      </w:r>
      <w:r>
        <w:rPr>
          <w:color w:val="000000" w:themeColor="text1"/>
          <w:vertAlign w:val="subscript"/>
        </w:rPr>
        <w:t>2</w:t>
      </w:r>
      <w:r>
        <w:rPr>
          <w:color w:val="000000" w:themeColor="text1"/>
        </w:rPr>
        <w:t>O</w:t>
      </w:r>
      <w:r>
        <w:rPr>
          <w:color w:val="000000" w:themeColor="text1"/>
          <w:vertAlign w:val="subscript"/>
        </w:rPr>
        <w:t>4</w:t>
      </w:r>
      <w:r>
        <w:rPr>
          <w:color w:val="000000" w:themeColor="text1"/>
        </w:rPr>
        <w:t xml:space="preserve"> components (</w:t>
      </w:r>
      <w:r w:rsidR="00A777A7">
        <w:rPr>
          <w:color w:val="000000" w:themeColor="text1"/>
        </w:rPr>
        <w:t>green and brown lines 3</w:t>
      </w:r>
      <w:r>
        <w:rPr>
          <w:color w:val="000000" w:themeColor="text1"/>
        </w:rPr>
        <w:t>). Besides that, a new peak appears a</w:t>
      </w:r>
      <w:r w:rsidR="00A777A7">
        <w:rPr>
          <w:color w:val="000000" w:themeColor="text1"/>
        </w:rPr>
        <w:t xml:space="preserve">round </w:t>
      </w:r>
      <w:r>
        <w:rPr>
          <w:color w:val="000000" w:themeColor="text1"/>
        </w:rPr>
        <w:t xml:space="preserve">855.3 eV. There are two components at this energy, </w:t>
      </w:r>
      <w:r w:rsidR="00E459E9">
        <w:rPr>
          <w:color w:val="000000" w:themeColor="text1"/>
        </w:rPr>
        <w:t xml:space="preserve">namely </w:t>
      </w:r>
      <w:r w:rsidR="00A73935" w:rsidRPr="00A73935">
        <w:rPr>
          <w:color w:val="000000" w:themeColor="text1"/>
        </w:rPr>
        <w:t xml:space="preserve">NiO (green line 1) and NiOOH (orange line 4). </w:t>
      </w:r>
      <w:r>
        <w:rPr>
          <w:color w:val="000000" w:themeColor="text1"/>
        </w:rPr>
        <w:t xml:space="preserve">The first one should decrease as </w:t>
      </w:r>
      <w:r w:rsidR="00E459E9">
        <w:rPr>
          <w:color w:val="000000" w:themeColor="text1"/>
        </w:rPr>
        <w:t xml:space="preserve">the </w:t>
      </w:r>
      <w:r>
        <w:rPr>
          <w:color w:val="000000" w:themeColor="text1"/>
        </w:rPr>
        <w:t>compone</w:t>
      </w:r>
      <w:r w:rsidR="00A777A7">
        <w:rPr>
          <w:color w:val="000000" w:themeColor="text1"/>
        </w:rPr>
        <w:t>nt indicated by the green line 3</w:t>
      </w:r>
      <w:r>
        <w:rPr>
          <w:color w:val="000000" w:themeColor="text1"/>
        </w:rPr>
        <w:t xml:space="preserve">, so the peak emergence can be attributed to the formation of an amount of NiOOH that </w:t>
      </w:r>
      <w:r w:rsidR="00A73935">
        <w:rPr>
          <w:color w:val="000000" w:themeColor="text1"/>
        </w:rPr>
        <w:t xml:space="preserve">is large enough to compensate </w:t>
      </w:r>
      <w:r w:rsidR="00E459E9">
        <w:rPr>
          <w:color w:val="000000" w:themeColor="text1"/>
        </w:rPr>
        <w:t xml:space="preserve">for </w:t>
      </w:r>
      <w:r>
        <w:rPr>
          <w:color w:val="000000" w:themeColor="text1"/>
        </w:rPr>
        <w:t xml:space="preserve">the decrease of NiO. </w:t>
      </w:r>
      <w:r w:rsidR="00E459E9">
        <w:rPr>
          <w:color w:val="000000" w:themeColor="text1"/>
        </w:rPr>
        <w:t>S</w:t>
      </w:r>
      <w:r>
        <w:rPr>
          <w:color w:val="000000" w:themeColor="text1"/>
        </w:rPr>
        <w:t>imilar behavior was observed in all Fe doped samples (</w:t>
      </w:r>
      <w:r w:rsidRPr="00AE146D">
        <w:rPr>
          <w:b/>
          <w:bCs/>
          <w:color w:val="000000" w:themeColor="text1"/>
        </w:rPr>
        <w:t>Fig</w:t>
      </w:r>
      <w:r w:rsidR="00A777A7" w:rsidRPr="00AE146D">
        <w:rPr>
          <w:b/>
          <w:bCs/>
          <w:color w:val="000000" w:themeColor="text1"/>
        </w:rPr>
        <w:t>ures S1c-i</w:t>
      </w:r>
      <w:r>
        <w:rPr>
          <w:color w:val="000000" w:themeColor="text1"/>
        </w:rPr>
        <w:t>), with a decrease of NiO and NiFe</w:t>
      </w:r>
      <w:r>
        <w:rPr>
          <w:color w:val="000000" w:themeColor="text1"/>
          <w:vertAlign w:val="subscript"/>
        </w:rPr>
        <w:t>2</w:t>
      </w:r>
      <w:r>
        <w:rPr>
          <w:color w:val="000000" w:themeColor="text1"/>
        </w:rPr>
        <w:t>O</w:t>
      </w:r>
      <w:r>
        <w:rPr>
          <w:color w:val="000000" w:themeColor="text1"/>
          <w:vertAlign w:val="subscript"/>
        </w:rPr>
        <w:t>4</w:t>
      </w:r>
      <w:r>
        <w:rPr>
          <w:color w:val="000000" w:themeColor="text1"/>
        </w:rPr>
        <w:t xml:space="preserve"> and an increase of NiOOH components. </w:t>
      </w:r>
    </w:p>
    <w:p w14:paraId="62750D90" w14:textId="77777777" w:rsidR="00A73935" w:rsidRDefault="00A73935" w:rsidP="00A73935">
      <w:pPr>
        <w:spacing w:before="240"/>
        <w:rPr>
          <w:rFonts w:cstheme="minorHAnsi"/>
        </w:rPr>
      </w:pPr>
      <w:r>
        <w:rPr>
          <w:noProof/>
          <w:lang w:val="pt-BR" w:eastAsia="pt-BR"/>
        </w:rPr>
        <w:lastRenderedPageBreak/>
        <w:drawing>
          <wp:inline distT="0" distB="0" distL="0" distR="0" wp14:anchorId="74978BA1" wp14:editId="74D491D3">
            <wp:extent cx="5400040" cy="54140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5414010"/>
                    </a:xfrm>
                    <a:prstGeom prst="rect">
                      <a:avLst/>
                    </a:prstGeom>
                  </pic:spPr>
                </pic:pic>
              </a:graphicData>
            </a:graphic>
          </wp:inline>
        </w:drawing>
      </w:r>
    </w:p>
    <w:p w14:paraId="3F962B0C" w14:textId="3892778E" w:rsidR="0081185A" w:rsidRDefault="00A73935" w:rsidP="00896734">
      <w:pPr>
        <w:spacing w:line="240" w:lineRule="auto"/>
        <w:rPr>
          <w:rFonts w:eastAsia="Times New Roman" w:cstheme="minorHAnsi"/>
          <w:sz w:val="20"/>
          <w:szCs w:val="20"/>
        </w:rPr>
      </w:pPr>
      <w:r w:rsidRPr="00F863C0">
        <w:rPr>
          <w:rFonts w:eastAsia="Times New Roman" w:cstheme="minorHAnsi"/>
          <w:b/>
          <w:sz w:val="20"/>
          <w:szCs w:val="20"/>
        </w:rPr>
        <w:t xml:space="preserve">Figure S1 </w:t>
      </w:r>
      <w:r w:rsidRPr="00F863C0">
        <w:rPr>
          <w:rFonts w:cstheme="minorHAnsi"/>
          <w:b/>
          <w:sz w:val="20"/>
          <w:szCs w:val="20"/>
        </w:rPr>
        <w:t>|</w:t>
      </w:r>
      <w:r w:rsidRPr="00F863C0">
        <w:rPr>
          <w:rFonts w:eastAsia="Times New Roman" w:cstheme="minorHAnsi"/>
          <w:b/>
          <w:sz w:val="20"/>
          <w:szCs w:val="20"/>
        </w:rPr>
        <w:t xml:space="preserve"> </w:t>
      </w:r>
      <w:r>
        <w:rPr>
          <w:rFonts w:eastAsia="Times New Roman" w:cstheme="minorHAnsi"/>
          <w:b/>
          <w:sz w:val="20"/>
          <w:szCs w:val="20"/>
        </w:rPr>
        <w:t>XPS spectra of Ni2p region</w:t>
      </w:r>
      <w:r w:rsidRPr="00F863C0">
        <w:rPr>
          <w:rFonts w:eastAsia="Times New Roman" w:cstheme="minorHAnsi"/>
          <w:b/>
          <w:sz w:val="20"/>
          <w:szCs w:val="20"/>
        </w:rPr>
        <w:t xml:space="preserve"> of MBE-prepared nanoislands of Ni and NiFe oxides.</w:t>
      </w:r>
      <w:r>
        <w:rPr>
          <w:rFonts w:eastAsia="Times New Roman" w:cstheme="minorHAnsi"/>
          <w:sz w:val="20"/>
          <w:szCs w:val="20"/>
        </w:rPr>
        <w:t xml:space="preserve"> (a,b) XPS spectra of Ni2p region before (red) and after (blue) water exposure for samples of (a) Ni and (b) Ni</w:t>
      </w:r>
      <w:r>
        <w:rPr>
          <w:rFonts w:eastAsia="Times New Roman" w:cstheme="minorHAnsi"/>
          <w:sz w:val="20"/>
          <w:szCs w:val="20"/>
          <w:vertAlign w:val="subscript"/>
        </w:rPr>
        <w:t>0.97</w:t>
      </w:r>
      <w:r>
        <w:rPr>
          <w:rFonts w:eastAsia="Times New Roman" w:cstheme="minorHAnsi"/>
          <w:sz w:val="20"/>
          <w:szCs w:val="20"/>
        </w:rPr>
        <w:t>Fe</w:t>
      </w:r>
      <w:r>
        <w:rPr>
          <w:rFonts w:eastAsia="Times New Roman" w:cstheme="minorHAnsi"/>
          <w:sz w:val="20"/>
          <w:szCs w:val="20"/>
          <w:vertAlign w:val="subscript"/>
        </w:rPr>
        <w:t>0.03</w:t>
      </w:r>
      <w:r>
        <w:rPr>
          <w:rFonts w:eastAsia="Times New Roman" w:cstheme="minorHAnsi"/>
          <w:sz w:val="20"/>
          <w:szCs w:val="20"/>
        </w:rPr>
        <w:t xml:space="preserve"> oxides. The vertical lines indicate the position of the most intense peaks of metallic Ni (purple), NiO (green), NiFe</w:t>
      </w:r>
      <w:r>
        <w:rPr>
          <w:rFonts w:eastAsia="Times New Roman" w:cstheme="minorHAnsi"/>
          <w:sz w:val="20"/>
          <w:szCs w:val="20"/>
          <w:vertAlign w:val="subscript"/>
        </w:rPr>
        <w:t>2</w:t>
      </w:r>
      <w:r>
        <w:rPr>
          <w:rFonts w:eastAsia="Times New Roman" w:cstheme="minorHAnsi"/>
          <w:sz w:val="20"/>
          <w:szCs w:val="20"/>
        </w:rPr>
        <w:t>O</w:t>
      </w:r>
      <w:r>
        <w:rPr>
          <w:rFonts w:eastAsia="Times New Roman" w:cstheme="minorHAnsi"/>
          <w:sz w:val="20"/>
          <w:szCs w:val="20"/>
          <w:vertAlign w:val="subscript"/>
        </w:rPr>
        <w:t>4</w:t>
      </w:r>
      <w:r>
        <w:rPr>
          <w:rFonts w:eastAsia="Times New Roman" w:cstheme="minorHAnsi"/>
          <w:sz w:val="20"/>
          <w:szCs w:val="20"/>
        </w:rPr>
        <w:t xml:space="preserve"> (brown), Ni(OH)</w:t>
      </w:r>
      <w:r>
        <w:rPr>
          <w:rFonts w:eastAsia="Times New Roman" w:cstheme="minorHAnsi"/>
          <w:sz w:val="20"/>
          <w:szCs w:val="20"/>
          <w:vertAlign w:val="subscript"/>
        </w:rPr>
        <w:t>2</w:t>
      </w:r>
      <w:r>
        <w:rPr>
          <w:rFonts w:eastAsia="Times New Roman" w:cstheme="minorHAnsi"/>
          <w:sz w:val="20"/>
          <w:szCs w:val="20"/>
        </w:rPr>
        <w:t xml:space="preserve"> (pink), and NiOOH (orange</w:t>
      </w:r>
      <w:r w:rsidR="0077447D">
        <w:rPr>
          <w:rFonts w:eastAsia="Times New Roman" w:cstheme="minorHAnsi"/>
          <w:sz w:val="20"/>
          <w:szCs w:val="20"/>
        </w:rPr>
        <w:t>)</w:t>
      </w:r>
      <w:r w:rsidR="002D7574" w:rsidRPr="002D7574">
        <w:rPr>
          <w:rFonts w:eastAsia="Times New Roman" w:cstheme="minorHAnsi"/>
          <w:sz w:val="20"/>
          <w:szCs w:val="20"/>
          <w:vertAlign w:val="superscript"/>
        </w:rPr>
        <w:fldChar w:fldCharType="begin"/>
      </w:r>
      <w:r w:rsidR="002D7574" w:rsidRPr="002D7574">
        <w:rPr>
          <w:rFonts w:eastAsia="Times New Roman" w:cstheme="minorHAnsi"/>
          <w:sz w:val="20"/>
          <w:szCs w:val="20"/>
          <w:vertAlign w:val="superscript"/>
        </w:rPr>
        <w:instrText xml:space="preserve"> NOTEREF _Ref52914042 \h </w:instrText>
      </w:r>
      <w:r w:rsidR="002D7574">
        <w:rPr>
          <w:rFonts w:eastAsia="Times New Roman" w:cstheme="minorHAnsi"/>
          <w:sz w:val="20"/>
          <w:szCs w:val="20"/>
          <w:vertAlign w:val="superscript"/>
        </w:rPr>
        <w:instrText xml:space="preserve"> \* MERGEFORMAT </w:instrText>
      </w:r>
      <w:r w:rsidR="002D7574" w:rsidRPr="002D7574">
        <w:rPr>
          <w:rFonts w:eastAsia="Times New Roman" w:cstheme="minorHAnsi"/>
          <w:sz w:val="20"/>
          <w:szCs w:val="20"/>
          <w:vertAlign w:val="superscript"/>
        </w:rPr>
      </w:r>
      <w:r w:rsidR="002D7574" w:rsidRPr="002D7574">
        <w:rPr>
          <w:rFonts w:eastAsia="Times New Roman" w:cstheme="minorHAnsi"/>
          <w:sz w:val="20"/>
          <w:szCs w:val="20"/>
          <w:vertAlign w:val="superscript"/>
        </w:rPr>
        <w:fldChar w:fldCharType="separate"/>
      </w:r>
      <w:r w:rsidR="002D7574" w:rsidRPr="002D7574">
        <w:rPr>
          <w:rFonts w:eastAsia="Times New Roman" w:cstheme="minorHAnsi"/>
          <w:sz w:val="20"/>
          <w:szCs w:val="20"/>
          <w:vertAlign w:val="superscript"/>
        </w:rPr>
        <w:t>2</w:t>
      </w:r>
      <w:r w:rsidR="002D7574" w:rsidRPr="002D7574">
        <w:rPr>
          <w:rFonts w:eastAsia="Times New Roman" w:cstheme="minorHAnsi"/>
          <w:sz w:val="20"/>
          <w:szCs w:val="20"/>
          <w:vertAlign w:val="superscript"/>
        </w:rPr>
        <w:fldChar w:fldCharType="end"/>
      </w:r>
      <w:r>
        <w:rPr>
          <w:rFonts w:eastAsia="Times New Roman" w:cstheme="minorHAnsi"/>
          <w:sz w:val="20"/>
          <w:szCs w:val="20"/>
        </w:rPr>
        <w:t>. Only peaks that correspond to more than 10% of the total intensity are shown. (c-i) XPS spectra of Ni2p</w:t>
      </w:r>
      <w:r>
        <w:rPr>
          <w:rFonts w:eastAsia="Times New Roman" w:cstheme="minorHAnsi"/>
          <w:sz w:val="20"/>
          <w:szCs w:val="20"/>
          <w:vertAlign w:val="subscript"/>
        </w:rPr>
        <w:t xml:space="preserve">3/2 </w:t>
      </w:r>
      <w:r>
        <w:rPr>
          <w:rFonts w:eastAsia="Times New Roman" w:cstheme="minorHAnsi"/>
          <w:sz w:val="20"/>
          <w:szCs w:val="20"/>
        </w:rPr>
        <w:t>region before (red) and after (blue) water exposure for samples of (c) Ni; (d) Ni</w:t>
      </w:r>
      <w:r>
        <w:rPr>
          <w:rFonts w:eastAsia="Times New Roman" w:cstheme="minorHAnsi"/>
          <w:sz w:val="20"/>
          <w:szCs w:val="20"/>
          <w:vertAlign w:val="subscript"/>
        </w:rPr>
        <w:t>0.97</w:t>
      </w:r>
      <w:r>
        <w:rPr>
          <w:rFonts w:eastAsia="Times New Roman" w:cstheme="minorHAnsi"/>
          <w:sz w:val="20"/>
          <w:szCs w:val="20"/>
        </w:rPr>
        <w:t>Fe</w:t>
      </w:r>
      <w:r>
        <w:rPr>
          <w:rFonts w:eastAsia="Times New Roman" w:cstheme="minorHAnsi"/>
          <w:sz w:val="20"/>
          <w:szCs w:val="20"/>
          <w:vertAlign w:val="subscript"/>
        </w:rPr>
        <w:t>0.03</w:t>
      </w:r>
      <w:r>
        <w:rPr>
          <w:rFonts w:eastAsia="Times New Roman" w:cstheme="minorHAnsi"/>
          <w:sz w:val="20"/>
          <w:szCs w:val="20"/>
        </w:rPr>
        <w:t>; (e) Ni</w:t>
      </w:r>
      <w:r>
        <w:rPr>
          <w:rFonts w:eastAsia="Times New Roman" w:cstheme="minorHAnsi"/>
          <w:sz w:val="20"/>
          <w:szCs w:val="20"/>
          <w:vertAlign w:val="subscript"/>
        </w:rPr>
        <w:t>0.92</w:t>
      </w:r>
      <w:r>
        <w:rPr>
          <w:rFonts w:eastAsia="Times New Roman" w:cstheme="minorHAnsi"/>
          <w:sz w:val="20"/>
          <w:szCs w:val="20"/>
        </w:rPr>
        <w:t>Fe</w:t>
      </w:r>
      <w:r>
        <w:rPr>
          <w:rFonts w:eastAsia="Times New Roman" w:cstheme="minorHAnsi"/>
          <w:sz w:val="20"/>
          <w:szCs w:val="20"/>
          <w:vertAlign w:val="subscript"/>
        </w:rPr>
        <w:t>0.08</w:t>
      </w:r>
      <w:r>
        <w:rPr>
          <w:rFonts w:eastAsia="Times New Roman" w:cstheme="minorHAnsi"/>
          <w:sz w:val="20"/>
          <w:szCs w:val="20"/>
        </w:rPr>
        <w:t>; (f) Ni</w:t>
      </w:r>
      <w:r>
        <w:rPr>
          <w:rFonts w:eastAsia="Times New Roman" w:cstheme="minorHAnsi"/>
          <w:sz w:val="20"/>
          <w:szCs w:val="20"/>
          <w:vertAlign w:val="subscript"/>
        </w:rPr>
        <w:t>0.90</w:t>
      </w:r>
      <w:r>
        <w:rPr>
          <w:rFonts w:eastAsia="Times New Roman" w:cstheme="minorHAnsi"/>
          <w:sz w:val="20"/>
          <w:szCs w:val="20"/>
        </w:rPr>
        <w:t>Fe</w:t>
      </w:r>
      <w:r>
        <w:rPr>
          <w:rFonts w:eastAsia="Times New Roman" w:cstheme="minorHAnsi"/>
          <w:sz w:val="20"/>
          <w:szCs w:val="20"/>
          <w:vertAlign w:val="subscript"/>
        </w:rPr>
        <w:t>0.10</w:t>
      </w:r>
      <w:r>
        <w:rPr>
          <w:rFonts w:eastAsia="Times New Roman" w:cstheme="minorHAnsi"/>
          <w:sz w:val="20"/>
          <w:szCs w:val="20"/>
        </w:rPr>
        <w:t>; (g) Ni</w:t>
      </w:r>
      <w:r>
        <w:rPr>
          <w:rFonts w:eastAsia="Times New Roman" w:cstheme="minorHAnsi"/>
          <w:sz w:val="20"/>
          <w:szCs w:val="20"/>
          <w:vertAlign w:val="subscript"/>
        </w:rPr>
        <w:t>0.89</w:t>
      </w:r>
      <w:r>
        <w:rPr>
          <w:rFonts w:eastAsia="Times New Roman" w:cstheme="minorHAnsi"/>
          <w:sz w:val="20"/>
          <w:szCs w:val="20"/>
        </w:rPr>
        <w:t>Fe</w:t>
      </w:r>
      <w:r>
        <w:rPr>
          <w:rFonts w:eastAsia="Times New Roman" w:cstheme="minorHAnsi"/>
          <w:sz w:val="20"/>
          <w:szCs w:val="20"/>
          <w:vertAlign w:val="subscript"/>
        </w:rPr>
        <w:t>0.11</w:t>
      </w:r>
      <w:r>
        <w:rPr>
          <w:rFonts w:eastAsia="Times New Roman" w:cstheme="minorHAnsi"/>
          <w:sz w:val="20"/>
          <w:szCs w:val="20"/>
        </w:rPr>
        <w:t>; (h) Ni</w:t>
      </w:r>
      <w:r>
        <w:rPr>
          <w:rFonts w:eastAsia="Times New Roman" w:cstheme="minorHAnsi"/>
          <w:sz w:val="20"/>
          <w:szCs w:val="20"/>
          <w:vertAlign w:val="subscript"/>
        </w:rPr>
        <w:t>0.86</w:t>
      </w:r>
      <w:r>
        <w:rPr>
          <w:rFonts w:eastAsia="Times New Roman" w:cstheme="minorHAnsi"/>
          <w:sz w:val="20"/>
          <w:szCs w:val="20"/>
        </w:rPr>
        <w:t>Fe</w:t>
      </w:r>
      <w:r>
        <w:rPr>
          <w:rFonts w:eastAsia="Times New Roman" w:cstheme="minorHAnsi"/>
          <w:sz w:val="20"/>
          <w:szCs w:val="20"/>
          <w:vertAlign w:val="subscript"/>
        </w:rPr>
        <w:t>0.14</w:t>
      </w:r>
      <w:r>
        <w:rPr>
          <w:rFonts w:eastAsia="Times New Roman" w:cstheme="minorHAnsi"/>
          <w:sz w:val="20"/>
          <w:szCs w:val="20"/>
        </w:rPr>
        <w:t>; (i) Ni</w:t>
      </w:r>
      <w:r>
        <w:rPr>
          <w:rFonts w:eastAsia="Times New Roman" w:cstheme="minorHAnsi"/>
          <w:sz w:val="20"/>
          <w:szCs w:val="20"/>
          <w:vertAlign w:val="subscript"/>
        </w:rPr>
        <w:t>0.80</w:t>
      </w:r>
      <w:r>
        <w:rPr>
          <w:rFonts w:eastAsia="Times New Roman" w:cstheme="minorHAnsi"/>
          <w:sz w:val="20"/>
          <w:szCs w:val="20"/>
        </w:rPr>
        <w:t>Fe</w:t>
      </w:r>
      <w:r>
        <w:rPr>
          <w:rFonts w:eastAsia="Times New Roman" w:cstheme="minorHAnsi"/>
          <w:sz w:val="20"/>
          <w:szCs w:val="20"/>
          <w:vertAlign w:val="subscript"/>
        </w:rPr>
        <w:t>0.20</w:t>
      </w:r>
      <w:r>
        <w:rPr>
          <w:rFonts w:eastAsia="Times New Roman" w:cstheme="minorHAnsi"/>
          <w:sz w:val="20"/>
          <w:szCs w:val="20"/>
        </w:rPr>
        <w:t xml:space="preserve">. </w:t>
      </w:r>
    </w:p>
    <w:p w14:paraId="5533BC41" w14:textId="3CC9E7B9" w:rsidR="00E459E9" w:rsidRPr="00896734" w:rsidRDefault="00E459E9" w:rsidP="00896734">
      <w:pPr>
        <w:spacing w:line="240" w:lineRule="auto"/>
        <w:rPr>
          <w:b/>
          <w:bCs/>
          <w:sz w:val="24"/>
        </w:rPr>
      </w:pPr>
      <w:r>
        <w:rPr>
          <w:b/>
          <w:bCs/>
          <w:sz w:val="24"/>
        </w:rPr>
        <w:br w:type="page"/>
      </w:r>
    </w:p>
    <w:tbl>
      <w:tblPr>
        <w:tblStyle w:val="TableGrid"/>
        <w:tblpPr w:leftFromText="141" w:rightFromText="141" w:vertAnchor="text" w:horzAnchor="margin" w:tblpXSpec="center" w:tblpY="109"/>
        <w:tblW w:w="8445" w:type="dxa"/>
        <w:tblInd w:w="0" w:type="dxa"/>
        <w:tblLayout w:type="fixed"/>
        <w:tblLook w:val="04A0" w:firstRow="1" w:lastRow="0" w:firstColumn="1" w:lastColumn="0" w:noHBand="0" w:noVBand="1"/>
      </w:tblPr>
      <w:tblGrid>
        <w:gridCol w:w="961"/>
        <w:gridCol w:w="677"/>
        <w:gridCol w:w="678"/>
        <w:gridCol w:w="513"/>
        <w:gridCol w:w="680"/>
        <w:gridCol w:w="680"/>
        <w:gridCol w:w="511"/>
        <w:gridCol w:w="680"/>
        <w:gridCol w:w="680"/>
        <w:gridCol w:w="511"/>
        <w:gridCol w:w="684"/>
        <w:gridCol w:w="680"/>
        <w:gridCol w:w="510"/>
      </w:tblGrid>
      <w:tr w:rsidR="00A73935" w:rsidRPr="00E91A14" w14:paraId="3E594D2E" w14:textId="77777777" w:rsidTr="00061CAC">
        <w:trPr>
          <w:trHeight w:val="283"/>
        </w:trPr>
        <w:tc>
          <w:tcPr>
            <w:tcW w:w="962" w:type="dxa"/>
            <w:vMerge w:val="restart"/>
            <w:tcBorders>
              <w:top w:val="single" w:sz="12" w:space="0" w:color="FFFFFF" w:themeColor="background1"/>
              <w:left w:val="single" w:sz="12" w:space="0" w:color="FFFFFF" w:themeColor="background1"/>
              <w:bottom w:val="single" w:sz="12" w:space="0" w:color="auto"/>
              <w:right w:val="single" w:sz="12" w:space="0" w:color="auto"/>
            </w:tcBorders>
            <w:vAlign w:val="center"/>
            <w:hideMark/>
          </w:tcPr>
          <w:p w14:paraId="7EFE4E1D"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lastRenderedPageBreak/>
              <w:t>Compound</w:t>
            </w:r>
          </w:p>
        </w:tc>
        <w:tc>
          <w:tcPr>
            <w:tcW w:w="1869"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7D0797CE"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Peak 1</w:t>
            </w:r>
          </w:p>
        </w:tc>
        <w:tc>
          <w:tcPr>
            <w:tcW w:w="1871"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2757C1FC"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Peak 2</w:t>
            </w:r>
          </w:p>
        </w:tc>
        <w:tc>
          <w:tcPr>
            <w:tcW w:w="1871"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6CB995AB"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Peak 3</w:t>
            </w:r>
          </w:p>
        </w:tc>
        <w:tc>
          <w:tcPr>
            <w:tcW w:w="1871" w:type="dxa"/>
            <w:gridSpan w:val="3"/>
            <w:tcBorders>
              <w:top w:val="single" w:sz="12" w:space="0" w:color="FFFFFF" w:themeColor="background1"/>
              <w:left w:val="single" w:sz="12" w:space="0" w:color="auto"/>
              <w:bottom w:val="single" w:sz="4" w:space="0" w:color="auto"/>
              <w:right w:val="single" w:sz="12" w:space="0" w:color="FFFFFF" w:themeColor="background1"/>
            </w:tcBorders>
            <w:vAlign w:val="center"/>
            <w:hideMark/>
          </w:tcPr>
          <w:p w14:paraId="26AFB902"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Peak 4</w:t>
            </w:r>
          </w:p>
        </w:tc>
      </w:tr>
      <w:tr w:rsidR="00A73935" w:rsidRPr="00E91A14" w14:paraId="1CF6F554" w14:textId="77777777" w:rsidTr="00061CAC">
        <w:trPr>
          <w:trHeight w:val="283"/>
        </w:trPr>
        <w:tc>
          <w:tcPr>
            <w:tcW w:w="962" w:type="dxa"/>
            <w:vMerge/>
            <w:tcBorders>
              <w:top w:val="single" w:sz="12" w:space="0" w:color="FFFFFF" w:themeColor="background1"/>
              <w:left w:val="single" w:sz="12" w:space="0" w:color="FFFFFF" w:themeColor="background1"/>
              <w:bottom w:val="single" w:sz="12" w:space="0" w:color="auto"/>
              <w:right w:val="single" w:sz="12" w:space="0" w:color="auto"/>
            </w:tcBorders>
            <w:vAlign w:val="center"/>
            <w:hideMark/>
          </w:tcPr>
          <w:p w14:paraId="02F2B42F" w14:textId="77777777" w:rsidR="00A73935" w:rsidRPr="00E91A14" w:rsidRDefault="00A73935" w:rsidP="00061CAC">
            <w:pPr>
              <w:spacing w:line="240" w:lineRule="auto"/>
              <w:rPr>
                <w:rFonts w:eastAsiaTheme="minorHAnsi" w:cstheme="minorHAnsi"/>
                <w:b/>
                <w:sz w:val="16"/>
                <w:szCs w:val="16"/>
                <w:lang w:eastAsia="en-US"/>
              </w:rPr>
            </w:pPr>
          </w:p>
        </w:tc>
        <w:tc>
          <w:tcPr>
            <w:tcW w:w="678" w:type="dxa"/>
            <w:tcBorders>
              <w:top w:val="single" w:sz="4" w:space="0" w:color="auto"/>
              <w:left w:val="single" w:sz="12" w:space="0" w:color="auto"/>
              <w:bottom w:val="single" w:sz="12" w:space="0" w:color="auto"/>
              <w:right w:val="single" w:sz="4" w:space="0" w:color="auto"/>
            </w:tcBorders>
            <w:vAlign w:val="center"/>
            <w:hideMark/>
          </w:tcPr>
          <w:p w14:paraId="33F713B7"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Energy (eV)</w:t>
            </w:r>
          </w:p>
        </w:tc>
        <w:tc>
          <w:tcPr>
            <w:tcW w:w="678" w:type="dxa"/>
            <w:tcBorders>
              <w:top w:val="single" w:sz="4" w:space="0" w:color="auto"/>
              <w:left w:val="single" w:sz="4" w:space="0" w:color="auto"/>
              <w:bottom w:val="single" w:sz="12" w:space="0" w:color="auto"/>
              <w:right w:val="single" w:sz="4" w:space="0" w:color="auto"/>
            </w:tcBorders>
            <w:vAlign w:val="center"/>
            <w:hideMark/>
          </w:tcPr>
          <w:p w14:paraId="28BC2681" w14:textId="77777777" w:rsidR="00A73935" w:rsidRPr="00E91A14" w:rsidRDefault="00A73935" w:rsidP="00061CAC">
            <w:pPr>
              <w:spacing w:line="240" w:lineRule="auto"/>
              <w:jc w:val="center"/>
              <w:rPr>
                <w:rFonts w:cstheme="minorHAnsi"/>
                <w:b/>
                <w:sz w:val="16"/>
                <w:szCs w:val="16"/>
                <w:lang w:val="pt-BR"/>
              </w:rPr>
            </w:pPr>
            <w:r w:rsidRPr="00E91A14">
              <w:rPr>
                <w:rFonts w:cstheme="minorHAnsi"/>
                <w:b/>
                <w:sz w:val="16"/>
                <w:szCs w:val="16"/>
                <w:lang w:val="pt-BR"/>
              </w:rPr>
              <w:t>FWHM</w:t>
            </w:r>
          </w:p>
          <w:p w14:paraId="551DF73B"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(eV)</w:t>
            </w:r>
          </w:p>
        </w:tc>
        <w:tc>
          <w:tcPr>
            <w:tcW w:w="513" w:type="dxa"/>
            <w:tcBorders>
              <w:top w:val="single" w:sz="4" w:space="0" w:color="auto"/>
              <w:left w:val="single" w:sz="4" w:space="0" w:color="auto"/>
              <w:bottom w:val="single" w:sz="12" w:space="0" w:color="auto"/>
              <w:right w:val="single" w:sz="12" w:space="0" w:color="auto"/>
            </w:tcBorders>
            <w:vAlign w:val="center"/>
            <w:hideMark/>
          </w:tcPr>
          <w:p w14:paraId="79A28080"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w:t>
            </w:r>
          </w:p>
        </w:tc>
        <w:tc>
          <w:tcPr>
            <w:tcW w:w="680" w:type="dxa"/>
            <w:tcBorders>
              <w:top w:val="single" w:sz="4" w:space="0" w:color="auto"/>
              <w:left w:val="single" w:sz="12" w:space="0" w:color="auto"/>
              <w:bottom w:val="single" w:sz="12" w:space="0" w:color="auto"/>
              <w:right w:val="single" w:sz="4" w:space="0" w:color="auto"/>
            </w:tcBorders>
            <w:vAlign w:val="center"/>
            <w:hideMark/>
          </w:tcPr>
          <w:p w14:paraId="6A28A82E"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34C8EC51" w14:textId="77777777" w:rsidR="00A73935" w:rsidRPr="00E91A14" w:rsidRDefault="00A73935" w:rsidP="00061CAC">
            <w:pPr>
              <w:spacing w:line="240" w:lineRule="auto"/>
              <w:jc w:val="center"/>
              <w:rPr>
                <w:rFonts w:cstheme="minorHAnsi"/>
                <w:b/>
                <w:sz w:val="16"/>
                <w:szCs w:val="16"/>
                <w:lang w:val="pt-BR"/>
              </w:rPr>
            </w:pPr>
            <w:r w:rsidRPr="00E91A14">
              <w:rPr>
                <w:rFonts w:cstheme="minorHAnsi"/>
                <w:b/>
                <w:sz w:val="16"/>
                <w:szCs w:val="16"/>
                <w:lang w:val="pt-BR"/>
              </w:rPr>
              <w:t>FWHM</w:t>
            </w:r>
          </w:p>
          <w:p w14:paraId="1B1E9FB8"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(eV)</w:t>
            </w:r>
          </w:p>
        </w:tc>
        <w:tc>
          <w:tcPr>
            <w:tcW w:w="510" w:type="dxa"/>
            <w:tcBorders>
              <w:top w:val="single" w:sz="4" w:space="0" w:color="auto"/>
              <w:left w:val="single" w:sz="4" w:space="0" w:color="auto"/>
              <w:bottom w:val="single" w:sz="12" w:space="0" w:color="auto"/>
              <w:right w:val="single" w:sz="12" w:space="0" w:color="auto"/>
            </w:tcBorders>
            <w:vAlign w:val="center"/>
            <w:hideMark/>
          </w:tcPr>
          <w:p w14:paraId="00E2037B"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w:t>
            </w:r>
          </w:p>
        </w:tc>
        <w:tc>
          <w:tcPr>
            <w:tcW w:w="680" w:type="dxa"/>
            <w:tcBorders>
              <w:top w:val="single" w:sz="4" w:space="0" w:color="auto"/>
              <w:left w:val="single" w:sz="12" w:space="0" w:color="auto"/>
              <w:bottom w:val="single" w:sz="12" w:space="0" w:color="auto"/>
              <w:right w:val="single" w:sz="4" w:space="0" w:color="auto"/>
            </w:tcBorders>
            <w:vAlign w:val="center"/>
            <w:hideMark/>
          </w:tcPr>
          <w:p w14:paraId="79AC2A8C"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5CE924C9"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FWHM(eV)</w:t>
            </w:r>
          </w:p>
        </w:tc>
        <w:tc>
          <w:tcPr>
            <w:tcW w:w="510" w:type="dxa"/>
            <w:tcBorders>
              <w:top w:val="single" w:sz="4" w:space="0" w:color="auto"/>
              <w:left w:val="single" w:sz="4" w:space="0" w:color="auto"/>
              <w:bottom w:val="single" w:sz="12" w:space="0" w:color="auto"/>
              <w:right w:val="single" w:sz="12" w:space="0" w:color="auto"/>
            </w:tcBorders>
            <w:vAlign w:val="center"/>
            <w:hideMark/>
          </w:tcPr>
          <w:p w14:paraId="773515FF"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w:t>
            </w:r>
          </w:p>
        </w:tc>
        <w:tc>
          <w:tcPr>
            <w:tcW w:w="684" w:type="dxa"/>
            <w:tcBorders>
              <w:top w:val="single" w:sz="4" w:space="0" w:color="auto"/>
              <w:left w:val="single" w:sz="12" w:space="0" w:color="auto"/>
              <w:bottom w:val="single" w:sz="12" w:space="0" w:color="auto"/>
              <w:right w:val="single" w:sz="4" w:space="0" w:color="auto"/>
            </w:tcBorders>
            <w:vAlign w:val="center"/>
            <w:hideMark/>
          </w:tcPr>
          <w:p w14:paraId="4A99D5D1"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0AAC8846"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FWHM(eV)</w:t>
            </w:r>
          </w:p>
        </w:tc>
        <w:tc>
          <w:tcPr>
            <w:tcW w:w="510" w:type="dxa"/>
            <w:tcBorders>
              <w:top w:val="single" w:sz="4" w:space="0" w:color="auto"/>
              <w:left w:val="single" w:sz="4" w:space="0" w:color="auto"/>
              <w:bottom w:val="single" w:sz="12" w:space="0" w:color="auto"/>
              <w:right w:val="single" w:sz="12" w:space="0" w:color="FFFFFF" w:themeColor="background1"/>
            </w:tcBorders>
            <w:vAlign w:val="center"/>
            <w:hideMark/>
          </w:tcPr>
          <w:p w14:paraId="17F494A3"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w:t>
            </w:r>
          </w:p>
        </w:tc>
      </w:tr>
      <w:tr w:rsidR="00A73935" w:rsidRPr="00E91A14" w14:paraId="5A5898F8" w14:textId="77777777" w:rsidTr="00061CAC">
        <w:trPr>
          <w:trHeight w:val="283"/>
        </w:trPr>
        <w:tc>
          <w:tcPr>
            <w:tcW w:w="962" w:type="dxa"/>
            <w:tcBorders>
              <w:top w:val="single" w:sz="12" w:space="0" w:color="auto"/>
              <w:left w:val="single" w:sz="12" w:space="0" w:color="FFFFFF" w:themeColor="background1"/>
              <w:bottom w:val="single" w:sz="4" w:space="0" w:color="auto"/>
              <w:right w:val="single" w:sz="12" w:space="0" w:color="auto"/>
            </w:tcBorders>
            <w:vAlign w:val="center"/>
            <w:hideMark/>
          </w:tcPr>
          <w:p w14:paraId="492E4F43"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Metallic Ni</w:t>
            </w:r>
          </w:p>
        </w:tc>
        <w:tc>
          <w:tcPr>
            <w:tcW w:w="678" w:type="dxa"/>
            <w:tcBorders>
              <w:top w:val="single" w:sz="12" w:space="0" w:color="auto"/>
              <w:left w:val="single" w:sz="12" w:space="0" w:color="auto"/>
              <w:bottom w:val="single" w:sz="4" w:space="0" w:color="auto"/>
              <w:right w:val="single" w:sz="4" w:space="0" w:color="auto"/>
            </w:tcBorders>
            <w:vAlign w:val="center"/>
            <w:hideMark/>
          </w:tcPr>
          <w:p w14:paraId="10A39C94"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852.6</w:t>
            </w:r>
          </w:p>
        </w:tc>
        <w:tc>
          <w:tcPr>
            <w:tcW w:w="678" w:type="dxa"/>
            <w:tcBorders>
              <w:top w:val="single" w:sz="12" w:space="0" w:color="auto"/>
              <w:left w:val="single" w:sz="4" w:space="0" w:color="auto"/>
              <w:bottom w:val="single" w:sz="4" w:space="0" w:color="auto"/>
              <w:right w:val="single" w:sz="4" w:space="0" w:color="auto"/>
            </w:tcBorders>
            <w:vAlign w:val="center"/>
            <w:hideMark/>
          </w:tcPr>
          <w:p w14:paraId="6FBA8812"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0.94</w:t>
            </w:r>
          </w:p>
        </w:tc>
        <w:tc>
          <w:tcPr>
            <w:tcW w:w="513" w:type="dxa"/>
            <w:tcBorders>
              <w:top w:val="single" w:sz="12" w:space="0" w:color="auto"/>
              <w:left w:val="single" w:sz="4" w:space="0" w:color="auto"/>
              <w:bottom w:val="single" w:sz="4" w:space="0" w:color="auto"/>
              <w:right w:val="single" w:sz="12" w:space="0" w:color="auto"/>
            </w:tcBorders>
            <w:vAlign w:val="center"/>
            <w:hideMark/>
          </w:tcPr>
          <w:p w14:paraId="6202FE1E"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81.2</w:t>
            </w:r>
          </w:p>
        </w:tc>
        <w:tc>
          <w:tcPr>
            <w:tcW w:w="680" w:type="dxa"/>
            <w:tcBorders>
              <w:top w:val="single" w:sz="12" w:space="0" w:color="auto"/>
              <w:left w:val="single" w:sz="12" w:space="0" w:color="auto"/>
              <w:bottom w:val="single" w:sz="4" w:space="0" w:color="auto"/>
              <w:right w:val="single" w:sz="4" w:space="0" w:color="auto"/>
            </w:tcBorders>
            <w:vAlign w:val="center"/>
            <w:hideMark/>
          </w:tcPr>
          <w:p w14:paraId="27DBAE2D"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858.7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31B5AFB1"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2.70</w:t>
            </w:r>
          </w:p>
        </w:tc>
        <w:tc>
          <w:tcPr>
            <w:tcW w:w="510" w:type="dxa"/>
            <w:tcBorders>
              <w:top w:val="single" w:sz="12" w:space="0" w:color="auto"/>
              <w:left w:val="single" w:sz="4" w:space="0" w:color="auto"/>
              <w:bottom w:val="single" w:sz="4" w:space="0" w:color="auto"/>
              <w:right w:val="single" w:sz="12" w:space="0" w:color="auto"/>
            </w:tcBorders>
            <w:vAlign w:val="center"/>
            <w:hideMark/>
          </w:tcPr>
          <w:p w14:paraId="2221EDB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12.5</w:t>
            </w:r>
          </w:p>
        </w:tc>
        <w:tc>
          <w:tcPr>
            <w:tcW w:w="680" w:type="dxa"/>
            <w:tcBorders>
              <w:top w:val="single" w:sz="12" w:space="0" w:color="auto"/>
              <w:left w:val="single" w:sz="12" w:space="0" w:color="auto"/>
              <w:bottom w:val="single" w:sz="4" w:space="0" w:color="auto"/>
              <w:right w:val="single" w:sz="4" w:space="0" w:color="auto"/>
            </w:tcBorders>
            <w:vAlign w:val="center"/>
          </w:tcPr>
          <w:p w14:paraId="0AAA8711" w14:textId="77777777" w:rsidR="00A73935" w:rsidRPr="00E91A14" w:rsidRDefault="00A73935" w:rsidP="00061CAC">
            <w:pPr>
              <w:spacing w:line="240" w:lineRule="auto"/>
              <w:jc w:val="center"/>
              <w:rPr>
                <w:rFonts w:cstheme="minorHAnsi"/>
                <w:sz w:val="16"/>
                <w:szCs w:val="16"/>
              </w:rPr>
            </w:pPr>
          </w:p>
        </w:tc>
        <w:tc>
          <w:tcPr>
            <w:tcW w:w="680" w:type="dxa"/>
            <w:tcBorders>
              <w:top w:val="single" w:sz="12" w:space="0" w:color="auto"/>
              <w:left w:val="single" w:sz="4" w:space="0" w:color="auto"/>
              <w:bottom w:val="single" w:sz="4" w:space="0" w:color="auto"/>
              <w:right w:val="single" w:sz="4" w:space="0" w:color="auto"/>
            </w:tcBorders>
            <w:vAlign w:val="center"/>
          </w:tcPr>
          <w:p w14:paraId="4B0C4003" w14:textId="77777777" w:rsidR="00A73935" w:rsidRPr="00E91A14" w:rsidRDefault="00A73935" w:rsidP="00061CAC">
            <w:pPr>
              <w:spacing w:line="240" w:lineRule="auto"/>
              <w:jc w:val="center"/>
              <w:rPr>
                <w:rFonts w:cstheme="minorHAnsi"/>
                <w:sz w:val="16"/>
                <w:szCs w:val="16"/>
              </w:rPr>
            </w:pPr>
          </w:p>
        </w:tc>
        <w:tc>
          <w:tcPr>
            <w:tcW w:w="510" w:type="dxa"/>
            <w:tcBorders>
              <w:top w:val="single" w:sz="12" w:space="0" w:color="auto"/>
              <w:left w:val="single" w:sz="4" w:space="0" w:color="auto"/>
              <w:bottom w:val="single" w:sz="4" w:space="0" w:color="auto"/>
              <w:right w:val="single" w:sz="12" w:space="0" w:color="auto"/>
            </w:tcBorders>
            <w:vAlign w:val="center"/>
          </w:tcPr>
          <w:p w14:paraId="30008CB5" w14:textId="77777777" w:rsidR="00A73935" w:rsidRPr="00E91A14" w:rsidRDefault="00A73935" w:rsidP="00061CAC">
            <w:pPr>
              <w:spacing w:line="240" w:lineRule="auto"/>
              <w:jc w:val="center"/>
              <w:rPr>
                <w:rFonts w:cstheme="minorHAnsi"/>
                <w:sz w:val="16"/>
                <w:szCs w:val="16"/>
              </w:rPr>
            </w:pPr>
          </w:p>
        </w:tc>
        <w:tc>
          <w:tcPr>
            <w:tcW w:w="684" w:type="dxa"/>
            <w:tcBorders>
              <w:top w:val="single" w:sz="12" w:space="0" w:color="auto"/>
              <w:left w:val="single" w:sz="12" w:space="0" w:color="auto"/>
              <w:bottom w:val="single" w:sz="4" w:space="0" w:color="auto"/>
              <w:right w:val="single" w:sz="4" w:space="0" w:color="auto"/>
            </w:tcBorders>
            <w:vAlign w:val="center"/>
          </w:tcPr>
          <w:p w14:paraId="2022B886" w14:textId="77777777" w:rsidR="00A73935" w:rsidRPr="00E91A14" w:rsidRDefault="00A73935" w:rsidP="00061CAC">
            <w:pPr>
              <w:spacing w:line="240" w:lineRule="auto"/>
              <w:jc w:val="center"/>
              <w:rPr>
                <w:rFonts w:cstheme="minorHAnsi"/>
                <w:sz w:val="16"/>
                <w:szCs w:val="16"/>
              </w:rPr>
            </w:pPr>
          </w:p>
        </w:tc>
        <w:tc>
          <w:tcPr>
            <w:tcW w:w="680" w:type="dxa"/>
            <w:tcBorders>
              <w:top w:val="single" w:sz="12" w:space="0" w:color="auto"/>
              <w:left w:val="single" w:sz="4" w:space="0" w:color="auto"/>
              <w:bottom w:val="single" w:sz="4" w:space="0" w:color="auto"/>
              <w:right w:val="single" w:sz="4" w:space="0" w:color="auto"/>
            </w:tcBorders>
            <w:vAlign w:val="center"/>
          </w:tcPr>
          <w:p w14:paraId="6F0DAC11" w14:textId="77777777" w:rsidR="00A73935" w:rsidRPr="00E91A14" w:rsidRDefault="00A73935" w:rsidP="00061CAC">
            <w:pPr>
              <w:spacing w:line="240" w:lineRule="auto"/>
              <w:jc w:val="center"/>
              <w:rPr>
                <w:rFonts w:cstheme="minorHAnsi"/>
                <w:sz w:val="16"/>
                <w:szCs w:val="16"/>
              </w:rPr>
            </w:pPr>
          </w:p>
        </w:tc>
        <w:tc>
          <w:tcPr>
            <w:tcW w:w="510" w:type="dxa"/>
            <w:tcBorders>
              <w:top w:val="single" w:sz="12" w:space="0" w:color="auto"/>
              <w:left w:val="single" w:sz="4" w:space="0" w:color="auto"/>
              <w:bottom w:val="single" w:sz="4" w:space="0" w:color="auto"/>
              <w:right w:val="single" w:sz="12" w:space="0" w:color="FFFFFF" w:themeColor="background1"/>
            </w:tcBorders>
            <w:vAlign w:val="center"/>
          </w:tcPr>
          <w:p w14:paraId="7A8EFBA3" w14:textId="77777777" w:rsidR="00A73935" w:rsidRPr="00E91A14" w:rsidRDefault="00A73935" w:rsidP="00061CAC">
            <w:pPr>
              <w:spacing w:line="240" w:lineRule="auto"/>
              <w:jc w:val="center"/>
              <w:rPr>
                <w:rFonts w:cstheme="minorHAnsi"/>
                <w:sz w:val="16"/>
                <w:szCs w:val="16"/>
              </w:rPr>
            </w:pPr>
          </w:p>
        </w:tc>
      </w:tr>
      <w:tr w:rsidR="00A73935" w:rsidRPr="00E91A14" w14:paraId="54F1C219" w14:textId="77777777" w:rsidTr="00061CAC">
        <w:trPr>
          <w:trHeight w:val="283"/>
        </w:trPr>
        <w:tc>
          <w:tcPr>
            <w:tcW w:w="962" w:type="dxa"/>
            <w:tcBorders>
              <w:top w:val="single" w:sz="4" w:space="0" w:color="auto"/>
              <w:left w:val="single" w:sz="12" w:space="0" w:color="FFFFFF" w:themeColor="background1"/>
              <w:bottom w:val="single" w:sz="4" w:space="0" w:color="auto"/>
              <w:right w:val="single" w:sz="12" w:space="0" w:color="auto"/>
            </w:tcBorders>
            <w:vAlign w:val="center"/>
            <w:hideMark/>
          </w:tcPr>
          <w:p w14:paraId="13F14C92" w14:textId="77777777" w:rsidR="00A73935" w:rsidRPr="00E91A14" w:rsidRDefault="00A73935" w:rsidP="00061CAC">
            <w:pPr>
              <w:spacing w:line="240" w:lineRule="auto"/>
              <w:jc w:val="center"/>
              <w:rPr>
                <w:rFonts w:cstheme="minorHAnsi"/>
                <w:b/>
                <w:sz w:val="16"/>
                <w:szCs w:val="16"/>
              </w:rPr>
            </w:pPr>
            <w:r w:rsidRPr="00E91A14">
              <w:rPr>
                <w:rFonts w:cstheme="minorHAnsi"/>
                <w:b/>
                <w:sz w:val="16"/>
                <w:szCs w:val="16"/>
                <w:lang w:val="pt-BR"/>
              </w:rPr>
              <w:t>NiO</w:t>
            </w:r>
          </w:p>
        </w:tc>
        <w:tc>
          <w:tcPr>
            <w:tcW w:w="678" w:type="dxa"/>
            <w:tcBorders>
              <w:top w:val="single" w:sz="4" w:space="0" w:color="auto"/>
              <w:left w:val="single" w:sz="12" w:space="0" w:color="auto"/>
              <w:bottom w:val="single" w:sz="4" w:space="0" w:color="auto"/>
              <w:right w:val="single" w:sz="4" w:space="0" w:color="auto"/>
            </w:tcBorders>
            <w:vAlign w:val="center"/>
            <w:hideMark/>
          </w:tcPr>
          <w:p w14:paraId="2B1334CA"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855.4</w:t>
            </w:r>
          </w:p>
        </w:tc>
        <w:tc>
          <w:tcPr>
            <w:tcW w:w="678" w:type="dxa"/>
            <w:tcBorders>
              <w:top w:val="single" w:sz="4" w:space="0" w:color="auto"/>
              <w:left w:val="single" w:sz="4" w:space="0" w:color="auto"/>
              <w:bottom w:val="single" w:sz="4" w:space="0" w:color="auto"/>
              <w:right w:val="single" w:sz="4" w:space="0" w:color="auto"/>
            </w:tcBorders>
            <w:vAlign w:val="center"/>
            <w:hideMark/>
          </w:tcPr>
          <w:p w14:paraId="1ADCE242"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3.20</w:t>
            </w:r>
          </w:p>
        </w:tc>
        <w:tc>
          <w:tcPr>
            <w:tcW w:w="513" w:type="dxa"/>
            <w:tcBorders>
              <w:top w:val="single" w:sz="4" w:space="0" w:color="auto"/>
              <w:left w:val="single" w:sz="4" w:space="0" w:color="auto"/>
              <w:bottom w:val="single" w:sz="4" w:space="0" w:color="auto"/>
              <w:right w:val="single" w:sz="12" w:space="0" w:color="auto"/>
            </w:tcBorders>
            <w:vAlign w:val="center"/>
            <w:hideMark/>
          </w:tcPr>
          <w:p w14:paraId="26E0AC49"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44.2</w:t>
            </w:r>
          </w:p>
        </w:tc>
        <w:tc>
          <w:tcPr>
            <w:tcW w:w="680" w:type="dxa"/>
            <w:tcBorders>
              <w:top w:val="single" w:sz="4" w:space="0" w:color="auto"/>
              <w:left w:val="single" w:sz="12" w:space="0" w:color="auto"/>
              <w:bottom w:val="single" w:sz="4" w:space="0" w:color="auto"/>
              <w:right w:val="single" w:sz="4" w:space="0" w:color="auto"/>
            </w:tcBorders>
            <w:vAlign w:val="center"/>
            <w:hideMark/>
          </w:tcPr>
          <w:p w14:paraId="143E29BD"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860.9</w:t>
            </w:r>
          </w:p>
        </w:tc>
        <w:tc>
          <w:tcPr>
            <w:tcW w:w="680" w:type="dxa"/>
            <w:tcBorders>
              <w:top w:val="single" w:sz="4" w:space="0" w:color="auto"/>
              <w:left w:val="single" w:sz="4" w:space="0" w:color="auto"/>
              <w:bottom w:val="single" w:sz="4" w:space="0" w:color="auto"/>
              <w:right w:val="single" w:sz="4" w:space="0" w:color="auto"/>
            </w:tcBorders>
            <w:vAlign w:val="center"/>
            <w:hideMark/>
          </w:tcPr>
          <w:p w14:paraId="2FD3FA7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3.85</w:t>
            </w:r>
          </w:p>
        </w:tc>
        <w:tc>
          <w:tcPr>
            <w:tcW w:w="510" w:type="dxa"/>
            <w:tcBorders>
              <w:top w:val="single" w:sz="4" w:space="0" w:color="auto"/>
              <w:left w:val="single" w:sz="4" w:space="0" w:color="auto"/>
              <w:bottom w:val="single" w:sz="4" w:space="0" w:color="auto"/>
              <w:right w:val="single" w:sz="12" w:space="0" w:color="auto"/>
            </w:tcBorders>
            <w:vAlign w:val="center"/>
            <w:hideMark/>
          </w:tcPr>
          <w:p w14:paraId="723DB4D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34.0</w:t>
            </w:r>
          </w:p>
        </w:tc>
        <w:tc>
          <w:tcPr>
            <w:tcW w:w="680" w:type="dxa"/>
            <w:tcBorders>
              <w:top w:val="single" w:sz="4" w:space="0" w:color="auto"/>
              <w:left w:val="single" w:sz="12" w:space="0" w:color="auto"/>
              <w:bottom w:val="single" w:sz="4" w:space="0" w:color="auto"/>
              <w:right w:val="single" w:sz="4" w:space="0" w:color="auto"/>
            </w:tcBorders>
            <w:vAlign w:val="center"/>
            <w:hideMark/>
          </w:tcPr>
          <w:p w14:paraId="4450CDF1"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853.7</w:t>
            </w:r>
          </w:p>
        </w:tc>
        <w:tc>
          <w:tcPr>
            <w:tcW w:w="680" w:type="dxa"/>
            <w:tcBorders>
              <w:top w:val="single" w:sz="4" w:space="0" w:color="auto"/>
              <w:left w:val="single" w:sz="4" w:space="0" w:color="auto"/>
              <w:bottom w:val="single" w:sz="4" w:space="0" w:color="auto"/>
              <w:right w:val="single" w:sz="4" w:space="0" w:color="auto"/>
            </w:tcBorders>
            <w:vAlign w:val="center"/>
            <w:hideMark/>
          </w:tcPr>
          <w:p w14:paraId="6AF96500"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0.98</w:t>
            </w:r>
          </w:p>
        </w:tc>
        <w:tc>
          <w:tcPr>
            <w:tcW w:w="510" w:type="dxa"/>
            <w:tcBorders>
              <w:top w:val="single" w:sz="4" w:space="0" w:color="auto"/>
              <w:left w:val="single" w:sz="4" w:space="0" w:color="auto"/>
              <w:bottom w:val="single" w:sz="4" w:space="0" w:color="auto"/>
              <w:right w:val="single" w:sz="12" w:space="0" w:color="auto"/>
            </w:tcBorders>
            <w:vAlign w:val="center"/>
            <w:hideMark/>
          </w:tcPr>
          <w:p w14:paraId="7CA491A7"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14.3</w:t>
            </w:r>
          </w:p>
        </w:tc>
        <w:tc>
          <w:tcPr>
            <w:tcW w:w="684" w:type="dxa"/>
            <w:tcBorders>
              <w:top w:val="single" w:sz="4" w:space="0" w:color="auto"/>
              <w:left w:val="single" w:sz="12" w:space="0" w:color="auto"/>
              <w:bottom w:val="single" w:sz="4" w:space="0" w:color="auto"/>
              <w:right w:val="single" w:sz="4" w:space="0" w:color="auto"/>
            </w:tcBorders>
            <w:vAlign w:val="center"/>
          </w:tcPr>
          <w:p w14:paraId="5074C028" w14:textId="77777777" w:rsidR="00A73935" w:rsidRPr="00E91A14" w:rsidRDefault="00A73935"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29FCAE8D" w14:textId="77777777" w:rsidR="00A73935" w:rsidRPr="00E91A14" w:rsidRDefault="00A73935"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5DC11FE7" w14:textId="77777777" w:rsidR="00A73935" w:rsidRPr="00E91A14" w:rsidRDefault="00A73935" w:rsidP="00061CAC">
            <w:pPr>
              <w:spacing w:line="240" w:lineRule="auto"/>
              <w:jc w:val="center"/>
              <w:rPr>
                <w:rFonts w:cstheme="minorHAnsi"/>
                <w:sz w:val="16"/>
                <w:szCs w:val="16"/>
              </w:rPr>
            </w:pPr>
          </w:p>
        </w:tc>
      </w:tr>
      <w:tr w:rsidR="00A73935" w:rsidRPr="00E91A14" w14:paraId="3FF5E67C" w14:textId="77777777" w:rsidTr="00061CAC">
        <w:trPr>
          <w:trHeight w:val="283"/>
        </w:trPr>
        <w:tc>
          <w:tcPr>
            <w:tcW w:w="962" w:type="dxa"/>
            <w:tcBorders>
              <w:top w:val="single" w:sz="4" w:space="0" w:color="auto"/>
              <w:left w:val="single" w:sz="12" w:space="0" w:color="FFFFFF" w:themeColor="background1"/>
              <w:bottom w:val="single" w:sz="4" w:space="0" w:color="auto"/>
              <w:right w:val="single" w:sz="12" w:space="0" w:color="auto"/>
            </w:tcBorders>
            <w:vAlign w:val="center"/>
            <w:hideMark/>
          </w:tcPr>
          <w:p w14:paraId="59B02979" w14:textId="77777777" w:rsidR="00A73935" w:rsidRPr="00E91A14" w:rsidRDefault="00A73935" w:rsidP="00061CAC">
            <w:pPr>
              <w:spacing w:line="240" w:lineRule="auto"/>
              <w:jc w:val="center"/>
              <w:rPr>
                <w:rFonts w:cstheme="minorHAnsi"/>
                <w:b/>
                <w:sz w:val="16"/>
                <w:szCs w:val="16"/>
                <w:vertAlign w:val="subscript"/>
              </w:rPr>
            </w:pPr>
            <w:r w:rsidRPr="00E91A14">
              <w:rPr>
                <w:rFonts w:cstheme="minorHAnsi"/>
                <w:b/>
                <w:sz w:val="16"/>
                <w:szCs w:val="16"/>
                <w:lang w:val="pt-BR"/>
              </w:rPr>
              <w:t>NiFe</w:t>
            </w:r>
            <w:r w:rsidRPr="00E91A14">
              <w:rPr>
                <w:rFonts w:cstheme="minorHAnsi"/>
                <w:b/>
                <w:sz w:val="16"/>
                <w:szCs w:val="16"/>
                <w:vertAlign w:val="subscript"/>
                <w:lang w:val="pt-BR"/>
              </w:rPr>
              <w:t>2</w:t>
            </w:r>
            <w:r w:rsidRPr="00E91A14">
              <w:rPr>
                <w:rFonts w:cstheme="minorHAnsi"/>
                <w:b/>
                <w:sz w:val="16"/>
                <w:szCs w:val="16"/>
                <w:lang w:val="pt-BR"/>
              </w:rPr>
              <w:t>O</w:t>
            </w:r>
            <w:r w:rsidRPr="00E91A14">
              <w:rPr>
                <w:rFonts w:cstheme="minorHAnsi"/>
                <w:b/>
                <w:sz w:val="16"/>
                <w:szCs w:val="16"/>
                <w:vertAlign w:val="subscript"/>
                <w:lang w:val="pt-BR"/>
              </w:rPr>
              <w:t>4</w:t>
            </w:r>
          </w:p>
        </w:tc>
        <w:tc>
          <w:tcPr>
            <w:tcW w:w="678" w:type="dxa"/>
            <w:tcBorders>
              <w:top w:val="single" w:sz="4" w:space="0" w:color="auto"/>
              <w:left w:val="single" w:sz="12" w:space="0" w:color="auto"/>
              <w:bottom w:val="single" w:sz="4" w:space="0" w:color="auto"/>
              <w:right w:val="single" w:sz="4" w:space="0" w:color="auto"/>
            </w:tcBorders>
            <w:vAlign w:val="center"/>
            <w:hideMark/>
          </w:tcPr>
          <w:p w14:paraId="5633F27A"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861.4</w:t>
            </w:r>
          </w:p>
        </w:tc>
        <w:tc>
          <w:tcPr>
            <w:tcW w:w="678" w:type="dxa"/>
            <w:tcBorders>
              <w:top w:val="single" w:sz="4" w:space="0" w:color="auto"/>
              <w:left w:val="single" w:sz="4" w:space="0" w:color="auto"/>
              <w:bottom w:val="single" w:sz="4" w:space="0" w:color="auto"/>
              <w:right w:val="single" w:sz="4" w:space="0" w:color="auto"/>
            </w:tcBorders>
            <w:vAlign w:val="center"/>
            <w:hideMark/>
          </w:tcPr>
          <w:p w14:paraId="21EA2543"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4.49</w:t>
            </w:r>
          </w:p>
        </w:tc>
        <w:tc>
          <w:tcPr>
            <w:tcW w:w="513" w:type="dxa"/>
            <w:tcBorders>
              <w:top w:val="single" w:sz="4" w:space="0" w:color="auto"/>
              <w:left w:val="single" w:sz="4" w:space="0" w:color="auto"/>
              <w:bottom w:val="single" w:sz="4" w:space="0" w:color="auto"/>
              <w:right w:val="single" w:sz="12" w:space="0" w:color="auto"/>
            </w:tcBorders>
            <w:vAlign w:val="center"/>
            <w:hideMark/>
          </w:tcPr>
          <w:p w14:paraId="2EA4473E"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38.5</w:t>
            </w:r>
          </w:p>
        </w:tc>
        <w:tc>
          <w:tcPr>
            <w:tcW w:w="680" w:type="dxa"/>
            <w:tcBorders>
              <w:top w:val="single" w:sz="4" w:space="0" w:color="auto"/>
              <w:left w:val="single" w:sz="12" w:space="0" w:color="auto"/>
              <w:bottom w:val="single" w:sz="4" w:space="0" w:color="auto"/>
              <w:right w:val="single" w:sz="4" w:space="0" w:color="auto"/>
            </w:tcBorders>
            <w:vAlign w:val="center"/>
            <w:hideMark/>
          </w:tcPr>
          <w:p w14:paraId="6F4DEF6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856.0</w:t>
            </w:r>
          </w:p>
        </w:tc>
        <w:tc>
          <w:tcPr>
            <w:tcW w:w="680" w:type="dxa"/>
            <w:tcBorders>
              <w:top w:val="single" w:sz="4" w:space="0" w:color="auto"/>
              <w:left w:val="single" w:sz="4" w:space="0" w:color="auto"/>
              <w:bottom w:val="single" w:sz="4" w:space="0" w:color="auto"/>
              <w:right w:val="single" w:sz="4" w:space="0" w:color="auto"/>
            </w:tcBorders>
            <w:vAlign w:val="center"/>
            <w:hideMark/>
          </w:tcPr>
          <w:p w14:paraId="1BE77455"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3.03</w:t>
            </w:r>
          </w:p>
        </w:tc>
        <w:tc>
          <w:tcPr>
            <w:tcW w:w="510" w:type="dxa"/>
            <w:tcBorders>
              <w:top w:val="single" w:sz="4" w:space="0" w:color="auto"/>
              <w:left w:val="single" w:sz="4" w:space="0" w:color="auto"/>
              <w:bottom w:val="single" w:sz="4" w:space="0" w:color="auto"/>
              <w:right w:val="single" w:sz="12" w:space="0" w:color="auto"/>
            </w:tcBorders>
            <w:vAlign w:val="center"/>
            <w:hideMark/>
          </w:tcPr>
          <w:p w14:paraId="19668FDD"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38.2</w:t>
            </w:r>
          </w:p>
        </w:tc>
        <w:tc>
          <w:tcPr>
            <w:tcW w:w="680" w:type="dxa"/>
            <w:tcBorders>
              <w:top w:val="single" w:sz="4" w:space="0" w:color="auto"/>
              <w:left w:val="single" w:sz="12" w:space="0" w:color="auto"/>
              <w:bottom w:val="single" w:sz="4" w:space="0" w:color="auto"/>
              <w:right w:val="single" w:sz="4" w:space="0" w:color="auto"/>
            </w:tcBorders>
            <w:vAlign w:val="center"/>
            <w:hideMark/>
          </w:tcPr>
          <w:p w14:paraId="0EA9C07E"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854.5</w:t>
            </w:r>
          </w:p>
        </w:tc>
        <w:tc>
          <w:tcPr>
            <w:tcW w:w="680" w:type="dxa"/>
            <w:tcBorders>
              <w:top w:val="single" w:sz="4" w:space="0" w:color="auto"/>
              <w:left w:val="single" w:sz="4" w:space="0" w:color="auto"/>
              <w:bottom w:val="single" w:sz="4" w:space="0" w:color="auto"/>
              <w:right w:val="single" w:sz="4" w:space="0" w:color="auto"/>
            </w:tcBorders>
            <w:vAlign w:val="center"/>
            <w:hideMark/>
          </w:tcPr>
          <w:p w14:paraId="214A65E3"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1.35</w:t>
            </w:r>
          </w:p>
        </w:tc>
        <w:tc>
          <w:tcPr>
            <w:tcW w:w="510" w:type="dxa"/>
            <w:tcBorders>
              <w:top w:val="single" w:sz="4" w:space="0" w:color="auto"/>
              <w:left w:val="single" w:sz="4" w:space="0" w:color="auto"/>
              <w:bottom w:val="single" w:sz="4" w:space="0" w:color="auto"/>
              <w:right w:val="single" w:sz="12" w:space="0" w:color="auto"/>
            </w:tcBorders>
            <w:vAlign w:val="center"/>
            <w:hideMark/>
          </w:tcPr>
          <w:p w14:paraId="3E336D36"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17.3</w:t>
            </w:r>
          </w:p>
        </w:tc>
        <w:tc>
          <w:tcPr>
            <w:tcW w:w="684" w:type="dxa"/>
            <w:tcBorders>
              <w:top w:val="single" w:sz="4" w:space="0" w:color="auto"/>
              <w:left w:val="single" w:sz="12" w:space="0" w:color="auto"/>
              <w:bottom w:val="single" w:sz="4" w:space="0" w:color="auto"/>
              <w:right w:val="single" w:sz="4" w:space="0" w:color="auto"/>
            </w:tcBorders>
            <w:vAlign w:val="center"/>
          </w:tcPr>
          <w:p w14:paraId="55F18FDA" w14:textId="77777777" w:rsidR="00A73935" w:rsidRPr="00E91A14" w:rsidRDefault="00A73935"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2F2872DE" w14:textId="77777777" w:rsidR="00A73935" w:rsidRPr="00E91A14" w:rsidRDefault="00A73935"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3DCB6BDE" w14:textId="77777777" w:rsidR="00A73935" w:rsidRPr="00E91A14" w:rsidRDefault="00A73935" w:rsidP="00061CAC">
            <w:pPr>
              <w:spacing w:line="240" w:lineRule="auto"/>
              <w:jc w:val="center"/>
              <w:rPr>
                <w:rFonts w:cstheme="minorHAnsi"/>
                <w:sz w:val="16"/>
                <w:szCs w:val="16"/>
              </w:rPr>
            </w:pPr>
          </w:p>
        </w:tc>
      </w:tr>
      <w:tr w:rsidR="00A73935" w:rsidRPr="00E91A14" w14:paraId="185D3E03" w14:textId="77777777" w:rsidTr="00061CAC">
        <w:trPr>
          <w:trHeight w:val="283"/>
        </w:trPr>
        <w:tc>
          <w:tcPr>
            <w:tcW w:w="962" w:type="dxa"/>
            <w:tcBorders>
              <w:top w:val="single" w:sz="4" w:space="0" w:color="auto"/>
              <w:left w:val="single" w:sz="12" w:space="0" w:color="FFFFFF" w:themeColor="background1"/>
              <w:bottom w:val="single" w:sz="4" w:space="0" w:color="auto"/>
              <w:right w:val="single" w:sz="12" w:space="0" w:color="auto"/>
            </w:tcBorders>
            <w:vAlign w:val="center"/>
            <w:hideMark/>
          </w:tcPr>
          <w:p w14:paraId="5797FDC9" w14:textId="77777777" w:rsidR="00A73935" w:rsidRPr="00E91A14" w:rsidRDefault="00A73935" w:rsidP="00061CAC">
            <w:pPr>
              <w:spacing w:line="240" w:lineRule="auto"/>
              <w:jc w:val="center"/>
              <w:rPr>
                <w:rFonts w:cstheme="minorHAnsi"/>
                <w:b/>
                <w:sz w:val="16"/>
                <w:szCs w:val="16"/>
                <w:vertAlign w:val="subscript"/>
              </w:rPr>
            </w:pPr>
            <w:r w:rsidRPr="00E91A14">
              <w:rPr>
                <w:rFonts w:cstheme="minorHAnsi"/>
                <w:b/>
                <w:sz w:val="16"/>
                <w:szCs w:val="16"/>
                <w:lang w:val="pt-BR"/>
              </w:rPr>
              <w:t>Ni(OH)</w:t>
            </w:r>
            <w:r w:rsidRPr="00E91A14">
              <w:rPr>
                <w:rFonts w:cstheme="minorHAnsi"/>
                <w:b/>
                <w:sz w:val="16"/>
                <w:szCs w:val="16"/>
                <w:vertAlign w:val="subscript"/>
                <w:lang w:val="pt-BR"/>
              </w:rPr>
              <w:t>2</w:t>
            </w:r>
          </w:p>
        </w:tc>
        <w:tc>
          <w:tcPr>
            <w:tcW w:w="678" w:type="dxa"/>
            <w:tcBorders>
              <w:top w:val="single" w:sz="4" w:space="0" w:color="auto"/>
              <w:left w:val="single" w:sz="12" w:space="0" w:color="auto"/>
              <w:bottom w:val="single" w:sz="4" w:space="0" w:color="auto"/>
              <w:right w:val="single" w:sz="4" w:space="0" w:color="auto"/>
            </w:tcBorders>
            <w:vAlign w:val="center"/>
            <w:hideMark/>
          </w:tcPr>
          <w:p w14:paraId="7CEFE095"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855.7</w:t>
            </w:r>
          </w:p>
        </w:tc>
        <w:tc>
          <w:tcPr>
            <w:tcW w:w="678" w:type="dxa"/>
            <w:tcBorders>
              <w:top w:val="single" w:sz="4" w:space="0" w:color="auto"/>
              <w:left w:val="single" w:sz="4" w:space="0" w:color="auto"/>
              <w:bottom w:val="single" w:sz="4" w:space="0" w:color="auto"/>
              <w:right w:val="single" w:sz="4" w:space="0" w:color="auto"/>
            </w:tcBorders>
            <w:vAlign w:val="center"/>
            <w:hideMark/>
          </w:tcPr>
          <w:p w14:paraId="1987A8CC"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2.25</w:t>
            </w:r>
          </w:p>
        </w:tc>
        <w:tc>
          <w:tcPr>
            <w:tcW w:w="513" w:type="dxa"/>
            <w:tcBorders>
              <w:top w:val="single" w:sz="4" w:space="0" w:color="auto"/>
              <w:left w:val="single" w:sz="4" w:space="0" w:color="auto"/>
              <w:bottom w:val="single" w:sz="4" w:space="0" w:color="auto"/>
              <w:right w:val="single" w:sz="12" w:space="0" w:color="auto"/>
            </w:tcBorders>
            <w:vAlign w:val="center"/>
            <w:hideMark/>
          </w:tcPr>
          <w:p w14:paraId="0463468C"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45.3</w:t>
            </w:r>
          </w:p>
        </w:tc>
        <w:tc>
          <w:tcPr>
            <w:tcW w:w="680" w:type="dxa"/>
            <w:tcBorders>
              <w:top w:val="single" w:sz="4" w:space="0" w:color="auto"/>
              <w:left w:val="single" w:sz="12" w:space="0" w:color="auto"/>
              <w:bottom w:val="single" w:sz="4" w:space="0" w:color="auto"/>
              <w:right w:val="single" w:sz="4" w:space="0" w:color="auto"/>
            </w:tcBorders>
            <w:vAlign w:val="center"/>
            <w:hideMark/>
          </w:tcPr>
          <w:p w14:paraId="6F961151"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861.5</w:t>
            </w:r>
          </w:p>
        </w:tc>
        <w:tc>
          <w:tcPr>
            <w:tcW w:w="680" w:type="dxa"/>
            <w:tcBorders>
              <w:top w:val="single" w:sz="4" w:space="0" w:color="auto"/>
              <w:left w:val="single" w:sz="4" w:space="0" w:color="auto"/>
              <w:bottom w:val="single" w:sz="4" w:space="0" w:color="auto"/>
              <w:right w:val="single" w:sz="4" w:space="0" w:color="auto"/>
            </w:tcBorders>
            <w:vAlign w:val="center"/>
            <w:hideMark/>
          </w:tcPr>
          <w:p w14:paraId="6B2353EC"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4.62</w:t>
            </w:r>
          </w:p>
        </w:tc>
        <w:tc>
          <w:tcPr>
            <w:tcW w:w="510" w:type="dxa"/>
            <w:tcBorders>
              <w:top w:val="single" w:sz="4" w:space="0" w:color="auto"/>
              <w:left w:val="single" w:sz="4" w:space="0" w:color="auto"/>
              <w:bottom w:val="single" w:sz="4" w:space="0" w:color="auto"/>
              <w:right w:val="single" w:sz="12" w:space="0" w:color="auto"/>
            </w:tcBorders>
            <w:vAlign w:val="center"/>
            <w:hideMark/>
          </w:tcPr>
          <w:p w14:paraId="45577C8B"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39.2</w:t>
            </w:r>
          </w:p>
        </w:tc>
        <w:tc>
          <w:tcPr>
            <w:tcW w:w="680" w:type="dxa"/>
            <w:tcBorders>
              <w:top w:val="single" w:sz="4" w:space="0" w:color="auto"/>
              <w:left w:val="single" w:sz="12" w:space="0" w:color="auto"/>
              <w:bottom w:val="single" w:sz="4" w:space="0" w:color="auto"/>
              <w:right w:val="single" w:sz="4" w:space="0" w:color="auto"/>
            </w:tcBorders>
            <w:vAlign w:val="center"/>
          </w:tcPr>
          <w:p w14:paraId="4851CB6B" w14:textId="77777777" w:rsidR="00A73935" w:rsidRPr="00E91A14" w:rsidRDefault="00A73935"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04F5A96F" w14:textId="77777777" w:rsidR="00A73935" w:rsidRPr="00E91A14" w:rsidRDefault="00A73935"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5F71A778" w14:textId="77777777" w:rsidR="00A73935" w:rsidRPr="00E91A14" w:rsidRDefault="00A73935" w:rsidP="00061CAC">
            <w:pPr>
              <w:spacing w:line="240" w:lineRule="auto"/>
              <w:jc w:val="center"/>
              <w:rPr>
                <w:rFonts w:cstheme="minorHAnsi"/>
                <w:sz w:val="16"/>
                <w:szCs w:val="16"/>
              </w:rPr>
            </w:pPr>
          </w:p>
        </w:tc>
        <w:tc>
          <w:tcPr>
            <w:tcW w:w="684" w:type="dxa"/>
            <w:tcBorders>
              <w:top w:val="single" w:sz="4" w:space="0" w:color="auto"/>
              <w:left w:val="single" w:sz="12" w:space="0" w:color="auto"/>
              <w:bottom w:val="single" w:sz="4" w:space="0" w:color="auto"/>
              <w:right w:val="single" w:sz="4" w:space="0" w:color="auto"/>
            </w:tcBorders>
            <w:vAlign w:val="center"/>
          </w:tcPr>
          <w:p w14:paraId="26327D83" w14:textId="77777777" w:rsidR="00A73935" w:rsidRPr="00E91A14" w:rsidRDefault="00A73935"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7A05D909" w14:textId="77777777" w:rsidR="00A73935" w:rsidRPr="00E91A14" w:rsidRDefault="00A73935"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4D64354A" w14:textId="77777777" w:rsidR="00A73935" w:rsidRPr="00E91A14" w:rsidRDefault="00A73935" w:rsidP="00061CAC">
            <w:pPr>
              <w:spacing w:line="240" w:lineRule="auto"/>
              <w:jc w:val="center"/>
              <w:rPr>
                <w:rFonts w:cstheme="minorHAnsi"/>
                <w:sz w:val="16"/>
                <w:szCs w:val="16"/>
              </w:rPr>
            </w:pPr>
          </w:p>
        </w:tc>
      </w:tr>
      <w:tr w:rsidR="00A73935" w:rsidRPr="00E91A14" w14:paraId="6BC82358" w14:textId="77777777" w:rsidTr="00061CAC">
        <w:trPr>
          <w:trHeight w:val="283"/>
        </w:trPr>
        <w:tc>
          <w:tcPr>
            <w:tcW w:w="962" w:type="dxa"/>
            <w:tcBorders>
              <w:top w:val="single" w:sz="4" w:space="0" w:color="auto"/>
              <w:left w:val="single" w:sz="12" w:space="0" w:color="FFFFFF" w:themeColor="background1"/>
              <w:bottom w:val="single" w:sz="12" w:space="0" w:color="FFFFFF" w:themeColor="background1"/>
              <w:right w:val="single" w:sz="12" w:space="0" w:color="auto"/>
            </w:tcBorders>
            <w:vAlign w:val="center"/>
            <w:hideMark/>
          </w:tcPr>
          <w:p w14:paraId="4C20C2AB" w14:textId="77777777" w:rsidR="00A73935" w:rsidRPr="00E91A14" w:rsidRDefault="00A73935" w:rsidP="00061CAC">
            <w:pPr>
              <w:spacing w:line="240" w:lineRule="auto"/>
              <w:jc w:val="center"/>
              <w:rPr>
                <w:rFonts w:cstheme="minorHAnsi"/>
                <w:b/>
                <w:sz w:val="16"/>
                <w:szCs w:val="16"/>
              </w:rPr>
            </w:pPr>
            <w:r w:rsidRPr="00E91A14">
              <w:rPr>
                <w:rFonts w:eastAsiaTheme="minorHAnsi" w:cstheme="minorHAnsi"/>
                <w:b/>
                <w:sz w:val="16"/>
                <w:szCs w:val="16"/>
                <w:lang w:val="pt-BR" w:eastAsia="en-US"/>
              </w:rPr>
              <w:sym w:font="Symbol" w:char="F067"/>
            </w:r>
            <w:r w:rsidRPr="00E91A14">
              <w:rPr>
                <w:rFonts w:eastAsiaTheme="minorHAnsi" w:cstheme="minorHAnsi"/>
                <w:b/>
                <w:sz w:val="16"/>
                <w:szCs w:val="16"/>
                <w:lang w:val="pt-BR" w:eastAsia="en-US"/>
              </w:rPr>
              <w:t>-NiOOH</w:t>
            </w:r>
          </w:p>
        </w:tc>
        <w:tc>
          <w:tcPr>
            <w:tcW w:w="678" w:type="dxa"/>
            <w:tcBorders>
              <w:top w:val="single" w:sz="4" w:space="0" w:color="auto"/>
              <w:left w:val="single" w:sz="12" w:space="0" w:color="auto"/>
              <w:bottom w:val="single" w:sz="12" w:space="0" w:color="FFFFFF" w:themeColor="background1"/>
              <w:right w:val="single" w:sz="4" w:space="0" w:color="auto"/>
            </w:tcBorders>
            <w:vAlign w:val="center"/>
            <w:hideMark/>
          </w:tcPr>
          <w:p w14:paraId="1FD90233"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861.0</w:t>
            </w:r>
          </w:p>
        </w:tc>
        <w:tc>
          <w:tcPr>
            <w:tcW w:w="678" w:type="dxa"/>
            <w:tcBorders>
              <w:top w:val="single" w:sz="4" w:space="0" w:color="auto"/>
              <w:left w:val="single" w:sz="4" w:space="0" w:color="auto"/>
              <w:bottom w:val="single" w:sz="12" w:space="0" w:color="FFFFFF" w:themeColor="background1"/>
              <w:right w:val="single" w:sz="4" w:space="0" w:color="auto"/>
            </w:tcBorders>
            <w:vAlign w:val="center"/>
            <w:hideMark/>
          </w:tcPr>
          <w:p w14:paraId="63361D77"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4.00</w:t>
            </w:r>
          </w:p>
        </w:tc>
        <w:tc>
          <w:tcPr>
            <w:tcW w:w="513" w:type="dxa"/>
            <w:tcBorders>
              <w:top w:val="single" w:sz="4" w:space="0" w:color="auto"/>
              <w:left w:val="single" w:sz="4" w:space="0" w:color="auto"/>
              <w:bottom w:val="single" w:sz="12" w:space="0" w:color="FFFFFF" w:themeColor="background1"/>
              <w:right w:val="single" w:sz="12" w:space="0" w:color="auto"/>
            </w:tcBorders>
            <w:vAlign w:val="center"/>
            <w:hideMark/>
          </w:tcPr>
          <w:p w14:paraId="2E154E40"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23.3</w:t>
            </w:r>
          </w:p>
        </w:tc>
        <w:tc>
          <w:tcPr>
            <w:tcW w:w="680" w:type="dxa"/>
            <w:tcBorders>
              <w:top w:val="single" w:sz="4" w:space="0" w:color="auto"/>
              <w:left w:val="single" w:sz="12" w:space="0" w:color="auto"/>
              <w:bottom w:val="single" w:sz="12" w:space="0" w:color="FFFFFF" w:themeColor="background1"/>
              <w:right w:val="single" w:sz="4" w:space="0" w:color="auto"/>
            </w:tcBorders>
            <w:vAlign w:val="center"/>
            <w:hideMark/>
          </w:tcPr>
          <w:p w14:paraId="0267B5E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856.5</w:t>
            </w:r>
          </w:p>
        </w:tc>
        <w:tc>
          <w:tcPr>
            <w:tcW w:w="680" w:type="dxa"/>
            <w:tcBorders>
              <w:top w:val="single" w:sz="4" w:space="0" w:color="auto"/>
              <w:left w:val="single" w:sz="4" w:space="0" w:color="auto"/>
              <w:bottom w:val="single" w:sz="12" w:space="0" w:color="FFFFFF" w:themeColor="background1"/>
              <w:right w:val="single" w:sz="4" w:space="0" w:color="auto"/>
            </w:tcBorders>
            <w:vAlign w:val="center"/>
            <w:hideMark/>
          </w:tcPr>
          <w:p w14:paraId="5FBB4CA4"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1.40</w:t>
            </w:r>
          </w:p>
        </w:tc>
        <w:tc>
          <w:tcPr>
            <w:tcW w:w="510" w:type="dxa"/>
            <w:tcBorders>
              <w:top w:val="single" w:sz="4" w:space="0" w:color="auto"/>
              <w:left w:val="single" w:sz="4" w:space="0" w:color="auto"/>
              <w:bottom w:val="single" w:sz="12" w:space="0" w:color="FFFFFF" w:themeColor="background1"/>
              <w:right w:val="single" w:sz="12" w:space="0" w:color="auto"/>
            </w:tcBorders>
            <w:vAlign w:val="center"/>
            <w:hideMark/>
          </w:tcPr>
          <w:p w14:paraId="2F781FF9"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20.7</w:t>
            </w:r>
          </w:p>
        </w:tc>
        <w:tc>
          <w:tcPr>
            <w:tcW w:w="680" w:type="dxa"/>
            <w:tcBorders>
              <w:top w:val="single" w:sz="4" w:space="0" w:color="auto"/>
              <w:left w:val="single" w:sz="12" w:space="0" w:color="auto"/>
              <w:bottom w:val="single" w:sz="12" w:space="0" w:color="FFFFFF" w:themeColor="background1"/>
              <w:right w:val="single" w:sz="4" w:space="0" w:color="auto"/>
            </w:tcBorders>
            <w:vAlign w:val="center"/>
            <w:hideMark/>
          </w:tcPr>
          <w:p w14:paraId="2E6F6F9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854.6</w:t>
            </w:r>
          </w:p>
        </w:tc>
        <w:tc>
          <w:tcPr>
            <w:tcW w:w="680" w:type="dxa"/>
            <w:tcBorders>
              <w:top w:val="single" w:sz="4" w:space="0" w:color="auto"/>
              <w:left w:val="single" w:sz="4" w:space="0" w:color="auto"/>
              <w:bottom w:val="single" w:sz="12" w:space="0" w:color="FFFFFF" w:themeColor="background1"/>
              <w:right w:val="single" w:sz="4" w:space="0" w:color="auto"/>
            </w:tcBorders>
            <w:vAlign w:val="center"/>
            <w:hideMark/>
          </w:tcPr>
          <w:p w14:paraId="0419EA47"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1.40</w:t>
            </w:r>
          </w:p>
        </w:tc>
        <w:tc>
          <w:tcPr>
            <w:tcW w:w="510" w:type="dxa"/>
            <w:tcBorders>
              <w:top w:val="single" w:sz="4" w:space="0" w:color="auto"/>
              <w:left w:val="single" w:sz="4" w:space="0" w:color="auto"/>
              <w:bottom w:val="single" w:sz="12" w:space="0" w:color="FFFFFF" w:themeColor="background1"/>
              <w:right w:val="single" w:sz="12" w:space="0" w:color="auto"/>
            </w:tcBorders>
            <w:vAlign w:val="center"/>
            <w:hideMark/>
          </w:tcPr>
          <w:p w14:paraId="713D4C27"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13.8</w:t>
            </w:r>
          </w:p>
        </w:tc>
        <w:tc>
          <w:tcPr>
            <w:tcW w:w="684" w:type="dxa"/>
            <w:tcBorders>
              <w:top w:val="single" w:sz="4" w:space="0" w:color="auto"/>
              <w:left w:val="single" w:sz="12" w:space="0" w:color="auto"/>
              <w:bottom w:val="single" w:sz="12" w:space="0" w:color="FFFFFF" w:themeColor="background1"/>
              <w:right w:val="single" w:sz="4" w:space="0" w:color="auto"/>
            </w:tcBorders>
            <w:vAlign w:val="center"/>
            <w:hideMark/>
          </w:tcPr>
          <w:p w14:paraId="579F745F"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855.3</w:t>
            </w:r>
          </w:p>
        </w:tc>
        <w:tc>
          <w:tcPr>
            <w:tcW w:w="680" w:type="dxa"/>
            <w:tcBorders>
              <w:top w:val="single" w:sz="4" w:space="0" w:color="auto"/>
              <w:left w:val="single" w:sz="4" w:space="0" w:color="auto"/>
              <w:bottom w:val="single" w:sz="12" w:space="0" w:color="FFFFFF" w:themeColor="background1"/>
              <w:right w:val="single" w:sz="4" w:space="0" w:color="auto"/>
            </w:tcBorders>
            <w:vAlign w:val="center"/>
            <w:hideMark/>
          </w:tcPr>
          <w:p w14:paraId="1B403243"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1.50</w:t>
            </w:r>
          </w:p>
        </w:tc>
        <w:tc>
          <w:tcPr>
            <w:tcW w:w="510" w:type="dxa"/>
            <w:tcBorders>
              <w:top w:val="single" w:sz="4" w:space="0" w:color="auto"/>
              <w:left w:val="single" w:sz="4" w:space="0" w:color="auto"/>
              <w:bottom w:val="single" w:sz="12" w:space="0" w:color="FFFFFF" w:themeColor="background1"/>
              <w:right w:val="single" w:sz="12" w:space="0" w:color="FFFFFF" w:themeColor="background1"/>
            </w:tcBorders>
            <w:vAlign w:val="center"/>
            <w:hideMark/>
          </w:tcPr>
          <w:p w14:paraId="08D4EE57" w14:textId="77777777" w:rsidR="00A73935" w:rsidRPr="00E91A14" w:rsidRDefault="00A73935" w:rsidP="00061CAC">
            <w:pPr>
              <w:spacing w:line="240" w:lineRule="auto"/>
              <w:jc w:val="center"/>
              <w:rPr>
                <w:rFonts w:cstheme="minorHAnsi"/>
                <w:sz w:val="16"/>
                <w:szCs w:val="16"/>
              </w:rPr>
            </w:pPr>
            <w:r w:rsidRPr="00E91A14">
              <w:rPr>
                <w:rFonts w:cstheme="minorHAnsi"/>
                <w:sz w:val="16"/>
                <w:szCs w:val="16"/>
                <w:lang w:val="pt-BR"/>
              </w:rPr>
              <w:t>12.4</w:t>
            </w:r>
          </w:p>
        </w:tc>
      </w:tr>
    </w:tbl>
    <w:p w14:paraId="7800D975" w14:textId="77777777" w:rsidR="00A73935" w:rsidRPr="00F863C0" w:rsidRDefault="00A73935" w:rsidP="00A73935">
      <w:pPr>
        <w:spacing w:line="240" w:lineRule="auto"/>
        <w:rPr>
          <w:rFonts w:eastAsia="Times New Roman" w:cstheme="minorHAnsi"/>
          <w:sz w:val="20"/>
          <w:szCs w:val="20"/>
        </w:rPr>
      </w:pPr>
      <w:r w:rsidRPr="00F863C0">
        <w:rPr>
          <w:rFonts w:eastAsia="Times New Roman" w:cstheme="minorHAnsi"/>
          <w:b/>
          <w:sz w:val="20"/>
          <w:szCs w:val="20"/>
        </w:rPr>
        <w:t>Table S1 | Reference XPS parameters for the most intense peaks of Ni2p</w:t>
      </w:r>
      <w:r w:rsidRPr="003832AC">
        <w:rPr>
          <w:rFonts w:eastAsia="Times New Roman" w:cstheme="minorHAnsi"/>
          <w:b/>
          <w:sz w:val="20"/>
          <w:szCs w:val="20"/>
          <w:vertAlign w:val="subscript"/>
        </w:rPr>
        <w:t>3/2</w:t>
      </w:r>
      <w:r w:rsidRPr="00F863C0">
        <w:rPr>
          <w:rFonts w:eastAsia="Times New Roman" w:cstheme="minorHAnsi"/>
          <w:b/>
          <w:sz w:val="20"/>
          <w:szCs w:val="20"/>
        </w:rPr>
        <w:t xml:space="preserve"> compounds</w:t>
      </w:r>
      <w:r>
        <w:rPr>
          <w:rFonts w:eastAsia="Times New Roman" w:cstheme="minorHAnsi"/>
          <w:sz w:val="20"/>
          <w:szCs w:val="20"/>
        </w:rPr>
        <w:t>.</w:t>
      </w:r>
      <w:r w:rsidRPr="00F863C0">
        <w:rPr>
          <w:rFonts w:eastAsia="Times New Roman" w:cstheme="minorHAnsi"/>
          <w:sz w:val="20"/>
          <w:szCs w:val="20"/>
        </w:rPr>
        <w:t xml:space="preserve"> </w:t>
      </w:r>
      <w:r>
        <w:rPr>
          <w:rFonts w:eastAsia="Times New Roman" w:cstheme="minorHAnsi"/>
          <w:sz w:val="20"/>
          <w:szCs w:val="20"/>
        </w:rPr>
        <w:t>B</w:t>
      </w:r>
      <w:r w:rsidRPr="00F863C0">
        <w:rPr>
          <w:rFonts w:eastAsia="Times New Roman" w:cstheme="minorHAnsi"/>
          <w:sz w:val="20"/>
          <w:szCs w:val="20"/>
        </w:rPr>
        <w:t>inding energy, FWHM (10 eV pass energy), and percentage of total area</w:t>
      </w:r>
      <w:r w:rsidR="004641B5" w:rsidRPr="004641B5">
        <w:rPr>
          <w:rFonts w:eastAsia="Times New Roman" w:cstheme="minorHAnsi"/>
          <w:sz w:val="20"/>
          <w:szCs w:val="20"/>
          <w:vertAlign w:val="superscript"/>
        </w:rPr>
        <w:fldChar w:fldCharType="begin"/>
      </w:r>
      <w:r w:rsidR="004641B5" w:rsidRPr="004641B5">
        <w:rPr>
          <w:rFonts w:eastAsia="Times New Roman" w:cstheme="minorHAnsi"/>
          <w:sz w:val="20"/>
          <w:szCs w:val="20"/>
          <w:vertAlign w:val="superscript"/>
        </w:rPr>
        <w:instrText xml:space="preserve"> NOTEREF _Ref52914042 \h </w:instrText>
      </w:r>
      <w:r w:rsidR="004641B5">
        <w:rPr>
          <w:rFonts w:eastAsia="Times New Roman" w:cstheme="minorHAnsi"/>
          <w:sz w:val="20"/>
          <w:szCs w:val="20"/>
          <w:vertAlign w:val="superscript"/>
        </w:rPr>
        <w:instrText xml:space="preserve"> \* MERGEFORMAT </w:instrText>
      </w:r>
      <w:r w:rsidR="004641B5" w:rsidRPr="004641B5">
        <w:rPr>
          <w:rFonts w:eastAsia="Times New Roman" w:cstheme="minorHAnsi"/>
          <w:sz w:val="20"/>
          <w:szCs w:val="20"/>
          <w:vertAlign w:val="superscript"/>
        </w:rPr>
      </w:r>
      <w:r w:rsidR="004641B5" w:rsidRPr="004641B5">
        <w:rPr>
          <w:rFonts w:eastAsia="Times New Roman" w:cstheme="minorHAnsi"/>
          <w:sz w:val="20"/>
          <w:szCs w:val="20"/>
          <w:vertAlign w:val="superscript"/>
        </w:rPr>
        <w:fldChar w:fldCharType="separate"/>
      </w:r>
      <w:r w:rsidR="004641B5" w:rsidRPr="004641B5">
        <w:rPr>
          <w:rFonts w:eastAsia="Times New Roman" w:cstheme="minorHAnsi"/>
          <w:sz w:val="20"/>
          <w:szCs w:val="20"/>
          <w:vertAlign w:val="superscript"/>
        </w:rPr>
        <w:t>2</w:t>
      </w:r>
      <w:r w:rsidR="004641B5" w:rsidRPr="004641B5">
        <w:rPr>
          <w:rFonts w:eastAsia="Times New Roman" w:cstheme="minorHAnsi"/>
          <w:sz w:val="20"/>
          <w:szCs w:val="20"/>
          <w:vertAlign w:val="superscript"/>
        </w:rPr>
        <w:fldChar w:fldCharType="end"/>
      </w:r>
      <w:r w:rsidRPr="00F863C0">
        <w:rPr>
          <w:rFonts w:eastAsia="Times New Roman" w:cstheme="minorHAnsi"/>
          <w:sz w:val="20"/>
          <w:szCs w:val="20"/>
        </w:rPr>
        <w:t xml:space="preserve">. Only peaks with areas of at least 10% are listed. </w:t>
      </w:r>
    </w:p>
    <w:p w14:paraId="53A34C52" w14:textId="77777777" w:rsidR="00A73935" w:rsidRDefault="00A73935" w:rsidP="00FF52AD">
      <w:pPr>
        <w:rPr>
          <w:color w:val="000000" w:themeColor="text1"/>
        </w:rPr>
      </w:pPr>
    </w:p>
    <w:p w14:paraId="2085AA3A" w14:textId="2A110331" w:rsidR="000256C7" w:rsidRDefault="00BA126A" w:rsidP="00A73935">
      <w:pPr>
        <w:spacing w:before="240"/>
        <w:rPr>
          <w:color w:val="000000" w:themeColor="text1"/>
        </w:rPr>
      </w:pPr>
      <w:r>
        <w:rPr>
          <w:color w:val="000000" w:themeColor="text1"/>
        </w:rPr>
        <w:t>All Fe doped oxide samples have low amounts of Fe, and the Fe2p spectra are very noisy and difficult to analyze. However, when comparing with a spectrum of metallic Fe (</w:t>
      </w:r>
      <w:r w:rsidRPr="00AE146D">
        <w:rPr>
          <w:b/>
          <w:bCs/>
          <w:color w:val="000000" w:themeColor="text1"/>
        </w:rPr>
        <w:t xml:space="preserve">Figure </w:t>
      </w:r>
      <w:r w:rsidR="00C4597F" w:rsidRPr="00AE146D">
        <w:rPr>
          <w:b/>
          <w:bCs/>
          <w:color w:val="000000" w:themeColor="text1"/>
        </w:rPr>
        <w:t>S2</w:t>
      </w:r>
      <w:r>
        <w:rPr>
          <w:color w:val="000000" w:themeColor="text1"/>
        </w:rPr>
        <w:t>), the Fe 2p</w:t>
      </w:r>
      <w:r>
        <w:rPr>
          <w:color w:val="000000" w:themeColor="text1"/>
          <w:vertAlign w:val="subscript"/>
        </w:rPr>
        <w:t>3/2</w:t>
      </w:r>
      <w:r>
        <w:rPr>
          <w:color w:val="000000" w:themeColor="text1"/>
        </w:rPr>
        <w:t xml:space="preserve"> peak of the oxides samples is </w:t>
      </w:r>
      <w:r w:rsidR="00E459E9">
        <w:rPr>
          <w:color w:val="000000" w:themeColor="text1"/>
        </w:rPr>
        <w:t xml:space="preserve">shifted </w:t>
      </w:r>
      <w:r w:rsidR="00896734">
        <w:rPr>
          <w:color w:val="000000" w:themeColor="text1"/>
        </w:rPr>
        <w:t>to the left</w:t>
      </w:r>
      <w:r>
        <w:rPr>
          <w:color w:val="000000" w:themeColor="text1"/>
        </w:rPr>
        <w:t xml:space="preserve">, confirming the oxide formation. </w:t>
      </w:r>
      <w:r w:rsidR="00E576F0">
        <w:rPr>
          <w:color w:val="000000" w:themeColor="text1"/>
        </w:rPr>
        <w:t>T</w:t>
      </w:r>
      <w:r w:rsidR="00E576F0">
        <w:rPr>
          <w:rFonts w:cstheme="minorHAnsi"/>
        </w:rPr>
        <w:t xml:space="preserve">he </w:t>
      </w:r>
      <w:r w:rsidR="00E459E9">
        <w:rPr>
          <w:rFonts w:cstheme="minorHAnsi"/>
        </w:rPr>
        <w:t xml:space="preserve">shift </w:t>
      </w:r>
      <w:r w:rsidR="00E576F0">
        <w:rPr>
          <w:rFonts w:cstheme="minorHAnsi"/>
        </w:rPr>
        <w:t>is consistent with the NiFe</w:t>
      </w:r>
      <w:r w:rsidR="00E576F0">
        <w:rPr>
          <w:rFonts w:cstheme="minorHAnsi"/>
          <w:vertAlign w:val="subscript"/>
        </w:rPr>
        <w:t>2</w:t>
      </w:r>
      <w:r w:rsidR="00E576F0">
        <w:rPr>
          <w:rFonts w:cstheme="minorHAnsi"/>
        </w:rPr>
        <w:t>O</w:t>
      </w:r>
      <w:r w:rsidR="00E576F0">
        <w:rPr>
          <w:rFonts w:cstheme="minorHAnsi"/>
          <w:vertAlign w:val="subscript"/>
        </w:rPr>
        <w:t>4</w:t>
      </w:r>
      <w:r w:rsidR="00E576F0">
        <w:rPr>
          <w:rFonts w:cstheme="minorHAnsi"/>
        </w:rPr>
        <w:t>, though it is not possible to discard the formation of a different oxide. After the water exposure, there is a change in the spectrum shape</w:t>
      </w:r>
      <w:r w:rsidR="00B520BD">
        <w:rPr>
          <w:rFonts w:cstheme="minorHAnsi"/>
        </w:rPr>
        <w:t>,</w:t>
      </w:r>
      <w:r w:rsidR="00E576F0">
        <w:rPr>
          <w:rFonts w:cstheme="minorHAnsi"/>
        </w:rPr>
        <w:t xml:space="preserve"> </w:t>
      </w:r>
      <w:r w:rsidR="00E459E9">
        <w:rPr>
          <w:rFonts w:cstheme="minorHAnsi"/>
        </w:rPr>
        <w:t>likely</w:t>
      </w:r>
      <w:r w:rsidR="00E576F0">
        <w:rPr>
          <w:rFonts w:cstheme="minorHAnsi"/>
        </w:rPr>
        <w:t xml:space="preserve"> due to the hydroxylation.</w:t>
      </w:r>
      <w:r w:rsidR="00A73935">
        <w:rPr>
          <w:rFonts w:cstheme="minorHAnsi"/>
        </w:rPr>
        <w:t xml:space="preserve"> Although t</w:t>
      </w:r>
      <w:r>
        <w:rPr>
          <w:color w:val="000000" w:themeColor="text1"/>
        </w:rPr>
        <w:t>h</w:t>
      </w:r>
      <w:r w:rsidR="00A73935">
        <w:rPr>
          <w:color w:val="000000" w:themeColor="text1"/>
        </w:rPr>
        <w:t xml:space="preserve">e bad resolution of Fe spectra </w:t>
      </w:r>
      <w:r>
        <w:rPr>
          <w:color w:val="000000" w:themeColor="text1"/>
        </w:rPr>
        <w:t>do</w:t>
      </w:r>
      <w:r w:rsidR="00A73935">
        <w:rPr>
          <w:color w:val="000000" w:themeColor="text1"/>
        </w:rPr>
        <w:t>es</w:t>
      </w:r>
      <w:r>
        <w:rPr>
          <w:color w:val="000000" w:themeColor="text1"/>
        </w:rPr>
        <w:t xml:space="preserve"> not allow unequivocal identification of the Fe oxide</w:t>
      </w:r>
      <w:r w:rsidR="00A73935">
        <w:rPr>
          <w:color w:val="000000" w:themeColor="text1"/>
        </w:rPr>
        <w:t xml:space="preserve">, </w:t>
      </w:r>
      <w:r>
        <w:rPr>
          <w:color w:val="000000" w:themeColor="text1"/>
        </w:rPr>
        <w:t>the structure of Ni spectra evidences the formation of a NiFe alloy with a chemical structure that resembles the NiFe</w:t>
      </w:r>
      <w:r>
        <w:rPr>
          <w:color w:val="000000" w:themeColor="text1"/>
          <w:vertAlign w:val="subscript"/>
        </w:rPr>
        <w:t>2</w:t>
      </w:r>
      <w:r>
        <w:rPr>
          <w:color w:val="000000" w:themeColor="text1"/>
        </w:rPr>
        <w:t>O</w:t>
      </w:r>
      <w:r>
        <w:rPr>
          <w:color w:val="000000" w:themeColor="text1"/>
          <w:vertAlign w:val="subscript"/>
        </w:rPr>
        <w:t>4</w:t>
      </w:r>
      <w:r w:rsidR="00A73935">
        <w:rPr>
          <w:color w:val="000000" w:themeColor="text1"/>
        </w:rPr>
        <w:t>.</w:t>
      </w:r>
    </w:p>
    <w:p w14:paraId="42E032FC" w14:textId="77777777" w:rsidR="00A73935" w:rsidRDefault="00A73935" w:rsidP="00A73935">
      <w:pPr>
        <w:jc w:val="center"/>
        <w:rPr>
          <w:rFonts w:cstheme="minorHAnsi"/>
        </w:rPr>
      </w:pPr>
      <w:r>
        <w:rPr>
          <w:noProof/>
          <w:lang w:val="pt-BR" w:eastAsia="pt-BR"/>
        </w:rPr>
        <w:drawing>
          <wp:inline distT="0" distB="0" distL="0" distR="0" wp14:anchorId="19EB530D" wp14:editId="73DDD5E3">
            <wp:extent cx="5400040" cy="181419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814195"/>
                    </a:xfrm>
                    <a:prstGeom prst="rect">
                      <a:avLst/>
                    </a:prstGeom>
                  </pic:spPr>
                </pic:pic>
              </a:graphicData>
            </a:graphic>
          </wp:inline>
        </w:drawing>
      </w:r>
    </w:p>
    <w:p w14:paraId="2E10C511" w14:textId="7658C5FB" w:rsidR="00A73935" w:rsidRPr="00F863C0" w:rsidRDefault="00A73935" w:rsidP="00A73935">
      <w:pPr>
        <w:spacing w:before="240" w:line="240" w:lineRule="auto"/>
        <w:rPr>
          <w:rFonts w:eastAsia="Times New Roman" w:cstheme="minorHAnsi"/>
          <w:sz w:val="20"/>
          <w:szCs w:val="20"/>
        </w:rPr>
      </w:pPr>
      <w:r w:rsidRPr="00C307C1">
        <w:rPr>
          <w:rFonts w:eastAsia="Times New Roman" w:cstheme="minorHAnsi"/>
          <w:b/>
          <w:sz w:val="20"/>
          <w:szCs w:val="20"/>
        </w:rPr>
        <w:t>Figure S2 | XPS spectra of Fe2p peak</w:t>
      </w:r>
      <w:r>
        <w:rPr>
          <w:rFonts w:eastAsia="Times New Roman" w:cstheme="minorHAnsi"/>
          <w:b/>
          <w:sz w:val="20"/>
          <w:szCs w:val="20"/>
        </w:rPr>
        <w:t xml:space="preserve"> of metallic Fe </w:t>
      </w:r>
      <w:r w:rsidRPr="00A73935">
        <w:rPr>
          <w:rFonts w:eastAsia="Times New Roman" w:cstheme="minorHAnsi"/>
          <w:b/>
          <w:sz w:val="20"/>
          <w:szCs w:val="20"/>
        </w:rPr>
        <w:t>and Ni</w:t>
      </w:r>
      <w:r w:rsidRPr="00A73935">
        <w:rPr>
          <w:rFonts w:eastAsia="Times New Roman" w:cstheme="minorHAnsi"/>
          <w:b/>
          <w:sz w:val="20"/>
          <w:szCs w:val="20"/>
          <w:vertAlign w:val="subscript"/>
        </w:rPr>
        <w:t>0.80</w:t>
      </w:r>
      <w:r w:rsidRPr="00A73935">
        <w:rPr>
          <w:rFonts w:eastAsia="Times New Roman" w:cstheme="minorHAnsi"/>
          <w:b/>
          <w:sz w:val="20"/>
          <w:szCs w:val="20"/>
        </w:rPr>
        <w:t>Fe</w:t>
      </w:r>
      <w:r w:rsidRPr="00A73935">
        <w:rPr>
          <w:rFonts w:eastAsia="Times New Roman" w:cstheme="minorHAnsi"/>
          <w:b/>
          <w:sz w:val="20"/>
          <w:szCs w:val="20"/>
          <w:vertAlign w:val="subscript"/>
        </w:rPr>
        <w:t xml:space="preserve">0.20 </w:t>
      </w:r>
      <w:r w:rsidRPr="00A73935">
        <w:rPr>
          <w:rFonts w:eastAsia="Times New Roman" w:cstheme="minorHAnsi"/>
          <w:b/>
          <w:sz w:val="20"/>
          <w:szCs w:val="20"/>
        </w:rPr>
        <w:t>oxide</w:t>
      </w:r>
      <w:r w:rsidR="00AE146D">
        <w:rPr>
          <w:rFonts w:eastAsia="Times New Roman" w:cstheme="minorHAnsi"/>
          <w:b/>
          <w:sz w:val="20"/>
          <w:szCs w:val="20"/>
        </w:rPr>
        <w:t>s</w:t>
      </w:r>
      <w:r w:rsidRPr="00A73935">
        <w:rPr>
          <w:rFonts w:eastAsia="Times New Roman" w:cstheme="minorHAnsi"/>
          <w:b/>
          <w:sz w:val="20"/>
          <w:szCs w:val="20"/>
        </w:rPr>
        <w:t>.</w:t>
      </w:r>
      <w:r>
        <w:rPr>
          <w:rFonts w:eastAsia="Times New Roman" w:cstheme="minorHAnsi"/>
          <w:sz w:val="20"/>
          <w:szCs w:val="20"/>
        </w:rPr>
        <w:t xml:space="preserve"> Spectra</w:t>
      </w:r>
      <w:r w:rsidRPr="00F863C0">
        <w:rPr>
          <w:rFonts w:eastAsia="Times New Roman" w:cstheme="minorHAnsi"/>
          <w:sz w:val="20"/>
          <w:szCs w:val="20"/>
        </w:rPr>
        <w:t xml:space="preserve"> of samples of (a) metallic Fe; (b) Ni</w:t>
      </w:r>
      <w:r w:rsidRPr="003832AC">
        <w:rPr>
          <w:rFonts w:eastAsia="Times New Roman" w:cstheme="minorHAnsi"/>
          <w:sz w:val="20"/>
          <w:szCs w:val="20"/>
          <w:vertAlign w:val="subscript"/>
        </w:rPr>
        <w:t>0.80</w:t>
      </w:r>
      <w:r w:rsidRPr="00F863C0">
        <w:rPr>
          <w:rFonts w:eastAsia="Times New Roman" w:cstheme="minorHAnsi"/>
          <w:sz w:val="20"/>
          <w:szCs w:val="20"/>
        </w:rPr>
        <w:t>Fe</w:t>
      </w:r>
      <w:r w:rsidRPr="003832AC">
        <w:rPr>
          <w:rFonts w:eastAsia="Times New Roman" w:cstheme="minorHAnsi"/>
          <w:sz w:val="20"/>
          <w:szCs w:val="20"/>
          <w:vertAlign w:val="subscript"/>
        </w:rPr>
        <w:t xml:space="preserve">0.20 </w:t>
      </w:r>
      <w:r w:rsidRPr="00F863C0">
        <w:rPr>
          <w:rFonts w:eastAsia="Times New Roman" w:cstheme="minorHAnsi"/>
          <w:sz w:val="20"/>
          <w:szCs w:val="20"/>
        </w:rPr>
        <w:t>oxide before water exposure; and (c) Ni</w:t>
      </w:r>
      <w:r w:rsidRPr="003832AC">
        <w:rPr>
          <w:rFonts w:eastAsia="Times New Roman" w:cstheme="minorHAnsi"/>
          <w:sz w:val="20"/>
          <w:szCs w:val="20"/>
          <w:vertAlign w:val="subscript"/>
        </w:rPr>
        <w:t>0.80</w:t>
      </w:r>
      <w:r w:rsidRPr="00F863C0">
        <w:rPr>
          <w:rFonts w:eastAsia="Times New Roman" w:cstheme="minorHAnsi"/>
          <w:sz w:val="20"/>
          <w:szCs w:val="20"/>
        </w:rPr>
        <w:t>Fe</w:t>
      </w:r>
      <w:r w:rsidRPr="003832AC">
        <w:rPr>
          <w:rFonts w:eastAsia="Times New Roman" w:cstheme="minorHAnsi"/>
          <w:sz w:val="20"/>
          <w:szCs w:val="20"/>
          <w:vertAlign w:val="subscript"/>
        </w:rPr>
        <w:t xml:space="preserve">0.20 </w:t>
      </w:r>
      <w:r w:rsidRPr="00F863C0">
        <w:rPr>
          <w:rFonts w:eastAsia="Times New Roman" w:cstheme="minorHAnsi"/>
          <w:sz w:val="20"/>
          <w:szCs w:val="20"/>
        </w:rPr>
        <w:t>oxide after water exposure. The vertical lines indicate the position of the most intense peaks of metallic Fe (purple), NiFe</w:t>
      </w:r>
      <w:r w:rsidRPr="003832AC">
        <w:rPr>
          <w:rFonts w:eastAsia="Times New Roman" w:cstheme="minorHAnsi"/>
          <w:sz w:val="20"/>
          <w:szCs w:val="20"/>
          <w:vertAlign w:val="subscript"/>
        </w:rPr>
        <w:t>2</w:t>
      </w:r>
      <w:r w:rsidRPr="00F863C0">
        <w:rPr>
          <w:rFonts w:eastAsia="Times New Roman" w:cstheme="minorHAnsi"/>
          <w:sz w:val="20"/>
          <w:szCs w:val="20"/>
        </w:rPr>
        <w:t>O</w:t>
      </w:r>
      <w:r w:rsidRPr="003832AC">
        <w:rPr>
          <w:rFonts w:eastAsia="Times New Roman" w:cstheme="minorHAnsi"/>
          <w:sz w:val="20"/>
          <w:szCs w:val="20"/>
          <w:vertAlign w:val="subscript"/>
        </w:rPr>
        <w:t>4</w:t>
      </w:r>
      <w:r w:rsidRPr="00F863C0">
        <w:rPr>
          <w:rFonts w:eastAsia="Times New Roman" w:cstheme="minorHAnsi"/>
          <w:sz w:val="20"/>
          <w:szCs w:val="20"/>
        </w:rPr>
        <w:t xml:space="preserve"> (red), and FeOOH (blue)</w:t>
      </w:r>
      <w:r w:rsidR="004641B5" w:rsidRPr="004641B5">
        <w:rPr>
          <w:rFonts w:eastAsia="Times New Roman" w:cstheme="minorHAnsi"/>
          <w:sz w:val="20"/>
          <w:szCs w:val="20"/>
          <w:vertAlign w:val="superscript"/>
        </w:rPr>
        <w:fldChar w:fldCharType="begin"/>
      </w:r>
      <w:r w:rsidR="004641B5" w:rsidRPr="004641B5">
        <w:rPr>
          <w:rFonts w:eastAsia="Times New Roman" w:cstheme="minorHAnsi"/>
          <w:sz w:val="20"/>
          <w:szCs w:val="20"/>
          <w:vertAlign w:val="superscript"/>
        </w:rPr>
        <w:instrText xml:space="preserve"> NOTEREF _Ref52914042 \h </w:instrText>
      </w:r>
      <w:r w:rsidR="004641B5">
        <w:rPr>
          <w:rFonts w:eastAsia="Times New Roman" w:cstheme="minorHAnsi"/>
          <w:sz w:val="20"/>
          <w:szCs w:val="20"/>
          <w:vertAlign w:val="superscript"/>
        </w:rPr>
        <w:instrText xml:space="preserve"> \* MERGEFORMAT </w:instrText>
      </w:r>
      <w:r w:rsidR="004641B5" w:rsidRPr="004641B5">
        <w:rPr>
          <w:rFonts w:eastAsia="Times New Roman" w:cstheme="minorHAnsi"/>
          <w:sz w:val="20"/>
          <w:szCs w:val="20"/>
          <w:vertAlign w:val="superscript"/>
        </w:rPr>
      </w:r>
      <w:r w:rsidR="004641B5" w:rsidRPr="004641B5">
        <w:rPr>
          <w:rFonts w:eastAsia="Times New Roman" w:cstheme="minorHAnsi"/>
          <w:sz w:val="20"/>
          <w:szCs w:val="20"/>
          <w:vertAlign w:val="superscript"/>
        </w:rPr>
        <w:fldChar w:fldCharType="separate"/>
      </w:r>
      <w:r w:rsidR="004641B5" w:rsidRPr="004641B5">
        <w:rPr>
          <w:rFonts w:eastAsia="Times New Roman" w:cstheme="minorHAnsi"/>
          <w:sz w:val="20"/>
          <w:szCs w:val="20"/>
          <w:vertAlign w:val="superscript"/>
        </w:rPr>
        <w:t>2</w:t>
      </w:r>
      <w:r w:rsidR="004641B5" w:rsidRPr="004641B5">
        <w:rPr>
          <w:rFonts w:eastAsia="Times New Roman" w:cstheme="minorHAnsi"/>
          <w:sz w:val="20"/>
          <w:szCs w:val="20"/>
          <w:vertAlign w:val="superscript"/>
        </w:rPr>
        <w:fldChar w:fldCharType="end"/>
      </w:r>
      <w:r w:rsidRPr="00F863C0">
        <w:rPr>
          <w:rFonts w:eastAsia="Times New Roman" w:cstheme="minorHAnsi"/>
          <w:sz w:val="20"/>
          <w:szCs w:val="20"/>
        </w:rPr>
        <w:t xml:space="preserve">. Only peaks that have more than 25% of the total intensity are shown. </w:t>
      </w:r>
    </w:p>
    <w:p w14:paraId="5464D6A5" w14:textId="77777777" w:rsidR="00A73935" w:rsidRPr="00A73935" w:rsidRDefault="00A73935" w:rsidP="00A73935">
      <w:pPr>
        <w:spacing w:before="240"/>
        <w:rPr>
          <w:rFonts w:cstheme="minorHAnsi"/>
        </w:rPr>
      </w:pPr>
    </w:p>
    <w:p w14:paraId="6CA1C23F" w14:textId="5488ECD1" w:rsidR="00263F11" w:rsidRDefault="00D0486C" w:rsidP="00263F11">
      <w:pPr>
        <w:rPr>
          <w:rFonts w:cstheme="minorHAnsi"/>
        </w:rPr>
      </w:pPr>
      <w:r>
        <w:rPr>
          <w:color w:val="000000" w:themeColor="text1"/>
        </w:rPr>
        <w:t>T</w:t>
      </w:r>
      <w:r w:rsidR="00BA126A">
        <w:rPr>
          <w:color w:val="000000" w:themeColor="text1"/>
        </w:rPr>
        <w:t>he analysis of O1s spectra</w:t>
      </w:r>
      <w:r>
        <w:rPr>
          <w:color w:val="000000" w:themeColor="text1"/>
        </w:rPr>
        <w:t xml:space="preserve"> shown in the main text (</w:t>
      </w:r>
      <w:r w:rsidRPr="00AE146D">
        <w:rPr>
          <w:b/>
          <w:bCs/>
          <w:color w:val="000000" w:themeColor="text1"/>
        </w:rPr>
        <w:t>Fig. 2e-h</w:t>
      </w:r>
      <w:r>
        <w:rPr>
          <w:color w:val="000000" w:themeColor="text1"/>
        </w:rPr>
        <w:t>)</w:t>
      </w:r>
      <w:r w:rsidR="00BA126A">
        <w:rPr>
          <w:color w:val="000000" w:themeColor="text1"/>
        </w:rPr>
        <w:t xml:space="preserve"> </w:t>
      </w:r>
      <w:r>
        <w:rPr>
          <w:color w:val="000000" w:themeColor="text1"/>
        </w:rPr>
        <w:t xml:space="preserve">has </w:t>
      </w:r>
      <w:r w:rsidR="00BA126A">
        <w:rPr>
          <w:color w:val="000000" w:themeColor="text1"/>
        </w:rPr>
        <w:t>tak</w:t>
      </w:r>
      <w:r>
        <w:rPr>
          <w:color w:val="000000" w:themeColor="text1"/>
        </w:rPr>
        <w:t>en</w:t>
      </w:r>
      <w:r w:rsidR="00BA126A">
        <w:rPr>
          <w:color w:val="000000" w:themeColor="text1"/>
        </w:rPr>
        <w:t xml:space="preserve"> into account the components listed in </w:t>
      </w:r>
      <w:r w:rsidR="00BA126A" w:rsidRPr="00AE146D">
        <w:rPr>
          <w:b/>
          <w:bCs/>
          <w:color w:val="000000" w:themeColor="text1"/>
        </w:rPr>
        <w:t xml:space="preserve">Table </w:t>
      </w:r>
      <w:r w:rsidR="00E576F0" w:rsidRPr="00AE146D">
        <w:rPr>
          <w:b/>
          <w:bCs/>
          <w:color w:val="000000" w:themeColor="text1"/>
        </w:rPr>
        <w:t>S</w:t>
      </w:r>
      <w:r w:rsidR="00BA126A" w:rsidRPr="00AE146D">
        <w:rPr>
          <w:b/>
          <w:bCs/>
          <w:color w:val="000000" w:themeColor="text1"/>
        </w:rPr>
        <w:t>2</w:t>
      </w:r>
      <w:r w:rsidR="00BA126A">
        <w:rPr>
          <w:color w:val="000000" w:themeColor="text1"/>
        </w:rPr>
        <w:t xml:space="preserve">. Although the spectra can have a number of components, </w:t>
      </w:r>
      <w:r w:rsidR="00BA126A">
        <w:t>three Gaussian peaks were enough to fit the peak</w:t>
      </w:r>
      <w:r w:rsidR="00BA126A">
        <w:rPr>
          <w:color w:val="000000" w:themeColor="text1"/>
        </w:rPr>
        <w:t xml:space="preserve">. The peak at </w:t>
      </w:r>
      <w:r w:rsidR="006A273C">
        <w:rPr>
          <w:color w:val="000000" w:themeColor="text1"/>
        </w:rPr>
        <w:t>(</w:t>
      </w:r>
      <w:r w:rsidR="00BA126A">
        <w:rPr>
          <w:color w:val="000000" w:themeColor="text1"/>
        </w:rPr>
        <w:t>529.3</w:t>
      </w:r>
      <w:r w:rsidR="006A273C">
        <w:rPr>
          <w:color w:val="000000" w:themeColor="text1"/>
        </w:rPr>
        <w:t xml:space="preserve"> </w:t>
      </w:r>
      <w:r w:rsidR="006A273C">
        <w:rPr>
          <w:rFonts w:cstheme="minorHAnsi"/>
        </w:rPr>
        <w:t>±</w:t>
      </w:r>
      <w:r w:rsidR="006A273C">
        <w:rPr>
          <w:color w:val="000000" w:themeColor="text1"/>
        </w:rPr>
        <w:t xml:space="preserve"> 0.</w:t>
      </w:r>
      <w:r w:rsidR="00BA126A">
        <w:rPr>
          <w:color w:val="000000" w:themeColor="text1"/>
        </w:rPr>
        <w:t xml:space="preserve">2) eV represents the lattice </w:t>
      </w:r>
      <w:r w:rsidR="000256C7">
        <w:rPr>
          <w:color w:val="000000" w:themeColor="text1"/>
        </w:rPr>
        <w:t>oxygen (O</w:t>
      </w:r>
      <w:r w:rsidR="000256C7">
        <w:rPr>
          <w:color w:val="000000" w:themeColor="text1"/>
          <w:vertAlign w:val="superscript"/>
        </w:rPr>
        <w:t>2-</w:t>
      </w:r>
      <w:r w:rsidR="000256C7">
        <w:rPr>
          <w:color w:val="000000" w:themeColor="text1"/>
        </w:rPr>
        <w:t>)</w:t>
      </w:r>
      <w:r w:rsidR="00BA126A">
        <w:rPr>
          <w:color w:val="000000" w:themeColor="text1"/>
        </w:rPr>
        <w:t xml:space="preserve"> from the NiO. In</w:t>
      </w:r>
      <w:r w:rsidR="00E459E9">
        <w:rPr>
          <w:color w:val="000000" w:themeColor="text1"/>
        </w:rPr>
        <w:t xml:space="preserve"> the case of</w:t>
      </w:r>
      <w:r w:rsidR="00BA126A">
        <w:rPr>
          <w:color w:val="000000" w:themeColor="text1"/>
        </w:rPr>
        <w:t xml:space="preserve"> the Fe doped samples, there is another peak at </w:t>
      </w:r>
      <w:r w:rsidR="006A273C">
        <w:rPr>
          <w:color w:val="000000" w:themeColor="text1"/>
        </w:rPr>
        <w:t>(</w:t>
      </w:r>
      <w:r w:rsidR="00BA126A">
        <w:rPr>
          <w:color w:val="000000" w:themeColor="text1"/>
        </w:rPr>
        <w:t>529.9</w:t>
      </w:r>
      <w:r w:rsidR="006A273C">
        <w:rPr>
          <w:color w:val="000000" w:themeColor="text1"/>
        </w:rPr>
        <w:t xml:space="preserve"> </w:t>
      </w:r>
      <w:r w:rsidR="006A273C">
        <w:rPr>
          <w:rFonts w:cstheme="minorHAnsi"/>
        </w:rPr>
        <w:t>±</w:t>
      </w:r>
      <w:r w:rsidR="006A273C" w:rsidDel="006A273C">
        <w:rPr>
          <w:color w:val="000000" w:themeColor="text1"/>
        </w:rPr>
        <w:t xml:space="preserve"> </w:t>
      </w:r>
      <w:r w:rsidR="006A273C">
        <w:rPr>
          <w:color w:val="000000" w:themeColor="text1"/>
        </w:rPr>
        <w:t>0.</w:t>
      </w:r>
      <w:r w:rsidR="00BA126A">
        <w:rPr>
          <w:color w:val="000000" w:themeColor="text1"/>
        </w:rPr>
        <w:t xml:space="preserve">1) eV, which </w:t>
      </w:r>
      <w:r w:rsidR="00E459E9">
        <w:rPr>
          <w:color w:val="000000" w:themeColor="text1"/>
        </w:rPr>
        <w:t xml:space="preserve">is </w:t>
      </w:r>
      <w:r w:rsidR="00BA126A">
        <w:rPr>
          <w:color w:val="000000" w:themeColor="text1"/>
        </w:rPr>
        <w:t>ascribed to NiFe</w:t>
      </w:r>
      <w:r w:rsidR="00BA126A">
        <w:rPr>
          <w:color w:val="000000" w:themeColor="text1"/>
          <w:vertAlign w:val="subscript"/>
        </w:rPr>
        <w:t>2</w:t>
      </w:r>
      <w:r w:rsidR="00BA126A">
        <w:rPr>
          <w:color w:val="000000" w:themeColor="text1"/>
        </w:rPr>
        <w:t>O</w:t>
      </w:r>
      <w:r w:rsidR="00BA126A">
        <w:rPr>
          <w:color w:val="000000" w:themeColor="text1"/>
          <w:vertAlign w:val="subscript"/>
        </w:rPr>
        <w:t>4</w:t>
      </w:r>
      <w:r w:rsidR="002D7574">
        <w:rPr>
          <w:color w:val="000000" w:themeColor="text1"/>
          <w:vertAlign w:val="superscript"/>
        </w:rPr>
        <w:fldChar w:fldCharType="begin"/>
      </w:r>
      <w:r w:rsidR="002D7574">
        <w:rPr>
          <w:color w:val="000000" w:themeColor="text1"/>
          <w:vertAlign w:val="superscript"/>
        </w:rPr>
        <w:instrText xml:space="preserve"> NOTEREF _Ref52914042 \h </w:instrText>
      </w:r>
      <w:r w:rsidR="002D7574">
        <w:rPr>
          <w:color w:val="000000" w:themeColor="text1"/>
          <w:vertAlign w:val="superscript"/>
        </w:rPr>
      </w:r>
      <w:r w:rsidR="002D7574">
        <w:rPr>
          <w:color w:val="000000" w:themeColor="text1"/>
          <w:vertAlign w:val="superscript"/>
        </w:rPr>
        <w:fldChar w:fldCharType="separate"/>
      </w:r>
      <w:r w:rsidR="002D7574">
        <w:rPr>
          <w:color w:val="000000" w:themeColor="text1"/>
          <w:vertAlign w:val="superscript"/>
        </w:rPr>
        <w:t>2</w:t>
      </w:r>
      <w:r w:rsidR="002D7574">
        <w:rPr>
          <w:color w:val="000000" w:themeColor="text1"/>
          <w:vertAlign w:val="superscript"/>
        </w:rPr>
        <w:fldChar w:fldCharType="end"/>
      </w:r>
      <w:r w:rsidR="00BA126A">
        <w:rPr>
          <w:color w:val="000000" w:themeColor="text1"/>
        </w:rPr>
        <w:t xml:space="preserve">. The third peak, at </w:t>
      </w:r>
      <w:r w:rsidR="006A273C">
        <w:rPr>
          <w:color w:val="000000" w:themeColor="text1"/>
        </w:rPr>
        <w:t>(</w:t>
      </w:r>
      <w:r w:rsidR="00BA126A">
        <w:rPr>
          <w:color w:val="000000" w:themeColor="text1"/>
        </w:rPr>
        <w:t>531.1</w:t>
      </w:r>
      <w:r w:rsidR="006A273C">
        <w:rPr>
          <w:color w:val="000000" w:themeColor="text1"/>
        </w:rPr>
        <w:t xml:space="preserve"> </w:t>
      </w:r>
      <w:r w:rsidR="006A273C">
        <w:rPr>
          <w:rFonts w:cstheme="minorHAnsi"/>
        </w:rPr>
        <w:t>±</w:t>
      </w:r>
      <w:r w:rsidR="006A273C" w:rsidDel="006A273C">
        <w:rPr>
          <w:color w:val="000000" w:themeColor="text1"/>
        </w:rPr>
        <w:t xml:space="preserve"> </w:t>
      </w:r>
      <w:r w:rsidR="006A273C">
        <w:rPr>
          <w:color w:val="000000" w:themeColor="text1"/>
        </w:rPr>
        <w:t xml:space="preserve"> 0.</w:t>
      </w:r>
      <w:r w:rsidR="00BA126A">
        <w:rPr>
          <w:color w:val="000000" w:themeColor="text1"/>
        </w:rPr>
        <w:t>2) eV and labeled as (OH)</w:t>
      </w:r>
      <w:r w:rsidR="00BA126A">
        <w:rPr>
          <w:color w:val="000000" w:themeColor="text1"/>
          <w:vertAlign w:val="superscript"/>
        </w:rPr>
        <w:t>-</w:t>
      </w:r>
      <w:r w:rsidR="00BA126A">
        <w:rPr>
          <w:color w:val="000000" w:themeColor="text1"/>
        </w:rPr>
        <w:t>/def., can arise from Ni defects or (OH)</w:t>
      </w:r>
      <w:r w:rsidR="00BA126A">
        <w:rPr>
          <w:color w:val="000000" w:themeColor="text1"/>
          <w:vertAlign w:val="superscript"/>
        </w:rPr>
        <w:t>-</w:t>
      </w:r>
      <w:r w:rsidR="00BA126A">
        <w:rPr>
          <w:color w:val="000000" w:themeColor="text1"/>
        </w:rPr>
        <w:t xml:space="preserve">, which are very close in energy </w:t>
      </w:r>
      <w:r w:rsidR="000256C7">
        <w:rPr>
          <w:color w:val="000000" w:themeColor="text1"/>
        </w:rPr>
        <w:t xml:space="preserve">(see </w:t>
      </w:r>
      <w:r w:rsidR="000256C7" w:rsidRPr="00AE146D">
        <w:rPr>
          <w:b/>
          <w:bCs/>
          <w:color w:val="000000" w:themeColor="text1"/>
        </w:rPr>
        <w:t>Table S2</w:t>
      </w:r>
      <w:r w:rsidR="000256C7">
        <w:rPr>
          <w:color w:val="000000" w:themeColor="text1"/>
        </w:rPr>
        <w:t xml:space="preserve">) </w:t>
      </w:r>
      <w:r w:rsidR="00BA126A">
        <w:rPr>
          <w:color w:val="000000" w:themeColor="text1"/>
        </w:rPr>
        <w:t xml:space="preserve">and cannot be resolved in separated peaks by XPS. </w:t>
      </w:r>
      <w:r w:rsidR="00BA126A">
        <w:rPr>
          <w:color w:val="000000" w:themeColor="text1"/>
        </w:rPr>
        <w:lastRenderedPageBreak/>
        <w:t xml:space="preserve">As the samples were prepared and measured </w:t>
      </w:r>
      <w:r w:rsidR="00BA126A">
        <w:rPr>
          <w:i/>
          <w:color w:val="000000" w:themeColor="text1"/>
        </w:rPr>
        <w:t>in-situ</w:t>
      </w:r>
      <w:r w:rsidR="00BA126A">
        <w:rPr>
          <w:color w:val="000000" w:themeColor="text1"/>
        </w:rPr>
        <w:t xml:space="preserve"> in UHV, the presence of (OH)</w:t>
      </w:r>
      <w:r w:rsidR="00BA126A">
        <w:rPr>
          <w:color w:val="000000" w:themeColor="text1"/>
          <w:vertAlign w:val="superscript"/>
        </w:rPr>
        <w:t>-</w:t>
      </w:r>
      <w:r w:rsidR="00BA126A">
        <w:rPr>
          <w:color w:val="000000" w:themeColor="text1"/>
        </w:rPr>
        <w:t xml:space="preserve"> is not expected before the water exposure.</w:t>
      </w:r>
      <w:r w:rsidR="00263F11">
        <w:rPr>
          <w:color w:val="000000" w:themeColor="text1"/>
        </w:rPr>
        <w:t xml:space="preserve"> For the pure NiO sample (</w:t>
      </w:r>
      <w:r w:rsidR="00CF2BB9">
        <w:rPr>
          <w:color w:val="000000" w:themeColor="text1"/>
        </w:rPr>
        <w:t xml:space="preserve">see </w:t>
      </w:r>
      <w:r w:rsidR="00263F11" w:rsidRPr="00AE146D">
        <w:rPr>
          <w:b/>
          <w:bCs/>
          <w:color w:val="000000" w:themeColor="text1"/>
        </w:rPr>
        <w:t>Figure S3a</w:t>
      </w:r>
      <w:r w:rsidR="00BA126A">
        <w:rPr>
          <w:color w:val="000000" w:themeColor="text1"/>
        </w:rPr>
        <w:t xml:space="preserve">), the defects are 30.7% of the total area, which is consistent with the 30% reported </w:t>
      </w:r>
      <w:r w:rsidR="00E459E9">
        <w:rPr>
          <w:color w:val="000000" w:themeColor="text1"/>
        </w:rPr>
        <w:t xml:space="preserve">in </w:t>
      </w:r>
      <w:r w:rsidR="00BA126A">
        <w:rPr>
          <w:color w:val="000000" w:themeColor="text1"/>
        </w:rPr>
        <w:t>the literature</w:t>
      </w:r>
      <w:r w:rsidR="004641B5" w:rsidRPr="004641B5">
        <w:rPr>
          <w:color w:val="000000" w:themeColor="text1"/>
          <w:vertAlign w:val="superscript"/>
        </w:rPr>
        <w:fldChar w:fldCharType="begin"/>
      </w:r>
      <w:r w:rsidR="004641B5" w:rsidRPr="004641B5">
        <w:rPr>
          <w:color w:val="000000" w:themeColor="text1"/>
          <w:vertAlign w:val="superscript"/>
        </w:rPr>
        <w:instrText xml:space="preserve"> NOTEREF _Ref52914283 \h </w:instrText>
      </w:r>
      <w:r w:rsidR="004641B5">
        <w:rPr>
          <w:color w:val="000000" w:themeColor="text1"/>
          <w:vertAlign w:val="superscript"/>
        </w:rPr>
        <w:instrText xml:space="preserve"> \* MERGEFORMAT </w:instrText>
      </w:r>
      <w:r w:rsidR="004641B5" w:rsidRPr="004641B5">
        <w:rPr>
          <w:color w:val="000000" w:themeColor="text1"/>
          <w:vertAlign w:val="superscript"/>
        </w:rPr>
      </w:r>
      <w:r w:rsidR="004641B5" w:rsidRPr="004641B5">
        <w:rPr>
          <w:color w:val="000000" w:themeColor="text1"/>
          <w:vertAlign w:val="superscript"/>
        </w:rPr>
        <w:fldChar w:fldCharType="separate"/>
      </w:r>
      <w:r w:rsidR="004641B5" w:rsidRPr="004641B5">
        <w:rPr>
          <w:color w:val="000000" w:themeColor="text1"/>
          <w:vertAlign w:val="superscript"/>
        </w:rPr>
        <w:t>1</w:t>
      </w:r>
      <w:r w:rsidR="004641B5" w:rsidRPr="004641B5">
        <w:rPr>
          <w:color w:val="000000" w:themeColor="text1"/>
          <w:vertAlign w:val="superscript"/>
        </w:rPr>
        <w:fldChar w:fldCharType="end"/>
      </w:r>
      <w:r w:rsidR="00BA126A">
        <w:rPr>
          <w:color w:val="000000" w:themeColor="text1"/>
        </w:rPr>
        <w:t>. The defects peak comes from O atoms adjacent to Ni vacancies. After the Fe doping, there is a decrease in the Ni defects percentage (</w:t>
      </w:r>
      <w:r w:rsidR="00BA126A" w:rsidRPr="00AE146D">
        <w:rPr>
          <w:b/>
          <w:bCs/>
          <w:color w:val="000000" w:themeColor="text1"/>
        </w:rPr>
        <w:t>Fig</w:t>
      </w:r>
      <w:r w:rsidR="00263F11" w:rsidRPr="00AE146D">
        <w:rPr>
          <w:b/>
          <w:bCs/>
          <w:color w:val="000000" w:themeColor="text1"/>
        </w:rPr>
        <w:t>ures</w:t>
      </w:r>
      <w:r w:rsidR="00BA126A" w:rsidRPr="00AE146D">
        <w:rPr>
          <w:b/>
          <w:bCs/>
          <w:color w:val="000000" w:themeColor="text1"/>
        </w:rPr>
        <w:t xml:space="preserve"> </w:t>
      </w:r>
      <w:r w:rsidR="00263F11" w:rsidRPr="00AE146D">
        <w:rPr>
          <w:b/>
          <w:bCs/>
          <w:color w:val="000000" w:themeColor="text1"/>
        </w:rPr>
        <w:t>S3</w:t>
      </w:r>
      <w:r>
        <w:rPr>
          <w:b/>
          <w:bCs/>
          <w:color w:val="000000" w:themeColor="text1"/>
        </w:rPr>
        <w:t>a</w:t>
      </w:r>
      <w:r w:rsidR="00BA126A">
        <w:rPr>
          <w:color w:val="000000" w:themeColor="text1"/>
        </w:rPr>
        <w:t xml:space="preserve">), while no component from Fe defective sites was observed. </w:t>
      </w:r>
      <w:r w:rsidR="00E459E9">
        <w:rPr>
          <w:color w:val="000000" w:themeColor="text1"/>
        </w:rPr>
        <w:t>It is evident</w:t>
      </w:r>
      <w:r w:rsidR="00BA126A">
        <w:rPr>
          <w:color w:val="000000" w:themeColor="text1"/>
        </w:rPr>
        <w:t xml:space="preserve"> that Fe atoms are </w:t>
      </w:r>
      <w:r w:rsidR="00E459E9">
        <w:rPr>
          <w:color w:val="000000" w:themeColor="text1"/>
        </w:rPr>
        <w:t xml:space="preserve">adsorbed </w:t>
      </w:r>
      <w:r w:rsidR="00BA126A">
        <w:rPr>
          <w:color w:val="000000" w:themeColor="text1"/>
        </w:rPr>
        <w:t xml:space="preserve">on the Ni vacancies, which agrees with the NiFe alloying observed in Ni2p spectra. </w:t>
      </w:r>
    </w:p>
    <w:p w14:paraId="14A5D716" w14:textId="129FA233" w:rsidR="00263F11" w:rsidRDefault="00CF2BB9" w:rsidP="00263F11">
      <w:pPr>
        <w:rPr>
          <w:rFonts w:cstheme="minorHAnsi"/>
        </w:rPr>
      </w:pPr>
      <w:r>
        <w:rPr>
          <w:rFonts w:cstheme="minorHAnsi"/>
          <w:noProof/>
        </w:rPr>
        <w:drawing>
          <wp:inline distT="0" distB="0" distL="0" distR="0" wp14:anchorId="111E2E69" wp14:editId="1307B2EF">
            <wp:extent cx="5400040" cy="179982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799821"/>
                    </a:xfrm>
                    <a:prstGeom prst="rect">
                      <a:avLst/>
                    </a:prstGeom>
                    <a:noFill/>
                  </pic:spPr>
                </pic:pic>
              </a:graphicData>
            </a:graphic>
          </wp:inline>
        </w:drawing>
      </w:r>
    </w:p>
    <w:p w14:paraId="3939258F" w14:textId="58470D8D" w:rsidR="00263F11" w:rsidRPr="00C307C1" w:rsidRDefault="00263F11" w:rsidP="00263F11">
      <w:pPr>
        <w:spacing w:before="240" w:line="240" w:lineRule="auto"/>
        <w:rPr>
          <w:rFonts w:eastAsia="Times New Roman" w:cstheme="minorHAnsi"/>
          <w:sz w:val="20"/>
          <w:szCs w:val="20"/>
        </w:rPr>
      </w:pPr>
      <w:r w:rsidRPr="00C307C1">
        <w:rPr>
          <w:rFonts w:eastAsia="Times New Roman" w:cstheme="minorHAnsi"/>
          <w:b/>
          <w:sz w:val="20"/>
          <w:szCs w:val="20"/>
        </w:rPr>
        <w:t>Figure S</w:t>
      </w:r>
      <w:r>
        <w:rPr>
          <w:rFonts w:eastAsia="Times New Roman" w:cstheme="minorHAnsi"/>
          <w:b/>
          <w:sz w:val="20"/>
          <w:szCs w:val="20"/>
        </w:rPr>
        <w:t>3</w:t>
      </w:r>
      <w:r w:rsidRPr="00C307C1">
        <w:rPr>
          <w:rFonts w:eastAsia="Times New Roman" w:cstheme="minorHAnsi"/>
          <w:b/>
          <w:sz w:val="20"/>
          <w:szCs w:val="20"/>
        </w:rPr>
        <w:t xml:space="preserve"> | XPS analysis of O1s region</w:t>
      </w:r>
      <w:r>
        <w:rPr>
          <w:rFonts w:eastAsia="Times New Roman" w:cstheme="minorHAnsi"/>
          <w:b/>
          <w:sz w:val="20"/>
          <w:szCs w:val="20"/>
        </w:rPr>
        <w:t xml:space="preserve"> </w:t>
      </w:r>
      <w:r w:rsidRPr="00F863C0">
        <w:rPr>
          <w:rFonts w:eastAsia="Times New Roman" w:cstheme="minorHAnsi"/>
          <w:b/>
          <w:sz w:val="20"/>
          <w:szCs w:val="20"/>
        </w:rPr>
        <w:t>of MBE-prepared nanoislands of Ni and NiFe oxides</w:t>
      </w:r>
      <w:r w:rsidRPr="00C307C1">
        <w:rPr>
          <w:rFonts w:eastAsia="Times New Roman" w:cstheme="minorHAnsi"/>
          <w:b/>
          <w:sz w:val="20"/>
          <w:szCs w:val="20"/>
        </w:rPr>
        <w:t>.</w:t>
      </w:r>
      <w:r>
        <w:rPr>
          <w:rFonts w:eastAsia="Times New Roman" w:cstheme="minorHAnsi"/>
          <w:sz w:val="20"/>
          <w:szCs w:val="20"/>
        </w:rPr>
        <w:t xml:space="preserve"> </w:t>
      </w:r>
      <w:r w:rsidRPr="00C307C1">
        <w:rPr>
          <w:rFonts w:eastAsia="Times New Roman" w:cstheme="minorHAnsi"/>
          <w:sz w:val="20"/>
          <w:szCs w:val="20"/>
        </w:rPr>
        <w:t>Percentage distribution of the fit</w:t>
      </w:r>
      <w:r>
        <w:rPr>
          <w:rFonts w:eastAsia="Times New Roman" w:cstheme="minorHAnsi"/>
          <w:sz w:val="20"/>
          <w:szCs w:val="20"/>
        </w:rPr>
        <w:t>ted components on O1s spectra</w:t>
      </w:r>
      <w:r w:rsidR="00CF2BB9">
        <w:rPr>
          <w:rFonts w:eastAsia="Times New Roman" w:cstheme="minorHAnsi"/>
          <w:sz w:val="20"/>
          <w:szCs w:val="20"/>
        </w:rPr>
        <w:t xml:space="preserve"> presented in </w:t>
      </w:r>
      <w:r w:rsidR="00CF2BB9" w:rsidRPr="00AE146D">
        <w:rPr>
          <w:rFonts w:eastAsia="Times New Roman" w:cstheme="minorHAnsi"/>
          <w:b/>
          <w:bCs/>
          <w:sz w:val="20"/>
          <w:szCs w:val="20"/>
        </w:rPr>
        <w:t>Fig. 2e-h</w:t>
      </w:r>
      <w:r w:rsidR="00CF2BB9">
        <w:rPr>
          <w:rFonts w:eastAsia="Times New Roman" w:cstheme="minorHAnsi"/>
          <w:sz w:val="20"/>
          <w:szCs w:val="20"/>
        </w:rPr>
        <w:t xml:space="preserve"> in the main text</w:t>
      </w:r>
      <w:r>
        <w:rPr>
          <w:rFonts w:eastAsia="Times New Roman" w:cstheme="minorHAnsi"/>
          <w:sz w:val="20"/>
          <w:szCs w:val="20"/>
        </w:rPr>
        <w:t xml:space="preserve"> (</w:t>
      </w:r>
      <w:r w:rsidR="00CF2BB9">
        <w:rPr>
          <w:rFonts w:eastAsia="Times New Roman" w:cstheme="minorHAnsi"/>
          <w:sz w:val="20"/>
          <w:szCs w:val="20"/>
        </w:rPr>
        <w:t>a</w:t>
      </w:r>
      <w:r w:rsidRPr="00C307C1">
        <w:rPr>
          <w:rFonts w:eastAsia="Times New Roman" w:cstheme="minorHAnsi"/>
          <w:sz w:val="20"/>
          <w:szCs w:val="20"/>
        </w:rPr>
        <w:t>) (OH)- and defective oxygen; (</w:t>
      </w:r>
      <w:r w:rsidR="00CF2BB9">
        <w:rPr>
          <w:rFonts w:eastAsia="Times New Roman" w:cstheme="minorHAnsi"/>
          <w:sz w:val="20"/>
          <w:szCs w:val="20"/>
        </w:rPr>
        <w:t>b</w:t>
      </w:r>
      <w:r>
        <w:rPr>
          <w:rFonts w:eastAsia="Times New Roman" w:cstheme="minorHAnsi"/>
          <w:sz w:val="20"/>
          <w:szCs w:val="20"/>
        </w:rPr>
        <w:t>) NiO; and (</w:t>
      </w:r>
      <w:r w:rsidR="00CF2BB9">
        <w:rPr>
          <w:rFonts w:eastAsia="Times New Roman" w:cstheme="minorHAnsi"/>
          <w:sz w:val="20"/>
          <w:szCs w:val="20"/>
        </w:rPr>
        <w:t>c</w:t>
      </w:r>
      <w:r w:rsidRPr="00C307C1">
        <w:rPr>
          <w:rFonts w:eastAsia="Times New Roman" w:cstheme="minorHAnsi"/>
          <w:sz w:val="20"/>
          <w:szCs w:val="20"/>
        </w:rPr>
        <w:t>) NiFe</w:t>
      </w:r>
      <w:r w:rsidRPr="003832AC">
        <w:rPr>
          <w:rFonts w:eastAsia="Times New Roman" w:cstheme="minorHAnsi"/>
          <w:sz w:val="20"/>
          <w:szCs w:val="20"/>
          <w:vertAlign w:val="subscript"/>
        </w:rPr>
        <w:t>2</w:t>
      </w:r>
      <w:r w:rsidRPr="00C307C1">
        <w:rPr>
          <w:rFonts w:eastAsia="Times New Roman" w:cstheme="minorHAnsi"/>
          <w:sz w:val="20"/>
          <w:szCs w:val="20"/>
        </w:rPr>
        <w:t>O</w:t>
      </w:r>
      <w:r w:rsidRPr="003832AC">
        <w:rPr>
          <w:rFonts w:eastAsia="Times New Roman" w:cstheme="minorHAnsi"/>
          <w:sz w:val="20"/>
          <w:szCs w:val="20"/>
          <w:vertAlign w:val="subscript"/>
        </w:rPr>
        <w:t>4</w:t>
      </w:r>
      <w:r w:rsidRPr="00C307C1">
        <w:rPr>
          <w:rFonts w:eastAsia="Times New Roman" w:cstheme="minorHAnsi"/>
          <w:sz w:val="20"/>
          <w:szCs w:val="20"/>
        </w:rPr>
        <w:t xml:space="preserve">. </w:t>
      </w:r>
      <w:r w:rsidR="00D63052" w:rsidRPr="00D63052">
        <w:rPr>
          <w:rFonts w:eastAsia="Times New Roman" w:cstheme="minorHAnsi"/>
          <w:sz w:val="20"/>
          <w:szCs w:val="20"/>
        </w:rPr>
        <w:t>The sample with 3% of Fe has an anomalous behavior, having more NiO than all the other samples both, before and after, the exposure to water.</w:t>
      </w:r>
    </w:p>
    <w:p w14:paraId="6062AC20" w14:textId="77777777" w:rsidR="00263F11" w:rsidRDefault="00263F11" w:rsidP="00BA126A">
      <w:pPr>
        <w:rPr>
          <w:color w:val="000000" w:themeColor="text1"/>
        </w:rPr>
      </w:pPr>
    </w:p>
    <w:tbl>
      <w:tblPr>
        <w:tblStyle w:val="TableGrid"/>
        <w:tblpPr w:leftFromText="141" w:rightFromText="141" w:vertAnchor="text" w:horzAnchor="margin" w:tblpXSpec="center" w:tblpY="109"/>
        <w:tblW w:w="8503" w:type="dxa"/>
        <w:tblInd w:w="0" w:type="dxa"/>
        <w:tblLayout w:type="fixed"/>
        <w:tblLook w:val="04A0" w:firstRow="1" w:lastRow="0" w:firstColumn="1" w:lastColumn="0" w:noHBand="0" w:noVBand="1"/>
      </w:tblPr>
      <w:tblGrid>
        <w:gridCol w:w="1018"/>
        <w:gridCol w:w="678"/>
        <w:gridCol w:w="678"/>
        <w:gridCol w:w="513"/>
        <w:gridCol w:w="680"/>
        <w:gridCol w:w="680"/>
        <w:gridCol w:w="511"/>
        <w:gridCol w:w="680"/>
        <w:gridCol w:w="680"/>
        <w:gridCol w:w="511"/>
        <w:gridCol w:w="684"/>
        <w:gridCol w:w="680"/>
        <w:gridCol w:w="510"/>
      </w:tblGrid>
      <w:tr w:rsidR="00263F11" w:rsidRPr="003832AC" w14:paraId="7D8A5808" w14:textId="77777777" w:rsidTr="00061CAC">
        <w:trPr>
          <w:trHeight w:val="283"/>
        </w:trPr>
        <w:tc>
          <w:tcPr>
            <w:tcW w:w="1019" w:type="dxa"/>
            <w:vMerge w:val="restart"/>
            <w:tcBorders>
              <w:top w:val="single" w:sz="12" w:space="0" w:color="FFFFFF" w:themeColor="background1"/>
              <w:left w:val="single" w:sz="12" w:space="0" w:color="FFFFFF" w:themeColor="background1"/>
              <w:bottom w:val="single" w:sz="12" w:space="0" w:color="auto"/>
              <w:right w:val="single" w:sz="12" w:space="0" w:color="auto"/>
            </w:tcBorders>
            <w:vAlign w:val="center"/>
            <w:hideMark/>
          </w:tcPr>
          <w:p w14:paraId="7195B546"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Compound</w:t>
            </w:r>
          </w:p>
        </w:tc>
        <w:tc>
          <w:tcPr>
            <w:tcW w:w="1871"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17584441" w14:textId="77777777" w:rsidR="00263F11" w:rsidRPr="003832AC" w:rsidRDefault="00263F11" w:rsidP="00061CAC">
            <w:pPr>
              <w:spacing w:line="240" w:lineRule="auto"/>
              <w:jc w:val="center"/>
              <w:rPr>
                <w:rFonts w:cstheme="minorHAnsi"/>
                <w:b/>
                <w:sz w:val="16"/>
                <w:szCs w:val="16"/>
                <w:vertAlign w:val="superscript"/>
              </w:rPr>
            </w:pPr>
            <w:r w:rsidRPr="003832AC">
              <w:rPr>
                <w:rFonts w:cstheme="minorHAnsi"/>
                <w:b/>
                <w:sz w:val="16"/>
                <w:szCs w:val="16"/>
              </w:rPr>
              <w:t>O</w:t>
            </w:r>
            <w:r w:rsidRPr="003832AC">
              <w:rPr>
                <w:rFonts w:cstheme="minorHAnsi"/>
                <w:b/>
                <w:sz w:val="16"/>
                <w:szCs w:val="16"/>
                <w:vertAlign w:val="superscript"/>
              </w:rPr>
              <w:t>2-</w:t>
            </w:r>
          </w:p>
        </w:tc>
        <w:tc>
          <w:tcPr>
            <w:tcW w:w="1871"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303F34FA"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Defective oxide</w:t>
            </w:r>
          </w:p>
        </w:tc>
        <w:tc>
          <w:tcPr>
            <w:tcW w:w="1871" w:type="dxa"/>
            <w:gridSpan w:val="3"/>
            <w:tcBorders>
              <w:top w:val="single" w:sz="12" w:space="0" w:color="FFFFFF" w:themeColor="background1"/>
              <w:left w:val="single" w:sz="12" w:space="0" w:color="auto"/>
              <w:bottom w:val="single" w:sz="4" w:space="0" w:color="auto"/>
              <w:right w:val="single" w:sz="12" w:space="0" w:color="auto"/>
            </w:tcBorders>
            <w:vAlign w:val="center"/>
            <w:hideMark/>
          </w:tcPr>
          <w:p w14:paraId="03E0199D" w14:textId="77777777" w:rsidR="00263F11" w:rsidRPr="003832AC" w:rsidRDefault="00263F11" w:rsidP="00061CAC">
            <w:pPr>
              <w:spacing w:line="240" w:lineRule="auto"/>
              <w:jc w:val="center"/>
              <w:rPr>
                <w:rFonts w:cstheme="minorHAnsi"/>
                <w:b/>
                <w:sz w:val="16"/>
                <w:szCs w:val="16"/>
                <w:vertAlign w:val="superscript"/>
              </w:rPr>
            </w:pPr>
            <w:r w:rsidRPr="003832AC">
              <w:rPr>
                <w:rFonts w:cstheme="minorHAnsi"/>
                <w:b/>
                <w:sz w:val="16"/>
                <w:szCs w:val="16"/>
              </w:rPr>
              <w:t>(OH)</w:t>
            </w:r>
            <w:r w:rsidRPr="003832AC">
              <w:rPr>
                <w:rFonts w:cstheme="minorHAnsi"/>
                <w:b/>
                <w:sz w:val="16"/>
                <w:szCs w:val="16"/>
                <w:vertAlign w:val="superscript"/>
              </w:rPr>
              <w:t>-</w:t>
            </w:r>
          </w:p>
        </w:tc>
        <w:tc>
          <w:tcPr>
            <w:tcW w:w="1871" w:type="dxa"/>
            <w:gridSpan w:val="3"/>
            <w:tcBorders>
              <w:top w:val="single" w:sz="12" w:space="0" w:color="FFFFFF" w:themeColor="background1"/>
              <w:left w:val="single" w:sz="12" w:space="0" w:color="auto"/>
              <w:bottom w:val="single" w:sz="4" w:space="0" w:color="auto"/>
              <w:right w:val="single" w:sz="12" w:space="0" w:color="FFFFFF" w:themeColor="background1"/>
            </w:tcBorders>
            <w:vAlign w:val="center"/>
            <w:hideMark/>
          </w:tcPr>
          <w:p w14:paraId="474357C1"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Adsorbed water</w:t>
            </w:r>
          </w:p>
        </w:tc>
      </w:tr>
      <w:tr w:rsidR="00263F11" w:rsidRPr="003832AC" w14:paraId="5EE4A2B5" w14:textId="77777777" w:rsidTr="00061CAC">
        <w:trPr>
          <w:trHeight w:val="283"/>
        </w:trPr>
        <w:tc>
          <w:tcPr>
            <w:tcW w:w="1019" w:type="dxa"/>
            <w:vMerge/>
            <w:tcBorders>
              <w:top w:val="single" w:sz="12" w:space="0" w:color="FFFFFF" w:themeColor="background1"/>
              <w:left w:val="single" w:sz="12" w:space="0" w:color="FFFFFF" w:themeColor="background1"/>
              <w:bottom w:val="single" w:sz="12" w:space="0" w:color="auto"/>
              <w:right w:val="single" w:sz="12" w:space="0" w:color="auto"/>
            </w:tcBorders>
            <w:vAlign w:val="center"/>
            <w:hideMark/>
          </w:tcPr>
          <w:p w14:paraId="3F6031B4" w14:textId="77777777" w:rsidR="00263F11" w:rsidRPr="003832AC" w:rsidRDefault="00263F11" w:rsidP="00061CAC">
            <w:pPr>
              <w:spacing w:line="240" w:lineRule="auto"/>
              <w:rPr>
                <w:rFonts w:eastAsiaTheme="minorHAnsi" w:cstheme="minorHAnsi"/>
                <w:b/>
                <w:sz w:val="16"/>
                <w:szCs w:val="16"/>
                <w:lang w:eastAsia="en-US"/>
              </w:rPr>
            </w:pPr>
          </w:p>
        </w:tc>
        <w:tc>
          <w:tcPr>
            <w:tcW w:w="679" w:type="dxa"/>
            <w:tcBorders>
              <w:top w:val="single" w:sz="4" w:space="0" w:color="auto"/>
              <w:left w:val="single" w:sz="12" w:space="0" w:color="auto"/>
              <w:bottom w:val="single" w:sz="12" w:space="0" w:color="auto"/>
              <w:right w:val="single" w:sz="4" w:space="0" w:color="auto"/>
            </w:tcBorders>
            <w:vAlign w:val="center"/>
            <w:hideMark/>
          </w:tcPr>
          <w:p w14:paraId="685F9789"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Energy (eV)</w:t>
            </w:r>
          </w:p>
        </w:tc>
        <w:tc>
          <w:tcPr>
            <w:tcW w:w="679" w:type="dxa"/>
            <w:tcBorders>
              <w:top w:val="single" w:sz="4" w:space="0" w:color="auto"/>
              <w:left w:val="single" w:sz="4" w:space="0" w:color="auto"/>
              <w:bottom w:val="single" w:sz="12" w:space="0" w:color="auto"/>
              <w:right w:val="single" w:sz="4" w:space="0" w:color="auto"/>
            </w:tcBorders>
            <w:vAlign w:val="center"/>
            <w:hideMark/>
          </w:tcPr>
          <w:p w14:paraId="3645581C"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FWHM(eV)</w:t>
            </w:r>
          </w:p>
        </w:tc>
        <w:tc>
          <w:tcPr>
            <w:tcW w:w="509" w:type="dxa"/>
            <w:tcBorders>
              <w:top w:val="single" w:sz="4" w:space="0" w:color="auto"/>
              <w:left w:val="single" w:sz="4" w:space="0" w:color="auto"/>
              <w:bottom w:val="single" w:sz="12" w:space="0" w:color="auto"/>
              <w:right w:val="single" w:sz="12" w:space="0" w:color="auto"/>
            </w:tcBorders>
            <w:vAlign w:val="center"/>
            <w:hideMark/>
          </w:tcPr>
          <w:p w14:paraId="1D51EEE2"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w:t>
            </w:r>
          </w:p>
        </w:tc>
        <w:tc>
          <w:tcPr>
            <w:tcW w:w="680" w:type="dxa"/>
            <w:tcBorders>
              <w:top w:val="single" w:sz="4" w:space="0" w:color="auto"/>
              <w:left w:val="single" w:sz="12" w:space="0" w:color="auto"/>
              <w:bottom w:val="single" w:sz="12" w:space="0" w:color="auto"/>
              <w:right w:val="single" w:sz="4" w:space="0" w:color="auto"/>
            </w:tcBorders>
            <w:vAlign w:val="center"/>
            <w:hideMark/>
          </w:tcPr>
          <w:p w14:paraId="6B461D3B"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7BDC450F"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FWHM(eV)</w:t>
            </w:r>
          </w:p>
        </w:tc>
        <w:tc>
          <w:tcPr>
            <w:tcW w:w="510" w:type="dxa"/>
            <w:tcBorders>
              <w:top w:val="single" w:sz="4" w:space="0" w:color="auto"/>
              <w:left w:val="single" w:sz="4" w:space="0" w:color="auto"/>
              <w:bottom w:val="single" w:sz="12" w:space="0" w:color="auto"/>
              <w:right w:val="single" w:sz="12" w:space="0" w:color="auto"/>
            </w:tcBorders>
            <w:vAlign w:val="center"/>
            <w:hideMark/>
          </w:tcPr>
          <w:p w14:paraId="4C524E8E"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w:t>
            </w:r>
          </w:p>
        </w:tc>
        <w:tc>
          <w:tcPr>
            <w:tcW w:w="680" w:type="dxa"/>
            <w:tcBorders>
              <w:top w:val="single" w:sz="4" w:space="0" w:color="auto"/>
              <w:left w:val="single" w:sz="12" w:space="0" w:color="auto"/>
              <w:bottom w:val="single" w:sz="12" w:space="0" w:color="auto"/>
              <w:right w:val="single" w:sz="4" w:space="0" w:color="auto"/>
            </w:tcBorders>
            <w:vAlign w:val="center"/>
            <w:hideMark/>
          </w:tcPr>
          <w:p w14:paraId="0C9C6C0A"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67E975ED"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FWHM(eV)</w:t>
            </w:r>
          </w:p>
        </w:tc>
        <w:tc>
          <w:tcPr>
            <w:tcW w:w="510" w:type="dxa"/>
            <w:tcBorders>
              <w:top w:val="single" w:sz="4" w:space="0" w:color="auto"/>
              <w:left w:val="single" w:sz="4" w:space="0" w:color="auto"/>
              <w:bottom w:val="single" w:sz="12" w:space="0" w:color="auto"/>
              <w:right w:val="single" w:sz="12" w:space="0" w:color="auto"/>
            </w:tcBorders>
            <w:vAlign w:val="center"/>
            <w:hideMark/>
          </w:tcPr>
          <w:p w14:paraId="025DEB14"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w:t>
            </w:r>
          </w:p>
        </w:tc>
        <w:tc>
          <w:tcPr>
            <w:tcW w:w="684" w:type="dxa"/>
            <w:tcBorders>
              <w:top w:val="single" w:sz="4" w:space="0" w:color="auto"/>
              <w:left w:val="single" w:sz="12" w:space="0" w:color="auto"/>
              <w:bottom w:val="single" w:sz="12" w:space="0" w:color="auto"/>
              <w:right w:val="single" w:sz="4" w:space="0" w:color="auto"/>
            </w:tcBorders>
            <w:vAlign w:val="center"/>
            <w:hideMark/>
          </w:tcPr>
          <w:p w14:paraId="681019E8"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Energy (eV)</w:t>
            </w:r>
          </w:p>
        </w:tc>
        <w:tc>
          <w:tcPr>
            <w:tcW w:w="680" w:type="dxa"/>
            <w:tcBorders>
              <w:top w:val="single" w:sz="4" w:space="0" w:color="auto"/>
              <w:left w:val="single" w:sz="4" w:space="0" w:color="auto"/>
              <w:bottom w:val="single" w:sz="12" w:space="0" w:color="auto"/>
              <w:right w:val="single" w:sz="4" w:space="0" w:color="auto"/>
            </w:tcBorders>
            <w:vAlign w:val="center"/>
            <w:hideMark/>
          </w:tcPr>
          <w:p w14:paraId="4CBEC99A"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FWHM(eV)</w:t>
            </w:r>
          </w:p>
        </w:tc>
        <w:tc>
          <w:tcPr>
            <w:tcW w:w="510" w:type="dxa"/>
            <w:tcBorders>
              <w:top w:val="single" w:sz="4" w:space="0" w:color="auto"/>
              <w:left w:val="single" w:sz="4" w:space="0" w:color="auto"/>
              <w:bottom w:val="single" w:sz="12" w:space="0" w:color="auto"/>
              <w:right w:val="single" w:sz="12" w:space="0" w:color="FFFFFF" w:themeColor="background1"/>
            </w:tcBorders>
            <w:vAlign w:val="center"/>
            <w:hideMark/>
          </w:tcPr>
          <w:p w14:paraId="4E48EE23" w14:textId="77777777" w:rsidR="00263F11" w:rsidRPr="003832AC" w:rsidRDefault="00263F11" w:rsidP="00061CAC">
            <w:pPr>
              <w:spacing w:line="240" w:lineRule="auto"/>
              <w:jc w:val="center"/>
              <w:rPr>
                <w:rFonts w:cstheme="minorHAnsi"/>
                <w:b/>
                <w:sz w:val="16"/>
                <w:szCs w:val="16"/>
              </w:rPr>
            </w:pPr>
            <w:r w:rsidRPr="003832AC">
              <w:rPr>
                <w:rFonts w:cstheme="minorHAnsi"/>
                <w:b/>
                <w:sz w:val="16"/>
                <w:szCs w:val="16"/>
              </w:rPr>
              <w:t>%</w:t>
            </w:r>
          </w:p>
        </w:tc>
      </w:tr>
      <w:tr w:rsidR="00263F11" w:rsidRPr="003832AC" w14:paraId="796FFC89"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0442EC79" w14:textId="77777777" w:rsidR="00263F11" w:rsidRPr="003832AC" w:rsidRDefault="00263F11" w:rsidP="004641B5">
            <w:pPr>
              <w:spacing w:line="240" w:lineRule="auto"/>
              <w:jc w:val="center"/>
              <w:rPr>
                <w:rFonts w:cstheme="minorHAnsi"/>
                <w:b/>
                <w:sz w:val="16"/>
                <w:szCs w:val="16"/>
              </w:rPr>
            </w:pPr>
            <w:r w:rsidRPr="003832AC">
              <w:rPr>
                <w:rFonts w:cstheme="minorHAnsi"/>
                <w:b/>
                <w:sz w:val="16"/>
                <w:szCs w:val="16"/>
              </w:rPr>
              <w:t>NiO</w:t>
            </w:r>
            <w:r w:rsidR="004641B5" w:rsidRPr="004641B5">
              <w:rPr>
                <w:rFonts w:eastAsia="Times New Roman" w:cstheme="minorHAnsi"/>
                <w:sz w:val="16"/>
                <w:szCs w:val="20"/>
                <w:vertAlign w:val="superscript"/>
              </w:rPr>
              <w:fldChar w:fldCharType="begin"/>
            </w:r>
            <w:r w:rsidR="004641B5" w:rsidRPr="004641B5">
              <w:rPr>
                <w:rFonts w:eastAsia="Times New Roman" w:cstheme="minorHAnsi"/>
                <w:sz w:val="16"/>
                <w:szCs w:val="20"/>
                <w:vertAlign w:val="superscript"/>
              </w:rPr>
              <w:instrText xml:space="preserve"> NOTEREF _Ref52914042 \h  \* MERGEFORMAT </w:instrText>
            </w:r>
            <w:r w:rsidR="004641B5" w:rsidRPr="004641B5">
              <w:rPr>
                <w:rFonts w:eastAsia="Times New Roman" w:cstheme="minorHAnsi"/>
                <w:sz w:val="16"/>
                <w:szCs w:val="20"/>
                <w:vertAlign w:val="superscript"/>
              </w:rPr>
            </w:r>
            <w:r w:rsidR="004641B5" w:rsidRPr="004641B5">
              <w:rPr>
                <w:rFonts w:eastAsia="Times New Roman" w:cstheme="minorHAnsi"/>
                <w:sz w:val="16"/>
                <w:szCs w:val="20"/>
                <w:vertAlign w:val="superscript"/>
              </w:rPr>
              <w:fldChar w:fldCharType="separate"/>
            </w:r>
            <w:r w:rsidR="004641B5" w:rsidRPr="004641B5">
              <w:rPr>
                <w:rFonts w:eastAsia="Times New Roman" w:cstheme="minorHAnsi"/>
                <w:sz w:val="16"/>
                <w:szCs w:val="20"/>
                <w:vertAlign w:val="superscript"/>
              </w:rPr>
              <w:t>2</w:t>
            </w:r>
            <w:r w:rsidR="004641B5" w:rsidRPr="004641B5">
              <w:rPr>
                <w:rFonts w:eastAsia="Times New Roman" w:cstheme="minorHAnsi"/>
                <w:sz w:val="16"/>
                <w:szCs w:val="20"/>
                <w:vertAlign w:val="superscript"/>
              </w:rPr>
              <w:fldChar w:fldCharType="end"/>
            </w:r>
          </w:p>
        </w:tc>
        <w:tc>
          <w:tcPr>
            <w:tcW w:w="679" w:type="dxa"/>
            <w:tcBorders>
              <w:top w:val="single" w:sz="4" w:space="0" w:color="auto"/>
              <w:left w:val="single" w:sz="12" w:space="0" w:color="auto"/>
              <w:bottom w:val="single" w:sz="4" w:space="0" w:color="auto"/>
              <w:right w:val="single" w:sz="4" w:space="0" w:color="auto"/>
            </w:tcBorders>
            <w:vAlign w:val="center"/>
            <w:hideMark/>
          </w:tcPr>
          <w:p w14:paraId="167694F5"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E3D3AEB"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0.85</w:t>
            </w:r>
          </w:p>
        </w:tc>
        <w:tc>
          <w:tcPr>
            <w:tcW w:w="509" w:type="dxa"/>
            <w:tcBorders>
              <w:top w:val="single" w:sz="4" w:space="0" w:color="auto"/>
              <w:left w:val="single" w:sz="4" w:space="0" w:color="auto"/>
              <w:bottom w:val="single" w:sz="4" w:space="0" w:color="auto"/>
              <w:right w:val="single" w:sz="12" w:space="0" w:color="auto"/>
            </w:tcBorders>
            <w:vAlign w:val="center"/>
            <w:hideMark/>
          </w:tcPr>
          <w:p w14:paraId="6E0A20E3"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69</w:t>
            </w:r>
          </w:p>
        </w:tc>
        <w:tc>
          <w:tcPr>
            <w:tcW w:w="680" w:type="dxa"/>
            <w:tcBorders>
              <w:top w:val="single" w:sz="4" w:space="0" w:color="auto"/>
              <w:left w:val="single" w:sz="12" w:space="0" w:color="auto"/>
              <w:bottom w:val="single" w:sz="4" w:space="0" w:color="auto"/>
              <w:right w:val="single" w:sz="4" w:space="0" w:color="auto"/>
            </w:tcBorders>
            <w:vAlign w:val="center"/>
            <w:hideMark/>
          </w:tcPr>
          <w:p w14:paraId="159C844D"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531.10</w:t>
            </w:r>
          </w:p>
        </w:tc>
        <w:tc>
          <w:tcPr>
            <w:tcW w:w="680" w:type="dxa"/>
            <w:tcBorders>
              <w:top w:val="single" w:sz="4" w:space="0" w:color="auto"/>
              <w:left w:val="single" w:sz="4" w:space="0" w:color="auto"/>
              <w:bottom w:val="single" w:sz="4" w:space="0" w:color="auto"/>
              <w:right w:val="single" w:sz="4" w:space="0" w:color="auto"/>
            </w:tcBorders>
            <w:vAlign w:val="center"/>
            <w:hideMark/>
          </w:tcPr>
          <w:p w14:paraId="308C3DBD"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1.50</w:t>
            </w:r>
          </w:p>
        </w:tc>
        <w:tc>
          <w:tcPr>
            <w:tcW w:w="510" w:type="dxa"/>
            <w:tcBorders>
              <w:top w:val="single" w:sz="4" w:space="0" w:color="auto"/>
              <w:left w:val="single" w:sz="4" w:space="0" w:color="auto"/>
              <w:bottom w:val="single" w:sz="4" w:space="0" w:color="auto"/>
              <w:right w:val="single" w:sz="12" w:space="0" w:color="auto"/>
            </w:tcBorders>
            <w:vAlign w:val="center"/>
            <w:hideMark/>
          </w:tcPr>
          <w:p w14:paraId="0F29453E"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29</w:t>
            </w:r>
          </w:p>
        </w:tc>
        <w:tc>
          <w:tcPr>
            <w:tcW w:w="680" w:type="dxa"/>
            <w:tcBorders>
              <w:top w:val="single" w:sz="4" w:space="0" w:color="auto"/>
              <w:left w:val="single" w:sz="12" w:space="0" w:color="auto"/>
              <w:bottom w:val="single" w:sz="4" w:space="0" w:color="auto"/>
              <w:right w:val="single" w:sz="4" w:space="0" w:color="auto"/>
            </w:tcBorders>
            <w:vAlign w:val="center"/>
          </w:tcPr>
          <w:p w14:paraId="3D521D3C"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12386C1A"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1997EB1A" w14:textId="77777777" w:rsidR="00263F11" w:rsidRPr="003832AC" w:rsidRDefault="00263F11" w:rsidP="00061CAC">
            <w:pPr>
              <w:spacing w:line="240" w:lineRule="auto"/>
              <w:jc w:val="center"/>
              <w:rPr>
                <w:rFonts w:cstheme="minorHAnsi"/>
                <w:sz w:val="16"/>
                <w:szCs w:val="16"/>
              </w:rPr>
            </w:pPr>
          </w:p>
        </w:tc>
        <w:tc>
          <w:tcPr>
            <w:tcW w:w="684" w:type="dxa"/>
            <w:tcBorders>
              <w:top w:val="single" w:sz="4" w:space="0" w:color="auto"/>
              <w:left w:val="single" w:sz="12" w:space="0" w:color="auto"/>
              <w:bottom w:val="single" w:sz="4" w:space="0" w:color="auto"/>
              <w:right w:val="single" w:sz="4" w:space="0" w:color="auto"/>
            </w:tcBorders>
            <w:vAlign w:val="center"/>
            <w:hideMark/>
          </w:tcPr>
          <w:p w14:paraId="74230D1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532.80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FBB65CE"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1.50</w:t>
            </w:r>
          </w:p>
        </w:tc>
        <w:tc>
          <w:tcPr>
            <w:tcW w:w="510" w:type="dxa"/>
            <w:tcBorders>
              <w:top w:val="single" w:sz="4" w:space="0" w:color="auto"/>
              <w:left w:val="single" w:sz="4" w:space="0" w:color="auto"/>
              <w:bottom w:val="single" w:sz="4" w:space="0" w:color="auto"/>
              <w:right w:val="single" w:sz="12" w:space="0" w:color="FFFFFF" w:themeColor="background1"/>
            </w:tcBorders>
            <w:vAlign w:val="center"/>
            <w:hideMark/>
          </w:tcPr>
          <w:p w14:paraId="533D804D"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2</w:t>
            </w:r>
          </w:p>
        </w:tc>
      </w:tr>
      <w:tr w:rsidR="00263F11" w:rsidRPr="003832AC" w14:paraId="26325A46"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5838098E" w14:textId="77777777" w:rsidR="00263F11" w:rsidRPr="003832AC" w:rsidRDefault="00263F11" w:rsidP="004641B5">
            <w:pPr>
              <w:spacing w:line="240" w:lineRule="auto"/>
              <w:jc w:val="center"/>
              <w:rPr>
                <w:rFonts w:cstheme="minorHAnsi"/>
                <w:b/>
                <w:sz w:val="16"/>
                <w:szCs w:val="16"/>
              </w:rPr>
            </w:pPr>
            <w:r w:rsidRPr="003832AC">
              <w:rPr>
                <w:rFonts w:cstheme="minorHAnsi"/>
                <w:b/>
                <w:sz w:val="16"/>
                <w:szCs w:val="16"/>
              </w:rPr>
              <w:t>Ni(OH)</w:t>
            </w:r>
            <w:r w:rsidRPr="003832AC">
              <w:rPr>
                <w:rFonts w:cstheme="minorHAnsi"/>
                <w:b/>
                <w:sz w:val="16"/>
                <w:szCs w:val="16"/>
                <w:vertAlign w:val="subscript"/>
              </w:rPr>
              <w:t>2</w:t>
            </w:r>
            <w:r w:rsidR="004641B5" w:rsidRPr="004641B5">
              <w:rPr>
                <w:rFonts w:eastAsia="Times New Roman" w:cstheme="minorHAnsi"/>
                <w:sz w:val="16"/>
                <w:szCs w:val="20"/>
                <w:vertAlign w:val="superscript"/>
              </w:rPr>
              <w:fldChar w:fldCharType="begin"/>
            </w:r>
            <w:r w:rsidR="004641B5" w:rsidRPr="004641B5">
              <w:rPr>
                <w:rFonts w:eastAsia="Times New Roman" w:cstheme="minorHAnsi"/>
                <w:sz w:val="16"/>
                <w:szCs w:val="20"/>
                <w:vertAlign w:val="superscript"/>
              </w:rPr>
              <w:instrText xml:space="preserve"> NOTEREF _Ref52914042 \h  \* MERGEFORMAT </w:instrText>
            </w:r>
            <w:r w:rsidR="004641B5" w:rsidRPr="004641B5">
              <w:rPr>
                <w:rFonts w:eastAsia="Times New Roman" w:cstheme="minorHAnsi"/>
                <w:sz w:val="16"/>
                <w:szCs w:val="20"/>
                <w:vertAlign w:val="superscript"/>
              </w:rPr>
            </w:r>
            <w:r w:rsidR="004641B5" w:rsidRPr="004641B5">
              <w:rPr>
                <w:rFonts w:eastAsia="Times New Roman" w:cstheme="minorHAnsi"/>
                <w:sz w:val="16"/>
                <w:szCs w:val="20"/>
                <w:vertAlign w:val="superscript"/>
              </w:rPr>
              <w:fldChar w:fldCharType="separate"/>
            </w:r>
            <w:r w:rsidR="004641B5" w:rsidRPr="004641B5">
              <w:rPr>
                <w:rFonts w:eastAsia="Times New Roman" w:cstheme="minorHAnsi"/>
                <w:sz w:val="16"/>
                <w:szCs w:val="20"/>
                <w:vertAlign w:val="superscript"/>
              </w:rPr>
              <w:t>2</w:t>
            </w:r>
            <w:r w:rsidR="004641B5" w:rsidRPr="004641B5">
              <w:rPr>
                <w:rFonts w:eastAsia="Times New Roman" w:cstheme="minorHAnsi"/>
                <w:sz w:val="16"/>
                <w:szCs w:val="20"/>
                <w:vertAlign w:val="superscript"/>
              </w:rPr>
              <w:fldChar w:fldCharType="end"/>
            </w:r>
          </w:p>
        </w:tc>
        <w:tc>
          <w:tcPr>
            <w:tcW w:w="679" w:type="dxa"/>
            <w:tcBorders>
              <w:top w:val="single" w:sz="4" w:space="0" w:color="auto"/>
              <w:left w:val="single" w:sz="12" w:space="0" w:color="auto"/>
              <w:bottom w:val="single" w:sz="4" w:space="0" w:color="auto"/>
              <w:right w:val="single" w:sz="4" w:space="0" w:color="auto"/>
            </w:tcBorders>
            <w:vAlign w:val="center"/>
          </w:tcPr>
          <w:p w14:paraId="78D37B1A" w14:textId="77777777" w:rsidR="00263F11" w:rsidRPr="003832AC" w:rsidRDefault="00263F11" w:rsidP="00061CAC">
            <w:pPr>
              <w:spacing w:line="240" w:lineRule="auto"/>
              <w:jc w:val="center"/>
              <w:rPr>
                <w:rFonts w:cstheme="minorHAnsi"/>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14:paraId="64269193" w14:textId="77777777" w:rsidR="00263F11" w:rsidRPr="003832AC" w:rsidRDefault="00263F11" w:rsidP="00061CAC">
            <w:pPr>
              <w:spacing w:line="240" w:lineRule="auto"/>
              <w:jc w:val="center"/>
              <w:rPr>
                <w:rFonts w:cstheme="minorHAnsi"/>
                <w:sz w:val="16"/>
                <w:szCs w:val="16"/>
              </w:rPr>
            </w:pPr>
          </w:p>
        </w:tc>
        <w:tc>
          <w:tcPr>
            <w:tcW w:w="509" w:type="dxa"/>
            <w:tcBorders>
              <w:top w:val="single" w:sz="4" w:space="0" w:color="auto"/>
              <w:left w:val="single" w:sz="4" w:space="0" w:color="auto"/>
              <w:bottom w:val="single" w:sz="4" w:space="0" w:color="auto"/>
              <w:right w:val="single" w:sz="12" w:space="0" w:color="auto"/>
            </w:tcBorders>
            <w:vAlign w:val="center"/>
          </w:tcPr>
          <w:p w14:paraId="36AB9B6E"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tcPr>
          <w:p w14:paraId="70769B6E"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1135CE50"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58389692"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hideMark/>
          </w:tcPr>
          <w:p w14:paraId="0DF55222"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530.90</w:t>
            </w:r>
          </w:p>
        </w:tc>
        <w:tc>
          <w:tcPr>
            <w:tcW w:w="680" w:type="dxa"/>
            <w:tcBorders>
              <w:top w:val="single" w:sz="4" w:space="0" w:color="auto"/>
              <w:left w:val="single" w:sz="4" w:space="0" w:color="auto"/>
              <w:bottom w:val="single" w:sz="4" w:space="0" w:color="auto"/>
              <w:right w:val="single" w:sz="4" w:space="0" w:color="auto"/>
            </w:tcBorders>
            <w:vAlign w:val="center"/>
            <w:hideMark/>
          </w:tcPr>
          <w:p w14:paraId="175C95D5"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1.46</w:t>
            </w:r>
          </w:p>
        </w:tc>
        <w:tc>
          <w:tcPr>
            <w:tcW w:w="510" w:type="dxa"/>
            <w:tcBorders>
              <w:top w:val="single" w:sz="4" w:space="0" w:color="auto"/>
              <w:left w:val="single" w:sz="4" w:space="0" w:color="auto"/>
              <w:bottom w:val="single" w:sz="4" w:space="0" w:color="auto"/>
              <w:right w:val="single" w:sz="12" w:space="0" w:color="auto"/>
            </w:tcBorders>
            <w:vAlign w:val="center"/>
            <w:hideMark/>
          </w:tcPr>
          <w:p w14:paraId="55ECB7B0"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100</w:t>
            </w:r>
          </w:p>
        </w:tc>
        <w:tc>
          <w:tcPr>
            <w:tcW w:w="684" w:type="dxa"/>
            <w:tcBorders>
              <w:top w:val="single" w:sz="4" w:space="0" w:color="auto"/>
              <w:left w:val="single" w:sz="12" w:space="0" w:color="auto"/>
              <w:bottom w:val="single" w:sz="4" w:space="0" w:color="auto"/>
              <w:right w:val="single" w:sz="4" w:space="0" w:color="auto"/>
            </w:tcBorders>
            <w:vAlign w:val="center"/>
          </w:tcPr>
          <w:p w14:paraId="754FB453"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0DC5C8BF"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77B2ECC6" w14:textId="77777777" w:rsidR="00263F11" w:rsidRPr="003832AC" w:rsidRDefault="00263F11" w:rsidP="00061CAC">
            <w:pPr>
              <w:spacing w:line="240" w:lineRule="auto"/>
              <w:jc w:val="center"/>
              <w:rPr>
                <w:rFonts w:cstheme="minorHAnsi"/>
                <w:sz w:val="16"/>
                <w:szCs w:val="16"/>
              </w:rPr>
            </w:pPr>
          </w:p>
        </w:tc>
      </w:tr>
      <w:tr w:rsidR="00263F11" w:rsidRPr="003832AC" w14:paraId="41BA000C"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74BDEA18" w14:textId="77777777" w:rsidR="00263F11" w:rsidRPr="003832AC" w:rsidRDefault="00263F11" w:rsidP="004641B5">
            <w:pPr>
              <w:spacing w:line="240" w:lineRule="auto"/>
              <w:jc w:val="center"/>
              <w:rPr>
                <w:rFonts w:cstheme="minorHAnsi"/>
                <w:b/>
                <w:sz w:val="16"/>
                <w:szCs w:val="16"/>
              </w:rPr>
            </w:pPr>
            <w:r w:rsidRPr="003832AC">
              <w:rPr>
                <w:rFonts w:eastAsiaTheme="minorHAnsi" w:cstheme="minorHAnsi"/>
                <w:b/>
                <w:sz w:val="16"/>
                <w:szCs w:val="16"/>
                <w:lang w:eastAsia="en-US"/>
              </w:rPr>
              <w:sym w:font="Symbol" w:char="F067"/>
            </w:r>
            <w:r w:rsidR="004641B5">
              <w:rPr>
                <w:rFonts w:eastAsiaTheme="minorHAnsi" w:cstheme="minorHAnsi"/>
                <w:b/>
                <w:sz w:val="16"/>
                <w:szCs w:val="16"/>
                <w:lang w:eastAsia="en-US"/>
              </w:rPr>
              <w:t>-NiOOH</w:t>
            </w:r>
            <w:bookmarkStart w:id="3" w:name="_Ref52914674"/>
            <w:r w:rsidR="004641B5">
              <w:rPr>
                <w:rStyle w:val="EndnoteReference"/>
                <w:rFonts w:eastAsiaTheme="minorHAnsi" w:cstheme="minorHAnsi"/>
                <w:b/>
                <w:sz w:val="16"/>
                <w:szCs w:val="16"/>
                <w:lang w:eastAsia="en-US"/>
              </w:rPr>
              <w:endnoteReference w:id="5"/>
            </w:r>
            <w:bookmarkEnd w:id="3"/>
          </w:p>
        </w:tc>
        <w:tc>
          <w:tcPr>
            <w:tcW w:w="679" w:type="dxa"/>
            <w:tcBorders>
              <w:top w:val="single" w:sz="4" w:space="0" w:color="auto"/>
              <w:left w:val="single" w:sz="12" w:space="0" w:color="auto"/>
              <w:bottom w:val="single" w:sz="4" w:space="0" w:color="auto"/>
              <w:right w:val="single" w:sz="4" w:space="0" w:color="auto"/>
            </w:tcBorders>
            <w:vAlign w:val="center"/>
            <w:hideMark/>
          </w:tcPr>
          <w:p w14:paraId="34CAA38A"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529.5</w:t>
            </w:r>
          </w:p>
        </w:tc>
        <w:tc>
          <w:tcPr>
            <w:tcW w:w="679" w:type="dxa"/>
            <w:tcBorders>
              <w:top w:val="single" w:sz="4" w:space="0" w:color="auto"/>
              <w:left w:val="single" w:sz="4" w:space="0" w:color="auto"/>
              <w:bottom w:val="single" w:sz="4" w:space="0" w:color="auto"/>
              <w:right w:val="single" w:sz="4" w:space="0" w:color="auto"/>
            </w:tcBorders>
            <w:vAlign w:val="center"/>
            <w:hideMark/>
          </w:tcPr>
          <w:p w14:paraId="5CF0B2A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0.95</w:t>
            </w:r>
          </w:p>
        </w:tc>
        <w:tc>
          <w:tcPr>
            <w:tcW w:w="509" w:type="dxa"/>
            <w:tcBorders>
              <w:top w:val="single" w:sz="4" w:space="0" w:color="auto"/>
              <w:left w:val="single" w:sz="4" w:space="0" w:color="auto"/>
              <w:bottom w:val="single" w:sz="4" w:space="0" w:color="auto"/>
              <w:right w:val="single" w:sz="12" w:space="0" w:color="auto"/>
            </w:tcBorders>
            <w:vAlign w:val="center"/>
            <w:hideMark/>
          </w:tcPr>
          <w:p w14:paraId="1903BD57"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37</w:t>
            </w:r>
          </w:p>
        </w:tc>
        <w:tc>
          <w:tcPr>
            <w:tcW w:w="680" w:type="dxa"/>
            <w:tcBorders>
              <w:top w:val="single" w:sz="4" w:space="0" w:color="auto"/>
              <w:left w:val="single" w:sz="12" w:space="0" w:color="auto"/>
              <w:bottom w:val="single" w:sz="4" w:space="0" w:color="auto"/>
              <w:right w:val="single" w:sz="4" w:space="0" w:color="auto"/>
            </w:tcBorders>
            <w:vAlign w:val="center"/>
          </w:tcPr>
          <w:p w14:paraId="3F837D4F"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326B1D36"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524C6E78"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hideMark/>
          </w:tcPr>
          <w:p w14:paraId="5936C0DE"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531.2</w:t>
            </w:r>
          </w:p>
        </w:tc>
        <w:tc>
          <w:tcPr>
            <w:tcW w:w="680" w:type="dxa"/>
            <w:tcBorders>
              <w:top w:val="single" w:sz="4" w:space="0" w:color="auto"/>
              <w:left w:val="single" w:sz="4" w:space="0" w:color="auto"/>
              <w:bottom w:val="single" w:sz="4" w:space="0" w:color="auto"/>
              <w:right w:val="single" w:sz="4" w:space="0" w:color="auto"/>
            </w:tcBorders>
            <w:vAlign w:val="center"/>
            <w:hideMark/>
          </w:tcPr>
          <w:p w14:paraId="2491E53C"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1.59</w:t>
            </w:r>
          </w:p>
        </w:tc>
        <w:tc>
          <w:tcPr>
            <w:tcW w:w="510" w:type="dxa"/>
            <w:tcBorders>
              <w:top w:val="single" w:sz="4" w:space="0" w:color="auto"/>
              <w:left w:val="single" w:sz="4" w:space="0" w:color="auto"/>
              <w:bottom w:val="single" w:sz="4" w:space="0" w:color="auto"/>
              <w:right w:val="single" w:sz="12" w:space="0" w:color="auto"/>
            </w:tcBorders>
            <w:vAlign w:val="center"/>
            <w:hideMark/>
          </w:tcPr>
          <w:p w14:paraId="0C13E772"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w:t>
            </w:r>
          </w:p>
        </w:tc>
        <w:tc>
          <w:tcPr>
            <w:tcW w:w="684" w:type="dxa"/>
            <w:tcBorders>
              <w:top w:val="single" w:sz="4" w:space="0" w:color="auto"/>
              <w:left w:val="single" w:sz="12" w:space="0" w:color="auto"/>
              <w:bottom w:val="single" w:sz="4" w:space="0" w:color="auto"/>
              <w:right w:val="single" w:sz="4" w:space="0" w:color="auto"/>
            </w:tcBorders>
            <w:vAlign w:val="center"/>
          </w:tcPr>
          <w:p w14:paraId="72A2C02D"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68B36E4A"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469AF51C" w14:textId="77777777" w:rsidR="00263F11" w:rsidRPr="003832AC" w:rsidRDefault="00263F11" w:rsidP="00061CAC">
            <w:pPr>
              <w:spacing w:line="240" w:lineRule="auto"/>
              <w:jc w:val="center"/>
              <w:rPr>
                <w:rFonts w:cstheme="minorHAnsi"/>
                <w:sz w:val="16"/>
                <w:szCs w:val="16"/>
              </w:rPr>
            </w:pPr>
          </w:p>
        </w:tc>
      </w:tr>
      <w:tr w:rsidR="00263F11" w:rsidRPr="003832AC" w14:paraId="07C16640"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17A0B423" w14:textId="77777777" w:rsidR="00263F11" w:rsidRPr="003832AC" w:rsidRDefault="00263F11" w:rsidP="002D7574">
            <w:pPr>
              <w:spacing w:line="240" w:lineRule="auto"/>
              <w:jc w:val="center"/>
              <w:rPr>
                <w:rFonts w:cstheme="minorHAnsi"/>
                <w:b/>
                <w:sz w:val="16"/>
                <w:szCs w:val="16"/>
              </w:rPr>
            </w:pPr>
            <w:r w:rsidRPr="003832AC">
              <w:rPr>
                <w:rFonts w:eastAsiaTheme="minorHAnsi" w:cstheme="minorHAnsi"/>
                <w:b/>
                <w:sz w:val="16"/>
                <w:szCs w:val="16"/>
                <w:lang w:eastAsia="en-US"/>
              </w:rPr>
              <w:sym w:font="Symbol" w:char="F062"/>
            </w:r>
            <w:r w:rsidR="004641B5">
              <w:rPr>
                <w:rFonts w:eastAsiaTheme="minorHAnsi" w:cstheme="minorHAnsi"/>
                <w:b/>
                <w:sz w:val="16"/>
                <w:szCs w:val="16"/>
                <w:lang w:eastAsia="en-US"/>
              </w:rPr>
              <w:t>-NiOOH</w:t>
            </w:r>
            <w:bookmarkStart w:id="4" w:name="_Ref52914712"/>
            <w:r w:rsidR="004641B5">
              <w:rPr>
                <w:rStyle w:val="EndnoteReference"/>
                <w:rFonts w:eastAsiaTheme="minorHAnsi" w:cstheme="minorHAnsi"/>
                <w:b/>
                <w:sz w:val="16"/>
                <w:szCs w:val="16"/>
                <w:lang w:eastAsia="en-US"/>
              </w:rPr>
              <w:endnoteReference w:id="6"/>
            </w:r>
            <w:bookmarkEnd w:id="4"/>
          </w:p>
        </w:tc>
        <w:tc>
          <w:tcPr>
            <w:tcW w:w="679" w:type="dxa"/>
            <w:tcBorders>
              <w:top w:val="single" w:sz="4" w:space="0" w:color="auto"/>
              <w:left w:val="single" w:sz="12" w:space="0" w:color="auto"/>
              <w:bottom w:val="single" w:sz="4" w:space="0" w:color="auto"/>
              <w:right w:val="single" w:sz="4" w:space="0" w:color="auto"/>
            </w:tcBorders>
            <w:vAlign w:val="center"/>
            <w:hideMark/>
          </w:tcPr>
          <w:p w14:paraId="0B2B6C26"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529.3</w:t>
            </w:r>
          </w:p>
        </w:tc>
        <w:tc>
          <w:tcPr>
            <w:tcW w:w="679" w:type="dxa"/>
            <w:tcBorders>
              <w:top w:val="single" w:sz="4" w:space="0" w:color="auto"/>
              <w:left w:val="single" w:sz="4" w:space="0" w:color="auto"/>
              <w:bottom w:val="single" w:sz="4" w:space="0" w:color="auto"/>
              <w:right w:val="single" w:sz="4" w:space="0" w:color="auto"/>
            </w:tcBorders>
            <w:vAlign w:val="center"/>
          </w:tcPr>
          <w:p w14:paraId="1BE0A195" w14:textId="77777777" w:rsidR="00263F11" w:rsidRPr="003832AC" w:rsidRDefault="00263F11" w:rsidP="00061CAC">
            <w:pPr>
              <w:spacing w:line="240" w:lineRule="auto"/>
              <w:jc w:val="center"/>
              <w:rPr>
                <w:rFonts w:cstheme="minorHAnsi"/>
                <w:sz w:val="16"/>
                <w:szCs w:val="16"/>
              </w:rPr>
            </w:pPr>
          </w:p>
        </w:tc>
        <w:tc>
          <w:tcPr>
            <w:tcW w:w="509" w:type="dxa"/>
            <w:tcBorders>
              <w:top w:val="single" w:sz="4" w:space="0" w:color="auto"/>
              <w:left w:val="single" w:sz="4" w:space="0" w:color="auto"/>
              <w:bottom w:val="single" w:sz="4" w:space="0" w:color="auto"/>
              <w:right w:val="single" w:sz="12" w:space="0" w:color="auto"/>
            </w:tcBorders>
            <w:vAlign w:val="center"/>
          </w:tcPr>
          <w:p w14:paraId="13A39850"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tcPr>
          <w:p w14:paraId="0616FDF9"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3B19E2D1"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6B1F4FF4"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hideMark/>
          </w:tcPr>
          <w:p w14:paraId="2B4B304A"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530.8</w:t>
            </w:r>
          </w:p>
        </w:tc>
        <w:tc>
          <w:tcPr>
            <w:tcW w:w="680" w:type="dxa"/>
            <w:tcBorders>
              <w:top w:val="single" w:sz="4" w:space="0" w:color="auto"/>
              <w:left w:val="single" w:sz="4" w:space="0" w:color="auto"/>
              <w:bottom w:val="single" w:sz="4" w:space="0" w:color="auto"/>
              <w:right w:val="single" w:sz="4" w:space="0" w:color="auto"/>
            </w:tcBorders>
            <w:vAlign w:val="center"/>
          </w:tcPr>
          <w:p w14:paraId="7E88490A"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4D6713BF" w14:textId="77777777" w:rsidR="00263F11" w:rsidRPr="003832AC" w:rsidRDefault="00263F11" w:rsidP="00061CAC">
            <w:pPr>
              <w:spacing w:line="240" w:lineRule="auto"/>
              <w:jc w:val="center"/>
              <w:rPr>
                <w:rFonts w:cstheme="minorHAnsi"/>
                <w:sz w:val="16"/>
                <w:szCs w:val="16"/>
              </w:rPr>
            </w:pPr>
          </w:p>
        </w:tc>
        <w:tc>
          <w:tcPr>
            <w:tcW w:w="684" w:type="dxa"/>
            <w:tcBorders>
              <w:top w:val="single" w:sz="4" w:space="0" w:color="auto"/>
              <w:left w:val="single" w:sz="12" w:space="0" w:color="auto"/>
              <w:bottom w:val="single" w:sz="4" w:space="0" w:color="auto"/>
              <w:right w:val="single" w:sz="4" w:space="0" w:color="auto"/>
            </w:tcBorders>
            <w:vAlign w:val="center"/>
          </w:tcPr>
          <w:p w14:paraId="066D5DD5"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2CB566E2"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4638AFE9" w14:textId="77777777" w:rsidR="00263F11" w:rsidRPr="003832AC" w:rsidRDefault="00263F11" w:rsidP="00061CAC">
            <w:pPr>
              <w:spacing w:line="240" w:lineRule="auto"/>
              <w:jc w:val="center"/>
              <w:rPr>
                <w:rFonts w:cstheme="minorHAnsi"/>
                <w:sz w:val="16"/>
                <w:szCs w:val="16"/>
              </w:rPr>
            </w:pPr>
          </w:p>
        </w:tc>
      </w:tr>
      <w:tr w:rsidR="00263F11" w:rsidRPr="003832AC" w14:paraId="4697DC99"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217C483E" w14:textId="77777777" w:rsidR="00263F11" w:rsidRPr="003832AC" w:rsidRDefault="00263F11" w:rsidP="004641B5">
            <w:pPr>
              <w:spacing w:line="240" w:lineRule="auto"/>
              <w:jc w:val="center"/>
              <w:rPr>
                <w:rFonts w:cstheme="minorHAnsi"/>
                <w:b/>
                <w:sz w:val="16"/>
                <w:szCs w:val="16"/>
              </w:rPr>
            </w:pPr>
            <w:r w:rsidRPr="003832AC">
              <w:rPr>
                <w:rFonts w:cstheme="minorHAnsi"/>
                <w:b/>
                <w:sz w:val="16"/>
                <w:szCs w:val="16"/>
              </w:rPr>
              <w:t>NiFe</w:t>
            </w:r>
            <w:r w:rsidRPr="003832AC">
              <w:rPr>
                <w:rFonts w:cstheme="minorHAnsi"/>
                <w:b/>
                <w:sz w:val="16"/>
                <w:szCs w:val="16"/>
                <w:vertAlign w:val="subscript"/>
              </w:rPr>
              <w:t>2</w:t>
            </w:r>
            <w:r w:rsidRPr="003832AC">
              <w:rPr>
                <w:rFonts w:cstheme="minorHAnsi"/>
                <w:b/>
                <w:sz w:val="16"/>
                <w:szCs w:val="16"/>
              </w:rPr>
              <w:t>O</w:t>
            </w:r>
            <w:r w:rsidR="002D7574">
              <w:rPr>
                <w:rFonts w:cstheme="minorHAnsi"/>
                <w:b/>
                <w:sz w:val="16"/>
                <w:szCs w:val="16"/>
                <w:vertAlign w:val="subscript"/>
              </w:rPr>
              <w:t>4</w:t>
            </w:r>
            <w:r w:rsidR="004641B5" w:rsidRPr="004641B5">
              <w:rPr>
                <w:rFonts w:eastAsia="Times New Roman" w:cstheme="minorHAnsi"/>
                <w:sz w:val="16"/>
                <w:szCs w:val="20"/>
                <w:vertAlign w:val="superscript"/>
              </w:rPr>
              <w:fldChar w:fldCharType="begin"/>
            </w:r>
            <w:r w:rsidR="004641B5" w:rsidRPr="004641B5">
              <w:rPr>
                <w:rFonts w:eastAsia="Times New Roman" w:cstheme="minorHAnsi"/>
                <w:sz w:val="16"/>
                <w:szCs w:val="20"/>
                <w:vertAlign w:val="superscript"/>
              </w:rPr>
              <w:instrText xml:space="preserve"> NOTEREF _Ref52914042 \h  \* MERGEFORMAT </w:instrText>
            </w:r>
            <w:r w:rsidR="004641B5" w:rsidRPr="004641B5">
              <w:rPr>
                <w:rFonts w:eastAsia="Times New Roman" w:cstheme="minorHAnsi"/>
                <w:sz w:val="16"/>
                <w:szCs w:val="20"/>
                <w:vertAlign w:val="superscript"/>
              </w:rPr>
            </w:r>
            <w:r w:rsidR="004641B5" w:rsidRPr="004641B5">
              <w:rPr>
                <w:rFonts w:eastAsia="Times New Roman" w:cstheme="minorHAnsi"/>
                <w:sz w:val="16"/>
                <w:szCs w:val="20"/>
                <w:vertAlign w:val="superscript"/>
              </w:rPr>
              <w:fldChar w:fldCharType="separate"/>
            </w:r>
            <w:r w:rsidR="004641B5" w:rsidRPr="004641B5">
              <w:rPr>
                <w:rFonts w:eastAsia="Times New Roman" w:cstheme="minorHAnsi"/>
                <w:sz w:val="16"/>
                <w:szCs w:val="20"/>
                <w:vertAlign w:val="superscript"/>
              </w:rPr>
              <w:t>2</w:t>
            </w:r>
            <w:r w:rsidR="004641B5" w:rsidRPr="004641B5">
              <w:rPr>
                <w:rFonts w:eastAsia="Times New Roman" w:cstheme="minorHAnsi"/>
                <w:sz w:val="16"/>
                <w:szCs w:val="20"/>
                <w:vertAlign w:val="superscript"/>
              </w:rPr>
              <w:fldChar w:fldCharType="end"/>
            </w:r>
            <w:r w:rsidRPr="003832AC">
              <w:rPr>
                <w:rFonts w:cstheme="minorHAnsi"/>
                <w:b/>
                <w:sz w:val="16"/>
                <w:szCs w:val="16"/>
              </w:rPr>
              <w:t xml:space="preserve"> </w:t>
            </w:r>
          </w:p>
        </w:tc>
        <w:tc>
          <w:tcPr>
            <w:tcW w:w="679" w:type="dxa"/>
            <w:tcBorders>
              <w:top w:val="single" w:sz="4" w:space="0" w:color="auto"/>
              <w:left w:val="single" w:sz="12" w:space="0" w:color="auto"/>
              <w:bottom w:val="single" w:sz="4" w:space="0" w:color="auto"/>
              <w:right w:val="single" w:sz="4" w:space="0" w:color="auto"/>
            </w:tcBorders>
            <w:vAlign w:val="center"/>
            <w:hideMark/>
          </w:tcPr>
          <w:p w14:paraId="37EC45B2"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E3A88F7"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1.38</w:t>
            </w:r>
          </w:p>
        </w:tc>
        <w:tc>
          <w:tcPr>
            <w:tcW w:w="509" w:type="dxa"/>
            <w:tcBorders>
              <w:top w:val="single" w:sz="4" w:space="0" w:color="auto"/>
              <w:left w:val="single" w:sz="4" w:space="0" w:color="auto"/>
              <w:bottom w:val="single" w:sz="4" w:space="0" w:color="auto"/>
              <w:right w:val="single" w:sz="12" w:space="0" w:color="auto"/>
            </w:tcBorders>
            <w:vAlign w:val="center"/>
            <w:hideMark/>
          </w:tcPr>
          <w:p w14:paraId="26A55AA0"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54</w:t>
            </w:r>
          </w:p>
        </w:tc>
        <w:tc>
          <w:tcPr>
            <w:tcW w:w="680" w:type="dxa"/>
            <w:tcBorders>
              <w:top w:val="single" w:sz="4" w:space="0" w:color="auto"/>
              <w:left w:val="single" w:sz="12" w:space="0" w:color="auto"/>
              <w:bottom w:val="single" w:sz="4" w:space="0" w:color="auto"/>
              <w:right w:val="single" w:sz="4" w:space="0" w:color="auto"/>
            </w:tcBorders>
            <w:vAlign w:val="center"/>
            <w:hideMark/>
          </w:tcPr>
          <w:p w14:paraId="30927F5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531.76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F2D31C8"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2.25</w:t>
            </w:r>
          </w:p>
        </w:tc>
        <w:tc>
          <w:tcPr>
            <w:tcW w:w="510" w:type="dxa"/>
            <w:tcBorders>
              <w:top w:val="single" w:sz="4" w:space="0" w:color="auto"/>
              <w:left w:val="single" w:sz="4" w:space="0" w:color="auto"/>
              <w:bottom w:val="single" w:sz="4" w:space="0" w:color="auto"/>
              <w:right w:val="single" w:sz="12" w:space="0" w:color="auto"/>
            </w:tcBorders>
            <w:vAlign w:val="center"/>
            <w:hideMark/>
          </w:tcPr>
          <w:p w14:paraId="03DBB06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46</w:t>
            </w:r>
          </w:p>
        </w:tc>
        <w:tc>
          <w:tcPr>
            <w:tcW w:w="680" w:type="dxa"/>
            <w:tcBorders>
              <w:top w:val="single" w:sz="4" w:space="0" w:color="auto"/>
              <w:left w:val="single" w:sz="12" w:space="0" w:color="auto"/>
              <w:bottom w:val="single" w:sz="4" w:space="0" w:color="auto"/>
              <w:right w:val="single" w:sz="4" w:space="0" w:color="auto"/>
            </w:tcBorders>
            <w:vAlign w:val="center"/>
          </w:tcPr>
          <w:p w14:paraId="1E0C3FA9"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56F2E5C0"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3F64C8CC" w14:textId="77777777" w:rsidR="00263F11" w:rsidRPr="003832AC" w:rsidRDefault="00263F11" w:rsidP="00061CAC">
            <w:pPr>
              <w:spacing w:line="240" w:lineRule="auto"/>
              <w:jc w:val="center"/>
              <w:rPr>
                <w:rFonts w:cstheme="minorHAnsi"/>
                <w:sz w:val="16"/>
                <w:szCs w:val="16"/>
              </w:rPr>
            </w:pPr>
          </w:p>
        </w:tc>
        <w:tc>
          <w:tcPr>
            <w:tcW w:w="684" w:type="dxa"/>
            <w:tcBorders>
              <w:top w:val="single" w:sz="4" w:space="0" w:color="auto"/>
              <w:left w:val="single" w:sz="12" w:space="0" w:color="auto"/>
              <w:bottom w:val="single" w:sz="4" w:space="0" w:color="auto"/>
              <w:right w:val="single" w:sz="4" w:space="0" w:color="auto"/>
            </w:tcBorders>
            <w:vAlign w:val="center"/>
          </w:tcPr>
          <w:p w14:paraId="18780FFB"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5109C9CE"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FFFFFF" w:themeColor="background1"/>
            </w:tcBorders>
            <w:vAlign w:val="center"/>
          </w:tcPr>
          <w:p w14:paraId="7F8FB175" w14:textId="77777777" w:rsidR="00263F11" w:rsidRPr="003832AC" w:rsidRDefault="00263F11" w:rsidP="00061CAC">
            <w:pPr>
              <w:spacing w:line="240" w:lineRule="auto"/>
              <w:jc w:val="center"/>
              <w:rPr>
                <w:rFonts w:cstheme="minorHAnsi"/>
                <w:sz w:val="16"/>
                <w:szCs w:val="16"/>
              </w:rPr>
            </w:pPr>
          </w:p>
        </w:tc>
      </w:tr>
      <w:tr w:rsidR="00263F11" w:rsidRPr="003832AC" w14:paraId="04B3259D" w14:textId="77777777" w:rsidTr="00061CAC">
        <w:trPr>
          <w:trHeight w:val="283"/>
        </w:trPr>
        <w:tc>
          <w:tcPr>
            <w:tcW w:w="1019" w:type="dxa"/>
            <w:tcBorders>
              <w:top w:val="single" w:sz="4" w:space="0" w:color="auto"/>
              <w:left w:val="single" w:sz="12" w:space="0" w:color="FFFFFF" w:themeColor="background1"/>
              <w:bottom w:val="single" w:sz="4" w:space="0" w:color="auto"/>
              <w:right w:val="single" w:sz="12" w:space="0" w:color="auto"/>
            </w:tcBorders>
            <w:vAlign w:val="center"/>
            <w:hideMark/>
          </w:tcPr>
          <w:p w14:paraId="4AF6C69A" w14:textId="77777777" w:rsidR="00263F11" w:rsidRPr="003832AC" w:rsidRDefault="002D7574" w:rsidP="004641B5">
            <w:pPr>
              <w:spacing w:line="240" w:lineRule="auto"/>
              <w:jc w:val="center"/>
              <w:rPr>
                <w:rFonts w:cstheme="minorHAnsi"/>
                <w:b/>
                <w:sz w:val="16"/>
                <w:szCs w:val="16"/>
              </w:rPr>
            </w:pPr>
            <w:r>
              <w:rPr>
                <w:rFonts w:cstheme="minorHAnsi"/>
                <w:b/>
                <w:sz w:val="16"/>
                <w:szCs w:val="16"/>
              </w:rPr>
              <w:t>α-FeOOH</w:t>
            </w:r>
            <w:r w:rsidR="004641B5" w:rsidRPr="004641B5">
              <w:rPr>
                <w:rFonts w:eastAsia="Times New Roman" w:cstheme="minorHAnsi"/>
                <w:sz w:val="16"/>
                <w:szCs w:val="20"/>
                <w:vertAlign w:val="superscript"/>
              </w:rPr>
              <w:fldChar w:fldCharType="begin"/>
            </w:r>
            <w:r w:rsidR="004641B5" w:rsidRPr="004641B5">
              <w:rPr>
                <w:rFonts w:eastAsia="Times New Roman" w:cstheme="minorHAnsi"/>
                <w:sz w:val="16"/>
                <w:szCs w:val="20"/>
                <w:vertAlign w:val="superscript"/>
              </w:rPr>
              <w:instrText xml:space="preserve"> NOTEREF _Ref52914042 \h  \* MERGEFORMAT </w:instrText>
            </w:r>
            <w:r w:rsidR="004641B5" w:rsidRPr="004641B5">
              <w:rPr>
                <w:rFonts w:eastAsia="Times New Roman" w:cstheme="minorHAnsi"/>
                <w:sz w:val="16"/>
                <w:szCs w:val="20"/>
                <w:vertAlign w:val="superscript"/>
              </w:rPr>
            </w:r>
            <w:r w:rsidR="004641B5" w:rsidRPr="004641B5">
              <w:rPr>
                <w:rFonts w:eastAsia="Times New Roman" w:cstheme="minorHAnsi"/>
                <w:sz w:val="16"/>
                <w:szCs w:val="20"/>
                <w:vertAlign w:val="superscript"/>
              </w:rPr>
              <w:fldChar w:fldCharType="separate"/>
            </w:r>
            <w:r w:rsidR="004641B5" w:rsidRPr="004641B5">
              <w:rPr>
                <w:rFonts w:eastAsia="Times New Roman" w:cstheme="minorHAnsi"/>
                <w:sz w:val="16"/>
                <w:szCs w:val="20"/>
                <w:vertAlign w:val="superscript"/>
              </w:rPr>
              <w:t>2</w:t>
            </w:r>
            <w:r w:rsidR="004641B5" w:rsidRPr="004641B5">
              <w:rPr>
                <w:rFonts w:eastAsia="Times New Roman" w:cstheme="minorHAnsi"/>
                <w:sz w:val="16"/>
                <w:szCs w:val="20"/>
                <w:vertAlign w:val="superscript"/>
              </w:rPr>
              <w:fldChar w:fldCharType="end"/>
            </w:r>
          </w:p>
        </w:tc>
        <w:tc>
          <w:tcPr>
            <w:tcW w:w="679" w:type="dxa"/>
            <w:tcBorders>
              <w:top w:val="single" w:sz="4" w:space="0" w:color="auto"/>
              <w:left w:val="single" w:sz="12" w:space="0" w:color="auto"/>
              <w:bottom w:val="single" w:sz="4" w:space="0" w:color="auto"/>
              <w:right w:val="single" w:sz="4" w:space="0" w:color="auto"/>
            </w:tcBorders>
            <w:vAlign w:val="center"/>
            <w:hideMark/>
          </w:tcPr>
          <w:p w14:paraId="782DE6CC"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3FC0CA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1.11</w:t>
            </w:r>
          </w:p>
        </w:tc>
        <w:tc>
          <w:tcPr>
            <w:tcW w:w="509" w:type="dxa"/>
            <w:tcBorders>
              <w:top w:val="single" w:sz="4" w:space="0" w:color="auto"/>
              <w:left w:val="single" w:sz="4" w:space="0" w:color="auto"/>
              <w:bottom w:val="single" w:sz="4" w:space="0" w:color="auto"/>
              <w:right w:val="single" w:sz="12" w:space="0" w:color="auto"/>
            </w:tcBorders>
            <w:vAlign w:val="center"/>
            <w:hideMark/>
          </w:tcPr>
          <w:p w14:paraId="477F50B1"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39</w:t>
            </w:r>
          </w:p>
        </w:tc>
        <w:tc>
          <w:tcPr>
            <w:tcW w:w="680" w:type="dxa"/>
            <w:tcBorders>
              <w:top w:val="single" w:sz="4" w:space="0" w:color="auto"/>
              <w:left w:val="single" w:sz="12" w:space="0" w:color="auto"/>
              <w:bottom w:val="single" w:sz="4" w:space="0" w:color="auto"/>
              <w:right w:val="single" w:sz="4" w:space="0" w:color="auto"/>
            </w:tcBorders>
            <w:vAlign w:val="center"/>
          </w:tcPr>
          <w:p w14:paraId="7A477C33"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2374B1EE"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4" w:space="0" w:color="auto"/>
              <w:right w:val="single" w:sz="12" w:space="0" w:color="auto"/>
            </w:tcBorders>
            <w:vAlign w:val="center"/>
          </w:tcPr>
          <w:p w14:paraId="4EDAC59C"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4" w:space="0" w:color="auto"/>
              <w:right w:val="single" w:sz="4" w:space="0" w:color="auto"/>
            </w:tcBorders>
            <w:vAlign w:val="center"/>
            <w:hideMark/>
          </w:tcPr>
          <w:p w14:paraId="39DBDCD2"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531.20</w:t>
            </w:r>
          </w:p>
        </w:tc>
        <w:tc>
          <w:tcPr>
            <w:tcW w:w="680" w:type="dxa"/>
            <w:tcBorders>
              <w:top w:val="single" w:sz="4" w:space="0" w:color="auto"/>
              <w:left w:val="single" w:sz="4" w:space="0" w:color="auto"/>
              <w:bottom w:val="single" w:sz="4" w:space="0" w:color="auto"/>
              <w:right w:val="single" w:sz="4" w:space="0" w:color="auto"/>
            </w:tcBorders>
            <w:vAlign w:val="center"/>
            <w:hideMark/>
          </w:tcPr>
          <w:p w14:paraId="42B33463"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1.11</w:t>
            </w:r>
          </w:p>
        </w:tc>
        <w:tc>
          <w:tcPr>
            <w:tcW w:w="510" w:type="dxa"/>
            <w:tcBorders>
              <w:top w:val="single" w:sz="4" w:space="0" w:color="auto"/>
              <w:left w:val="single" w:sz="4" w:space="0" w:color="auto"/>
              <w:bottom w:val="single" w:sz="4" w:space="0" w:color="auto"/>
              <w:right w:val="single" w:sz="12" w:space="0" w:color="auto"/>
            </w:tcBorders>
            <w:vAlign w:val="center"/>
            <w:hideMark/>
          </w:tcPr>
          <w:p w14:paraId="6FED9A78"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49</w:t>
            </w:r>
          </w:p>
        </w:tc>
        <w:tc>
          <w:tcPr>
            <w:tcW w:w="684" w:type="dxa"/>
            <w:tcBorders>
              <w:top w:val="single" w:sz="4" w:space="0" w:color="auto"/>
              <w:left w:val="single" w:sz="12" w:space="0" w:color="auto"/>
              <w:bottom w:val="single" w:sz="4" w:space="0" w:color="auto"/>
              <w:right w:val="single" w:sz="4" w:space="0" w:color="auto"/>
            </w:tcBorders>
            <w:vAlign w:val="center"/>
            <w:hideMark/>
          </w:tcPr>
          <w:p w14:paraId="094BEC00"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532.50</w:t>
            </w:r>
          </w:p>
        </w:tc>
        <w:tc>
          <w:tcPr>
            <w:tcW w:w="680" w:type="dxa"/>
            <w:tcBorders>
              <w:top w:val="single" w:sz="4" w:space="0" w:color="auto"/>
              <w:left w:val="single" w:sz="4" w:space="0" w:color="auto"/>
              <w:bottom w:val="single" w:sz="4" w:space="0" w:color="auto"/>
              <w:right w:val="single" w:sz="4" w:space="0" w:color="auto"/>
            </w:tcBorders>
            <w:vAlign w:val="center"/>
            <w:hideMark/>
          </w:tcPr>
          <w:p w14:paraId="40A97FF6"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1.11</w:t>
            </w:r>
          </w:p>
        </w:tc>
        <w:tc>
          <w:tcPr>
            <w:tcW w:w="510" w:type="dxa"/>
            <w:tcBorders>
              <w:top w:val="single" w:sz="4" w:space="0" w:color="auto"/>
              <w:left w:val="single" w:sz="4" w:space="0" w:color="auto"/>
              <w:bottom w:val="single" w:sz="4" w:space="0" w:color="auto"/>
              <w:right w:val="single" w:sz="12" w:space="0" w:color="FFFFFF" w:themeColor="background1"/>
            </w:tcBorders>
            <w:vAlign w:val="center"/>
            <w:hideMark/>
          </w:tcPr>
          <w:p w14:paraId="419ED08A"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12</w:t>
            </w:r>
          </w:p>
        </w:tc>
      </w:tr>
      <w:tr w:rsidR="00263F11" w:rsidRPr="003832AC" w14:paraId="34ADEA60" w14:textId="77777777" w:rsidTr="00061CAC">
        <w:trPr>
          <w:trHeight w:val="283"/>
        </w:trPr>
        <w:tc>
          <w:tcPr>
            <w:tcW w:w="1019" w:type="dxa"/>
            <w:tcBorders>
              <w:top w:val="single" w:sz="4" w:space="0" w:color="auto"/>
              <w:left w:val="single" w:sz="12" w:space="0" w:color="FFFFFF" w:themeColor="background1"/>
              <w:bottom w:val="single" w:sz="12" w:space="0" w:color="FFFFFF" w:themeColor="background1"/>
              <w:right w:val="single" w:sz="12" w:space="0" w:color="auto"/>
            </w:tcBorders>
            <w:vAlign w:val="center"/>
            <w:hideMark/>
          </w:tcPr>
          <w:p w14:paraId="67B6A597" w14:textId="77777777" w:rsidR="00263F11" w:rsidRPr="003832AC" w:rsidRDefault="00263F11" w:rsidP="004641B5">
            <w:pPr>
              <w:spacing w:line="240" w:lineRule="auto"/>
              <w:jc w:val="center"/>
              <w:rPr>
                <w:rFonts w:cstheme="minorHAnsi"/>
                <w:b/>
                <w:sz w:val="16"/>
                <w:szCs w:val="16"/>
              </w:rPr>
            </w:pPr>
            <w:r w:rsidRPr="003832AC">
              <w:rPr>
                <w:rFonts w:eastAsiaTheme="minorHAnsi" w:cstheme="minorHAnsi"/>
                <w:b/>
                <w:sz w:val="16"/>
                <w:szCs w:val="16"/>
                <w:lang w:eastAsia="en-US"/>
              </w:rPr>
              <w:sym w:font="Symbol" w:char="F067"/>
            </w:r>
            <w:r w:rsidRPr="003832AC">
              <w:rPr>
                <w:rFonts w:eastAsiaTheme="minorHAnsi" w:cstheme="minorHAnsi"/>
                <w:b/>
                <w:sz w:val="16"/>
                <w:szCs w:val="16"/>
                <w:lang w:eastAsia="en-US"/>
              </w:rPr>
              <w:t>-FeOOH</w:t>
            </w:r>
            <w:r w:rsidR="004641B5" w:rsidRPr="004641B5">
              <w:rPr>
                <w:rFonts w:eastAsia="Times New Roman" w:cstheme="minorHAnsi"/>
                <w:sz w:val="16"/>
                <w:szCs w:val="20"/>
                <w:vertAlign w:val="superscript"/>
              </w:rPr>
              <w:fldChar w:fldCharType="begin"/>
            </w:r>
            <w:r w:rsidR="004641B5" w:rsidRPr="004641B5">
              <w:rPr>
                <w:rFonts w:eastAsia="Times New Roman" w:cstheme="minorHAnsi"/>
                <w:sz w:val="16"/>
                <w:szCs w:val="20"/>
                <w:vertAlign w:val="superscript"/>
              </w:rPr>
              <w:instrText xml:space="preserve"> NOTEREF _Ref52914042 \h  \* MERGEFORMAT </w:instrText>
            </w:r>
            <w:r w:rsidR="004641B5" w:rsidRPr="004641B5">
              <w:rPr>
                <w:rFonts w:eastAsia="Times New Roman" w:cstheme="minorHAnsi"/>
                <w:sz w:val="16"/>
                <w:szCs w:val="20"/>
                <w:vertAlign w:val="superscript"/>
              </w:rPr>
            </w:r>
            <w:r w:rsidR="004641B5" w:rsidRPr="004641B5">
              <w:rPr>
                <w:rFonts w:eastAsia="Times New Roman" w:cstheme="minorHAnsi"/>
                <w:sz w:val="16"/>
                <w:szCs w:val="20"/>
                <w:vertAlign w:val="superscript"/>
              </w:rPr>
              <w:fldChar w:fldCharType="separate"/>
            </w:r>
            <w:r w:rsidR="004641B5" w:rsidRPr="004641B5">
              <w:rPr>
                <w:rFonts w:eastAsia="Times New Roman" w:cstheme="minorHAnsi"/>
                <w:sz w:val="16"/>
                <w:szCs w:val="20"/>
                <w:vertAlign w:val="superscript"/>
              </w:rPr>
              <w:t>2</w:t>
            </w:r>
            <w:r w:rsidR="004641B5" w:rsidRPr="004641B5">
              <w:rPr>
                <w:rFonts w:eastAsia="Times New Roman" w:cstheme="minorHAnsi"/>
                <w:sz w:val="16"/>
                <w:szCs w:val="20"/>
                <w:vertAlign w:val="superscript"/>
              </w:rPr>
              <w:fldChar w:fldCharType="end"/>
            </w:r>
          </w:p>
        </w:tc>
        <w:tc>
          <w:tcPr>
            <w:tcW w:w="679" w:type="dxa"/>
            <w:tcBorders>
              <w:top w:val="single" w:sz="4" w:space="0" w:color="auto"/>
              <w:left w:val="single" w:sz="12" w:space="0" w:color="auto"/>
              <w:bottom w:val="single" w:sz="12" w:space="0" w:color="FFFFFF" w:themeColor="background1"/>
              <w:right w:val="single" w:sz="4" w:space="0" w:color="auto"/>
            </w:tcBorders>
            <w:vAlign w:val="center"/>
            <w:hideMark/>
          </w:tcPr>
          <w:p w14:paraId="64FB7C7A"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529.90</w:t>
            </w:r>
          </w:p>
        </w:tc>
        <w:tc>
          <w:tcPr>
            <w:tcW w:w="679" w:type="dxa"/>
            <w:tcBorders>
              <w:top w:val="single" w:sz="4" w:space="0" w:color="auto"/>
              <w:left w:val="single" w:sz="4" w:space="0" w:color="auto"/>
              <w:bottom w:val="single" w:sz="12" w:space="0" w:color="FFFFFF" w:themeColor="background1"/>
              <w:right w:val="single" w:sz="4" w:space="0" w:color="auto"/>
            </w:tcBorders>
            <w:vAlign w:val="center"/>
            <w:hideMark/>
          </w:tcPr>
          <w:p w14:paraId="1EE3405F"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1.21</w:t>
            </w:r>
          </w:p>
        </w:tc>
        <w:tc>
          <w:tcPr>
            <w:tcW w:w="509" w:type="dxa"/>
            <w:tcBorders>
              <w:top w:val="single" w:sz="4" w:space="0" w:color="auto"/>
              <w:left w:val="single" w:sz="4" w:space="0" w:color="auto"/>
              <w:bottom w:val="single" w:sz="12" w:space="0" w:color="FFFFFF" w:themeColor="background1"/>
              <w:right w:val="single" w:sz="12" w:space="0" w:color="auto"/>
            </w:tcBorders>
            <w:vAlign w:val="center"/>
            <w:hideMark/>
          </w:tcPr>
          <w:p w14:paraId="0F292D25"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40</w:t>
            </w:r>
          </w:p>
        </w:tc>
        <w:tc>
          <w:tcPr>
            <w:tcW w:w="680" w:type="dxa"/>
            <w:tcBorders>
              <w:top w:val="single" w:sz="4" w:space="0" w:color="auto"/>
              <w:left w:val="single" w:sz="12" w:space="0" w:color="auto"/>
              <w:bottom w:val="single" w:sz="12" w:space="0" w:color="FFFFFF" w:themeColor="background1"/>
              <w:right w:val="single" w:sz="4" w:space="0" w:color="auto"/>
            </w:tcBorders>
            <w:vAlign w:val="center"/>
          </w:tcPr>
          <w:p w14:paraId="39B5937F"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4" w:space="0" w:color="auto"/>
              <w:bottom w:val="single" w:sz="12" w:space="0" w:color="FFFFFF" w:themeColor="background1"/>
              <w:right w:val="single" w:sz="4" w:space="0" w:color="auto"/>
            </w:tcBorders>
            <w:vAlign w:val="center"/>
          </w:tcPr>
          <w:p w14:paraId="05E84BAD" w14:textId="77777777" w:rsidR="00263F11" w:rsidRPr="003832AC" w:rsidRDefault="00263F11" w:rsidP="00061CAC">
            <w:pPr>
              <w:spacing w:line="240" w:lineRule="auto"/>
              <w:jc w:val="center"/>
              <w:rPr>
                <w:rFonts w:cstheme="minorHAnsi"/>
                <w:sz w:val="16"/>
                <w:szCs w:val="16"/>
              </w:rPr>
            </w:pPr>
          </w:p>
        </w:tc>
        <w:tc>
          <w:tcPr>
            <w:tcW w:w="510" w:type="dxa"/>
            <w:tcBorders>
              <w:top w:val="single" w:sz="4" w:space="0" w:color="auto"/>
              <w:left w:val="single" w:sz="4" w:space="0" w:color="auto"/>
              <w:bottom w:val="single" w:sz="12" w:space="0" w:color="FFFFFF" w:themeColor="background1"/>
              <w:right w:val="single" w:sz="12" w:space="0" w:color="auto"/>
            </w:tcBorders>
            <w:vAlign w:val="center"/>
          </w:tcPr>
          <w:p w14:paraId="3BABEBD6" w14:textId="77777777" w:rsidR="00263F11" w:rsidRPr="003832AC" w:rsidRDefault="00263F11" w:rsidP="00061CAC">
            <w:pPr>
              <w:spacing w:line="240" w:lineRule="auto"/>
              <w:jc w:val="center"/>
              <w:rPr>
                <w:rFonts w:cstheme="minorHAnsi"/>
                <w:sz w:val="16"/>
                <w:szCs w:val="16"/>
              </w:rPr>
            </w:pPr>
          </w:p>
        </w:tc>
        <w:tc>
          <w:tcPr>
            <w:tcW w:w="680" w:type="dxa"/>
            <w:tcBorders>
              <w:top w:val="single" w:sz="4" w:space="0" w:color="auto"/>
              <w:left w:val="single" w:sz="12" w:space="0" w:color="auto"/>
              <w:bottom w:val="single" w:sz="12" w:space="0" w:color="FFFFFF" w:themeColor="background1"/>
              <w:right w:val="single" w:sz="4" w:space="0" w:color="auto"/>
            </w:tcBorders>
            <w:vAlign w:val="center"/>
            <w:hideMark/>
          </w:tcPr>
          <w:p w14:paraId="4D834F3A"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531.30</w:t>
            </w:r>
          </w:p>
        </w:tc>
        <w:tc>
          <w:tcPr>
            <w:tcW w:w="680" w:type="dxa"/>
            <w:tcBorders>
              <w:top w:val="single" w:sz="4" w:space="0" w:color="auto"/>
              <w:left w:val="single" w:sz="4" w:space="0" w:color="auto"/>
              <w:bottom w:val="single" w:sz="12" w:space="0" w:color="FFFFFF" w:themeColor="background1"/>
              <w:right w:val="single" w:sz="4" w:space="0" w:color="auto"/>
            </w:tcBorders>
            <w:vAlign w:val="center"/>
            <w:hideMark/>
          </w:tcPr>
          <w:p w14:paraId="41833FC8"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1.21</w:t>
            </w:r>
          </w:p>
        </w:tc>
        <w:tc>
          <w:tcPr>
            <w:tcW w:w="510" w:type="dxa"/>
            <w:tcBorders>
              <w:top w:val="single" w:sz="4" w:space="0" w:color="auto"/>
              <w:left w:val="single" w:sz="4" w:space="0" w:color="auto"/>
              <w:bottom w:val="single" w:sz="12" w:space="0" w:color="FFFFFF" w:themeColor="background1"/>
              <w:right w:val="single" w:sz="12" w:space="0" w:color="auto"/>
            </w:tcBorders>
            <w:vAlign w:val="center"/>
            <w:hideMark/>
          </w:tcPr>
          <w:p w14:paraId="6332C215"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37</w:t>
            </w:r>
          </w:p>
        </w:tc>
        <w:tc>
          <w:tcPr>
            <w:tcW w:w="684" w:type="dxa"/>
            <w:tcBorders>
              <w:top w:val="single" w:sz="4" w:space="0" w:color="auto"/>
              <w:left w:val="single" w:sz="12" w:space="0" w:color="auto"/>
              <w:bottom w:val="single" w:sz="12" w:space="0" w:color="FFFFFF" w:themeColor="background1"/>
              <w:right w:val="single" w:sz="4" w:space="0" w:color="auto"/>
            </w:tcBorders>
            <w:vAlign w:val="center"/>
            <w:hideMark/>
          </w:tcPr>
          <w:p w14:paraId="2D4C8515"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532.30</w:t>
            </w:r>
          </w:p>
        </w:tc>
        <w:tc>
          <w:tcPr>
            <w:tcW w:w="680" w:type="dxa"/>
            <w:tcBorders>
              <w:top w:val="single" w:sz="4" w:space="0" w:color="auto"/>
              <w:left w:val="single" w:sz="4" w:space="0" w:color="auto"/>
              <w:bottom w:val="single" w:sz="12" w:space="0" w:color="FFFFFF" w:themeColor="background1"/>
              <w:right w:val="single" w:sz="4" w:space="0" w:color="auto"/>
            </w:tcBorders>
            <w:vAlign w:val="center"/>
            <w:hideMark/>
          </w:tcPr>
          <w:p w14:paraId="6B9A4E38"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1.21</w:t>
            </w:r>
          </w:p>
        </w:tc>
        <w:tc>
          <w:tcPr>
            <w:tcW w:w="510" w:type="dxa"/>
            <w:tcBorders>
              <w:top w:val="single" w:sz="4" w:space="0" w:color="auto"/>
              <w:left w:val="single" w:sz="4" w:space="0" w:color="auto"/>
              <w:bottom w:val="single" w:sz="12" w:space="0" w:color="FFFFFF" w:themeColor="background1"/>
              <w:right w:val="single" w:sz="12" w:space="0" w:color="FFFFFF" w:themeColor="background1"/>
            </w:tcBorders>
            <w:vAlign w:val="center"/>
            <w:hideMark/>
          </w:tcPr>
          <w:p w14:paraId="19B7A126" w14:textId="77777777" w:rsidR="00263F11" w:rsidRPr="003832AC" w:rsidRDefault="00263F11" w:rsidP="00061CAC">
            <w:pPr>
              <w:spacing w:line="240" w:lineRule="auto"/>
              <w:jc w:val="center"/>
              <w:rPr>
                <w:rFonts w:cstheme="minorHAnsi"/>
                <w:sz w:val="16"/>
                <w:szCs w:val="16"/>
              </w:rPr>
            </w:pPr>
            <w:r w:rsidRPr="003832AC">
              <w:rPr>
                <w:rFonts w:cstheme="minorHAnsi"/>
                <w:sz w:val="16"/>
                <w:szCs w:val="16"/>
              </w:rPr>
              <w:t>15</w:t>
            </w:r>
          </w:p>
        </w:tc>
      </w:tr>
    </w:tbl>
    <w:p w14:paraId="0F0527DD" w14:textId="156E782F" w:rsidR="002D7574" w:rsidRDefault="00263F11" w:rsidP="002D7574">
      <w:pPr>
        <w:spacing w:before="240" w:line="240" w:lineRule="auto"/>
        <w:rPr>
          <w:rFonts w:eastAsia="Times New Roman" w:cstheme="minorHAnsi"/>
          <w:sz w:val="20"/>
          <w:szCs w:val="20"/>
        </w:rPr>
      </w:pPr>
      <w:r w:rsidRPr="00C307C1">
        <w:rPr>
          <w:rFonts w:eastAsia="Times New Roman" w:cstheme="minorHAnsi"/>
          <w:b/>
          <w:sz w:val="20"/>
          <w:szCs w:val="20"/>
        </w:rPr>
        <w:t xml:space="preserve">Table S2 | Reference XPS parameters </w:t>
      </w:r>
      <w:r>
        <w:rPr>
          <w:rFonts w:eastAsia="Times New Roman" w:cstheme="minorHAnsi"/>
          <w:b/>
          <w:sz w:val="20"/>
          <w:szCs w:val="20"/>
        </w:rPr>
        <w:t>for the most intense peaks of O</w:t>
      </w:r>
      <w:r w:rsidRPr="00C307C1">
        <w:rPr>
          <w:rFonts w:eastAsia="Times New Roman" w:cstheme="minorHAnsi"/>
          <w:b/>
          <w:sz w:val="20"/>
          <w:szCs w:val="20"/>
        </w:rPr>
        <w:t>1s compounds</w:t>
      </w:r>
      <w:r>
        <w:rPr>
          <w:rFonts w:eastAsia="Times New Roman" w:cstheme="minorHAnsi"/>
          <w:sz w:val="20"/>
          <w:szCs w:val="20"/>
        </w:rPr>
        <w:t>.</w:t>
      </w:r>
      <w:r w:rsidRPr="00F863C0">
        <w:rPr>
          <w:rFonts w:eastAsia="Times New Roman" w:cstheme="minorHAnsi"/>
          <w:sz w:val="20"/>
          <w:szCs w:val="20"/>
        </w:rPr>
        <w:t xml:space="preserve"> </w:t>
      </w:r>
      <w:r>
        <w:rPr>
          <w:rFonts w:eastAsia="Times New Roman" w:cstheme="minorHAnsi"/>
          <w:sz w:val="20"/>
          <w:szCs w:val="20"/>
        </w:rPr>
        <w:t>B</w:t>
      </w:r>
      <w:r w:rsidRPr="00F863C0">
        <w:rPr>
          <w:rFonts w:eastAsia="Times New Roman" w:cstheme="minorHAnsi"/>
          <w:sz w:val="20"/>
          <w:szCs w:val="20"/>
        </w:rPr>
        <w:t>inding energy, FWHM (10 eV pass energy), and percentage of total area</w:t>
      </w:r>
      <w:r w:rsidR="004641B5" w:rsidRPr="004641B5">
        <w:rPr>
          <w:rFonts w:eastAsia="Times New Roman" w:cstheme="minorHAnsi"/>
          <w:sz w:val="20"/>
          <w:szCs w:val="20"/>
          <w:vertAlign w:val="superscript"/>
        </w:rPr>
        <w:fldChar w:fldCharType="begin"/>
      </w:r>
      <w:r w:rsidR="004641B5" w:rsidRPr="004641B5">
        <w:rPr>
          <w:rFonts w:eastAsia="Times New Roman" w:cstheme="minorHAnsi"/>
          <w:sz w:val="20"/>
          <w:szCs w:val="20"/>
          <w:vertAlign w:val="superscript"/>
        </w:rPr>
        <w:instrText xml:space="preserve"> NOTEREF _Ref52914042 \h  \* MERGEFORMAT </w:instrText>
      </w:r>
      <w:r w:rsidR="004641B5" w:rsidRPr="004641B5">
        <w:rPr>
          <w:rFonts w:eastAsia="Times New Roman" w:cstheme="minorHAnsi"/>
          <w:sz w:val="20"/>
          <w:szCs w:val="20"/>
          <w:vertAlign w:val="superscript"/>
        </w:rPr>
      </w:r>
      <w:r w:rsidR="004641B5" w:rsidRPr="004641B5">
        <w:rPr>
          <w:rFonts w:eastAsia="Times New Roman" w:cstheme="minorHAnsi"/>
          <w:sz w:val="20"/>
          <w:szCs w:val="20"/>
          <w:vertAlign w:val="superscript"/>
        </w:rPr>
        <w:fldChar w:fldCharType="separate"/>
      </w:r>
      <w:r w:rsidR="00E459E9">
        <w:rPr>
          <w:rFonts w:eastAsia="Times New Roman" w:cstheme="minorHAnsi"/>
          <w:sz w:val="20"/>
          <w:szCs w:val="20"/>
          <w:vertAlign w:val="superscript"/>
        </w:rPr>
        <w:t>2</w:t>
      </w:r>
      <w:r w:rsidR="004641B5" w:rsidRPr="004641B5">
        <w:rPr>
          <w:rFonts w:eastAsia="Times New Roman" w:cstheme="minorHAnsi"/>
          <w:sz w:val="20"/>
          <w:szCs w:val="20"/>
          <w:vertAlign w:val="superscript"/>
        </w:rPr>
        <w:fldChar w:fldCharType="end"/>
      </w:r>
      <w:r w:rsidR="002D7574" w:rsidRPr="002D7574">
        <w:rPr>
          <w:rFonts w:eastAsia="Times New Roman" w:cstheme="minorHAnsi"/>
          <w:sz w:val="20"/>
          <w:szCs w:val="20"/>
          <w:vertAlign w:val="superscript"/>
        </w:rPr>
        <w:t>,</w:t>
      </w:r>
      <w:r w:rsidR="004641B5">
        <w:rPr>
          <w:rFonts w:eastAsia="Times New Roman" w:cstheme="minorHAnsi"/>
          <w:sz w:val="20"/>
          <w:szCs w:val="20"/>
          <w:vertAlign w:val="superscript"/>
        </w:rPr>
        <w:fldChar w:fldCharType="begin"/>
      </w:r>
      <w:r w:rsidR="004641B5">
        <w:rPr>
          <w:rFonts w:eastAsia="Times New Roman" w:cstheme="minorHAnsi"/>
          <w:sz w:val="20"/>
          <w:szCs w:val="20"/>
          <w:vertAlign w:val="superscript"/>
        </w:rPr>
        <w:instrText xml:space="preserve"> NOTEREF _Ref52914674 \h </w:instrText>
      </w:r>
      <w:r w:rsidR="004641B5">
        <w:rPr>
          <w:rFonts w:eastAsia="Times New Roman" w:cstheme="minorHAnsi"/>
          <w:sz w:val="20"/>
          <w:szCs w:val="20"/>
          <w:vertAlign w:val="superscript"/>
        </w:rPr>
      </w:r>
      <w:r w:rsidR="004641B5">
        <w:rPr>
          <w:rFonts w:eastAsia="Times New Roman" w:cstheme="minorHAnsi"/>
          <w:sz w:val="20"/>
          <w:szCs w:val="20"/>
          <w:vertAlign w:val="superscript"/>
        </w:rPr>
        <w:fldChar w:fldCharType="separate"/>
      </w:r>
      <w:r w:rsidR="00E459E9">
        <w:rPr>
          <w:rFonts w:eastAsia="Times New Roman" w:cstheme="minorHAnsi"/>
          <w:sz w:val="20"/>
          <w:szCs w:val="20"/>
          <w:vertAlign w:val="superscript"/>
        </w:rPr>
        <w:t>5</w:t>
      </w:r>
      <w:r w:rsidR="004641B5">
        <w:rPr>
          <w:rFonts w:eastAsia="Times New Roman" w:cstheme="minorHAnsi"/>
          <w:sz w:val="20"/>
          <w:szCs w:val="20"/>
          <w:vertAlign w:val="superscript"/>
        </w:rPr>
        <w:fldChar w:fldCharType="end"/>
      </w:r>
      <w:r w:rsidR="004641B5">
        <w:rPr>
          <w:rFonts w:eastAsia="Times New Roman" w:cstheme="minorHAnsi"/>
          <w:sz w:val="20"/>
          <w:szCs w:val="20"/>
          <w:vertAlign w:val="superscript"/>
        </w:rPr>
        <w:t>,</w:t>
      </w:r>
      <w:r w:rsidR="004641B5">
        <w:rPr>
          <w:rFonts w:eastAsia="Times New Roman" w:cstheme="minorHAnsi"/>
          <w:sz w:val="20"/>
          <w:szCs w:val="20"/>
          <w:vertAlign w:val="superscript"/>
        </w:rPr>
        <w:fldChar w:fldCharType="begin"/>
      </w:r>
      <w:r w:rsidR="004641B5">
        <w:rPr>
          <w:rFonts w:eastAsia="Times New Roman" w:cstheme="minorHAnsi"/>
          <w:sz w:val="20"/>
          <w:szCs w:val="20"/>
          <w:vertAlign w:val="superscript"/>
        </w:rPr>
        <w:instrText xml:space="preserve"> NOTEREF _Ref52914712 \h </w:instrText>
      </w:r>
      <w:r w:rsidR="004641B5">
        <w:rPr>
          <w:rFonts w:eastAsia="Times New Roman" w:cstheme="minorHAnsi"/>
          <w:sz w:val="20"/>
          <w:szCs w:val="20"/>
          <w:vertAlign w:val="superscript"/>
        </w:rPr>
      </w:r>
      <w:r w:rsidR="004641B5">
        <w:rPr>
          <w:rFonts w:eastAsia="Times New Roman" w:cstheme="minorHAnsi"/>
          <w:sz w:val="20"/>
          <w:szCs w:val="20"/>
          <w:vertAlign w:val="superscript"/>
        </w:rPr>
        <w:fldChar w:fldCharType="separate"/>
      </w:r>
      <w:r w:rsidR="00E459E9">
        <w:rPr>
          <w:rFonts w:eastAsia="Times New Roman" w:cstheme="minorHAnsi"/>
          <w:sz w:val="20"/>
          <w:szCs w:val="20"/>
          <w:vertAlign w:val="superscript"/>
        </w:rPr>
        <w:t>6</w:t>
      </w:r>
      <w:r w:rsidR="004641B5">
        <w:rPr>
          <w:rFonts w:eastAsia="Times New Roman" w:cstheme="minorHAnsi"/>
          <w:sz w:val="20"/>
          <w:szCs w:val="20"/>
          <w:vertAlign w:val="superscript"/>
        </w:rPr>
        <w:fldChar w:fldCharType="end"/>
      </w:r>
      <w:r w:rsidR="004641B5">
        <w:rPr>
          <w:rFonts w:eastAsia="Times New Roman" w:cstheme="minorHAnsi"/>
          <w:sz w:val="20"/>
          <w:szCs w:val="20"/>
        </w:rPr>
        <w:t>.</w:t>
      </w:r>
    </w:p>
    <w:p w14:paraId="648942BD" w14:textId="77777777" w:rsidR="00E459E9" w:rsidRPr="004641B5" w:rsidRDefault="00E459E9" w:rsidP="002D7574">
      <w:pPr>
        <w:spacing w:before="240" w:line="240" w:lineRule="auto"/>
        <w:rPr>
          <w:rFonts w:eastAsia="Times New Roman" w:cstheme="minorHAnsi"/>
          <w:sz w:val="20"/>
          <w:szCs w:val="20"/>
        </w:rPr>
      </w:pPr>
    </w:p>
    <w:p w14:paraId="53D70B99" w14:textId="4A056396" w:rsidR="002D7574" w:rsidRDefault="00E459E9" w:rsidP="00041989">
      <w:pPr>
        <w:rPr>
          <w:rFonts w:eastAsia="Times New Roman" w:cstheme="minorHAnsi"/>
          <w:sz w:val="20"/>
          <w:szCs w:val="20"/>
        </w:rPr>
      </w:pPr>
      <w:r>
        <w:rPr>
          <w:color w:val="000000" w:themeColor="text1"/>
        </w:rPr>
        <w:t xml:space="preserve">After the exposure to water, the conversion of oxide into hydroxide is expected. </w:t>
      </w:r>
      <w:r w:rsidRPr="00AE146D">
        <w:rPr>
          <w:b/>
          <w:bCs/>
          <w:color w:val="000000" w:themeColor="text1"/>
        </w:rPr>
        <w:t>Table S2</w:t>
      </w:r>
      <w:r>
        <w:rPr>
          <w:color w:val="000000" w:themeColor="text1"/>
        </w:rPr>
        <w:t xml:space="preserve"> lists the XPS peaks of three Ni hydroxides phases: Ni(OH)</w:t>
      </w:r>
      <w:r>
        <w:rPr>
          <w:color w:val="000000" w:themeColor="text1"/>
          <w:vertAlign w:val="subscript"/>
        </w:rPr>
        <w:t>2</w:t>
      </w:r>
      <w:r>
        <w:rPr>
          <w:color w:val="000000" w:themeColor="text1"/>
        </w:rPr>
        <w:t xml:space="preserve">, </w:t>
      </w:r>
      <w:r>
        <w:rPr>
          <w:color w:val="000000" w:themeColor="text1"/>
        </w:rPr>
        <w:sym w:font="Symbol" w:char="F067"/>
      </w:r>
      <w:r>
        <w:rPr>
          <w:color w:val="000000" w:themeColor="text1"/>
        </w:rPr>
        <w:t xml:space="preserve">-NiOOH and </w:t>
      </w:r>
      <w:r>
        <w:rPr>
          <w:color w:val="000000" w:themeColor="text1"/>
        </w:rPr>
        <w:sym w:font="Symbol" w:char="F062"/>
      </w:r>
      <w:r>
        <w:rPr>
          <w:color w:val="000000" w:themeColor="text1"/>
        </w:rPr>
        <w:t>-NiOOH. The Ni(OH)</w:t>
      </w:r>
      <w:r>
        <w:rPr>
          <w:color w:val="000000" w:themeColor="text1"/>
          <w:vertAlign w:val="subscript"/>
        </w:rPr>
        <w:t>2</w:t>
      </w:r>
      <w:r>
        <w:rPr>
          <w:color w:val="000000" w:themeColor="text1"/>
        </w:rPr>
        <w:t xml:space="preserve"> has only one component, (OH)</w:t>
      </w:r>
      <w:r>
        <w:rPr>
          <w:color w:val="000000" w:themeColor="text1"/>
          <w:vertAlign w:val="superscript"/>
        </w:rPr>
        <w:t>-</w:t>
      </w:r>
      <w:r>
        <w:rPr>
          <w:color w:val="000000" w:themeColor="text1"/>
        </w:rPr>
        <w:t xml:space="preserve"> at 530.9 eV. However, NiOOH phases have two components: (OH)</w:t>
      </w:r>
      <w:r>
        <w:rPr>
          <w:color w:val="000000" w:themeColor="text1"/>
          <w:vertAlign w:val="superscript"/>
        </w:rPr>
        <w:t>-</w:t>
      </w:r>
      <w:r>
        <w:rPr>
          <w:color w:val="000000" w:themeColor="text1"/>
        </w:rPr>
        <w:t xml:space="preserve"> and lattice oxygen (O</w:t>
      </w:r>
      <w:r>
        <w:rPr>
          <w:color w:val="000000" w:themeColor="text1"/>
          <w:vertAlign w:val="superscript"/>
        </w:rPr>
        <w:t>2-</w:t>
      </w:r>
      <w:r>
        <w:rPr>
          <w:color w:val="000000" w:themeColor="text1"/>
        </w:rPr>
        <w:t>)</w:t>
      </w:r>
      <w:r>
        <w:rPr>
          <w:rStyle w:val="EndnoteReference"/>
          <w:color w:val="000000" w:themeColor="text1"/>
        </w:rPr>
        <w:endnoteReference w:id="7"/>
      </w:r>
      <w:r>
        <w:rPr>
          <w:color w:val="000000" w:themeColor="text1"/>
          <w:vertAlign w:val="superscript"/>
        </w:rPr>
        <w:t>,</w:t>
      </w:r>
      <w:r>
        <w:rPr>
          <w:rStyle w:val="EndnoteReference"/>
          <w:color w:val="000000" w:themeColor="text1"/>
        </w:rPr>
        <w:endnoteReference w:id="8"/>
      </w:r>
      <w:r>
        <w:rPr>
          <w:color w:val="000000" w:themeColor="text1"/>
        </w:rPr>
        <w:t>. That means that if the NiO is converted to Ni(OH)</w:t>
      </w:r>
      <w:r>
        <w:rPr>
          <w:color w:val="000000" w:themeColor="text1"/>
          <w:vertAlign w:val="subscript"/>
        </w:rPr>
        <w:t>2</w:t>
      </w:r>
      <w:r>
        <w:rPr>
          <w:color w:val="000000" w:themeColor="text1"/>
        </w:rPr>
        <w:t>, all the XPS signal is transferred from the O</w:t>
      </w:r>
      <w:r>
        <w:rPr>
          <w:color w:val="000000" w:themeColor="text1"/>
          <w:vertAlign w:val="superscript"/>
        </w:rPr>
        <w:t>2-</w:t>
      </w:r>
      <w:r>
        <w:rPr>
          <w:color w:val="000000" w:themeColor="text1"/>
        </w:rPr>
        <w:t xml:space="preserve"> peak to the (OH)</w:t>
      </w:r>
      <w:r>
        <w:rPr>
          <w:color w:val="000000" w:themeColor="text1"/>
          <w:vertAlign w:val="superscript"/>
        </w:rPr>
        <w:t>-</w:t>
      </w:r>
      <w:r>
        <w:rPr>
          <w:color w:val="000000" w:themeColor="text1"/>
        </w:rPr>
        <w:t xml:space="preserve">. For the NiOOH phases, the transference is only partial, and the </w:t>
      </w:r>
      <w:r>
        <w:rPr>
          <w:color w:val="000000" w:themeColor="text1"/>
        </w:rPr>
        <w:lastRenderedPageBreak/>
        <w:t>increase/decrease of (OH)</w:t>
      </w:r>
      <w:r>
        <w:rPr>
          <w:color w:val="000000" w:themeColor="text1"/>
          <w:vertAlign w:val="superscript"/>
        </w:rPr>
        <w:t>-</w:t>
      </w:r>
      <w:r>
        <w:rPr>
          <w:color w:val="000000" w:themeColor="text1"/>
        </w:rPr>
        <w:t>/O</w:t>
      </w:r>
      <w:r>
        <w:rPr>
          <w:color w:val="000000" w:themeColor="text1"/>
          <w:vertAlign w:val="superscript"/>
        </w:rPr>
        <w:t>2-</w:t>
      </w:r>
      <w:r>
        <w:rPr>
          <w:color w:val="000000" w:themeColor="text1"/>
        </w:rPr>
        <w:t xml:space="preserve"> components is less evident. Something similar happens for the Fe hydroxides, Fe(OH)</w:t>
      </w:r>
      <w:r>
        <w:rPr>
          <w:color w:val="000000" w:themeColor="text1"/>
          <w:vertAlign w:val="subscript"/>
        </w:rPr>
        <w:t xml:space="preserve">2 </w:t>
      </w:r>
      <w:r>
        <w:rPr>
          <w:color w:val="000000" w:themeColor="text1"/>
        </w:rPr>
        <w:t>and FeOOH</w:t>
      </w:r>
      <w:r w:rsidRPr="002D7574">
        <w:rPr>
          <w:color w:val="000000" w:themeColor="text1"/>
          <w:vertAlign w:val="superscript"/>
        </w:rPr>
        <w:fldChar w:fldCharType="begin"/>
      </w:r>
      <w:r w:rsidRPr="002D7574">
        <w:rPr>
          <w:color w:val="000000" w:themeColor="text1"/>
          <w:vertAlign w:val="superscript"/>
        </w:rPr>
        <w:instrText xml:space="preserve"> NOTEREF _Ref52914042 \h </w:instrText>
      </w:r>
      <w:r>
        <w:rPr>
          <w:color w:val="000000" w:themeColor="text1"/>
          <w:vertAlign w:val="superscript"/>
        </w:rPr>
        <w:instrText xml:space="preserve"> \* MERGEFORMAT </w:instrText>
      </w:r>
      <w:r w:rsidRPr="002D7574">
        <w:rPr>
          <w:color w:val="000000" w:themeColor="text1"/>
          <w:vertAlign w:val="superscript"/>
        </w:rPr>
      </w:r>
      <w:r w:rsidRPr="002D7574">
        <w:rPr>
          <w:color w:val="000000" w:themeColor="text1"/>
          <w:vertAlign w:val="superscript"/>
        </w:rPr>
        <w:fldChar w:fldCharType="separate"/>
      </w:r>
      <w:r>
        <w:rPr>
          <w:color w:val="000000" w:themeColor="text1"/>
          <w:vertAlign w:val="superscript"/>
        </w:rPr>
        <w:t>2</w:t>
      </w:r>
      <w:r w:rsidRPr="002D7574">
        <w:rPr>
          <w:color w:val="000000" w:themeColor="text1"/>
          <w:vertAlign w:val="superscript"/>
        </w:rPr>
        <w:fldChar w:fldCharType="end"/>
      </w:r>
      <w:r w:rsidRPr="002D7574">
        <w:rPr>
          <w:color w:val="000000" w:themeColor="text1"/>
          <w:vertAlign w:val="superscript"/>
        </w:rPr>
        <w:t>,</w:t>
      </w:r>
      <w:r>
        <w:rPr>
          <w:rStyle w:val="EndnoteReference"/>
          <w:color w:val="000000" w:themeColor="text1"/>
        </w:rPr>
        <w:endnoteReference w:id="9"/>
      </w:r>
      <w:r>
        <w:rPr>
          <w:color w:val="000000" w:themeColor="text1"/>
        </w:rPr>
        <w:t xml:space="preserve">. </w:t>
      </w:r>
    </w:p>
    <w:p w14:paraId="7BE4BCE7" w14:textId="36399112" w:rsidR="0077447D" w:rsidRDefault="00263F11" w:rsidP="004641B5">
      <w:pPr>
        <w:spacing w:before="240"/>
        <w:rPr>
          <w:color w:val="000000" w:themeColor="text1"/>
        </w:rPr>
      </w:pPr>
      <w:r>
        <w:rPr>
          <w:color w:val="000000" w:themeColor="text1"/>
        </w:rPr>
        <w:t>When comparing the O1s before and after the exposure to water</w:t>
      </w:r>
      <w:r w:rsidR="006A273C">
        <w:rPr>
          <w:color w:val="000000" w:themeColor="text1"/>
        </w:rPr>
        <w:t xml:space="preserve"> (</w:t>
      </w:r>
      <w:r w:rsidR="006A273C" w:rsidRPr="005F6876">
        <w:rPr>
          <w:b/>
          <w:bCs/>
          <w:color w:val="000000" w:themeColor="text1"/>
        </w:rPr>
        <w:t>Figure S3a</w:t>
      </w:r>
      <w:r w:rsidR="006A273C">
        <w:rPr>
          <w:color w:val="000000" w:themeColor="text1"/>
        </w:rPr>
        <w:t>)</w:t>
      </w:r>
      <w:r>
        <w:rPr>
          <w:color w:val="000000" w:themeColor="text1"/>
        </w:rPr>
        <w:t xml:space="preserve">, there is an increase </w:t>
      </w:r>
      <w:r w:rsidR="00E459E9">
        <w:rPr>
          <w:color w:val="000000" w:themeColor="text1"/>
        </w:rPr>
        <w:t xml:space="preserve">in </w:t>
      </w:r>
      <w:r>
        <w:rPr>
          <w:color w:val="000000" w:themeColor="text1"/>
        </w:rPr>
        <w:t>the (OH)</w:t>
      </w:r>
      <w:r>
        <w:rPr>
          <w:color w:val="000000" w:themeColor="text1"/>
          <w:vertAlign w:val="superscript"/>
        </w:rPr>
        <w:t>-</w:t>
      </w:r>
      <w:r>
        <w:rPr>
          <w:color w:val="000000" w:themeColor="text1"/>
        </w:rPr>
        <w:t xml:space="preserve"> peak for all samples, though this increment is less intense for samples with Fe. </w:t>
      </w:r>
      <w:r w:rsidR="00E576F0">
        <w:rPr>
          <w:color w:val="000000" w:themeColor="text1"/>
        </w:rPr>
        <w:t xml:space="preserve">Greater amounts of Fe </w:t>
      </w:r>
      <w:r>
        <w:rPr>
          <w:color w:val="000000" w:themeColor="text1"/>
        </w:rPr>
        <w:t xml:space="preserve">also </w:t>
      </w:r>
      <w:r w:rsidR="00E576F0">
        <w:rPr>
          <w:color w:val="000000" w:themeColor="text1"/>
        </w:rPr>
        <w:t>lead to smaller decreases in the NiO peak (</w:t>
      </w:r>
      <w:r w:rsidR="00E576F0" w:rsidRPr="00AE146D">
        <w:rPr>
          <w:b/>
          <w:bCs/>
          <w:color w:val="000000" w:themeColor="text1"/>
        </w:rPr>
        <w:t xml:space="preserve">Figure </w:t>
      </w:r>
      <w:r w:rsidRPr="00AE146D">
        <w:rPr>
          <w:b/>
          <w:bCs/>
          <w:color w:val="000000" w:themeColor="text1"/>
        </w:rPr>
        <w:t>S3</w:t>
      </w:r>
      <w:r w:rsidR="00CF2BB9">
        <w:rPr>
          <w:b/>
          <w:bCs/>
          <w:color w:val="000000" w:themeColor="text1"/>
        </w:rPr>
        <w:t>b</w:t>
      </w:r>
      <w:r w:rsidR="00E576F0">
        <w:rPr>
          <w:color w:val="000000" w:themeColor="text1"/>
        </w:rPr>
        <w:t>). Conversely, there is a clear emergence of a NiOOH component in Ni2p spectra of Fe doped samples, while no evident change is observed for NiO. A possible explanation for this could be that, for pure Ni oxide, Ni(OH)</w:t>
      </w:r>
      <w:r w:rsidR="00E576F0">
        <w:rPr>
          <w:color w:val="000000" w:themeColor="text1"/>
          <w:vertAlign w:val="subscript"/>
        </w:rPr>
        <w:t>2</w:t>
      </w:r>
      <w:r w:rsidR="00E576F0">
        <w:rPr>
          <w:color w:val="000000" w:themeColor="text1"/>
        </w:rPr>
        <w:t xml:space="preserve"> is being formed and cannot be identified in Ni2p spectra due to the proximity with NiO peaks. On the other side, Fe doping favors the formation of NiOOH, and this effect increases with the increment of Fe doping. Consequently, the (Ni</w:t>
      </w:r>
      <w:r w:rsidR="00E576F0">
        <w:rPr>
          <w:color w:val="000000" w:themeColor="text1"/>
          <w:vertAlign w:val="subscript"/>
        </w:rPr>
        <w:t>0.80</w:t>
      </w:r>
      <w:r w:rsidR="00E576F0">
        <w:rPr>
          <w:color w:val="000000" w:themeColor="text1"/>
        </w:rPr>
        <w:t>Fe</w:t>
      </w:r>
      <w:r w:rsidR="00E576F0">
        <w:rPr>
          <w:color w:val="000000" w:themeColor="text1"/>
          <w:vertAlign w:val="subscript"/>
        </w:rPr>
        <w:t>0.20</w:t>
      </w:r>
      <w:r w:rsidR="00E576F0">
        <w:rPr>
          <w:color w:val="000000" w:themeColor="text1"/>
        </w:rPr>
        <w:t>)</w:t>
      </w:r>
      <w:r w:rsidR="00E576F0" w:rsidRPr="00041989">
        <w:rPr>
          <w:i/>
          <w:color w:val="000000" w:themeColor="text1"/>
          <w:vertAlign w:val="subscript"/>
        </w:rPr>
        <w:t>x</w:t>
      </w:r>
      <w:r w:rsidR="00E576F0">
        <w:rPr>
          <w:color w:val="000000" w:themeColor="text1"/>
        </w:rPr>
        <w:t>O</w:t>
      </w:r>
      <w:r w:rsidR="00E576F0" w:rsidRPr="00041989">
        <w:rPr>
          <w:i/>
          <w:color w:val="000000" w:themeColor="text1"/>
          <w:vertAlign w:val="subscript"/>
        </w:rPr>
        <w:t>y</w:t>
      </w:r>
      <w:r w:rsidR="00E576F0">
        <w:rPr>
          <w:color w:val="000000" w:themeColor="text1"/>
        </w:rPr>
        <w:t xml:space="preserve"> sample exhibits </w:t>
      </w:r>
      <w:r w:rsidR="00E459E9">
        <w:rPr>
          <w:color w:val="000000" w:themeColor="text1"/>
        </w:rPr>
        <w:t xml:space="preserve">a </w:t>
      </w:r>
      <w:r w:rsidR="00E576F0">
        <w:rPr>
          <w:color w:val="000000" w:themeColor="text1"/>
        </w:rPr>
        <w:t>more pronounced hydroxide peak at Ni2p</w:t>
      </w:r>
      <w:r w:rsidR="00E576F0">
        <w:rPr>
          <w:color w:val="000000" w:themeColor="text1"/>
          <w:vertAlign w:val="subscript"/>
        </w:rPr>
        <w:t>3/2</w:t>
      </w:r>
      <w:r w:rsidR="00E576F0">
        <w:rPr>
          <w:color w:val="000000" w:themeColor="text1"/>
        </w:rPr>
        <w:t xml:space="preserve"> spectrum (</w:t>
      </w:r>
      <w:r w:rsidR="00E576F0" w:rsidRPr="00AE146D">
        <w:rPr>
          <w:b/>
          <w:bCs/>
          <w:color w:val="000000" w:themeColor="text1"/>
        </w:rPr>
        <w:t>Fig</w:t>
      </w:r>
      <w:r w:rsidRPr="00AE146D">
        <w:rPr>
          <w:b/>
          <w:bCs/>
          <w:color w:val="000000" w:themeColor="text1"/>
        </w:rPr>
        <w:t>ure S1i</w:t>
      </w:r>
      <w:r w:rsidR="00E576F0">
        <w:rPr>
          <w:color w:val="000000" w:themeColor="text1"/>
        </w:rPr>
        <w:t xml:space="preserve">) and </w:t>
      </w:r>
      <w:r w:rsidR="00E459E9">
        <w:rPr>
          <w:color w:val="000000" w:themeColor="text1"/>
        </w:rPr>
        <w:t xml:space="preserve">a </w:t>
      </w:r>
      <w:r w:rsidR="00E576F0">
        <w:rPr>
          <w:color w:val="000000" w:themeColor="text1"/>
        </w:rPr>
        <w:t>smaller decrease of NiO peak at O1s (</w:t>
      </w:r>
      <w:r w:rsidR="00E576F0" w:rsidRPr="00AE146D">
        <w:rPr>
          <w:b/>
          <w:bCs/>
          <w:color w:val="000000" w:themeColor="text1"/>
        </w:rPr>
        <w:t xml:space="preserve">Figure </w:t>
      </w:r>
      <w:r w:rsidRPr="00AE146D">
        <w:rPr>
          <w:b/>
          <w:bCs/>
          <w:color w:val="000000" w:themeColor="text1"/>
        </w:rPr>
        <w:t>S3</w:t>
      </w:r>
      <w:r w:rsidR="00CF2BB9" w:rsidRPr="00AE146D">
        <w:rPr>
          <w:b/>
          <w:bCs/>
          <w:color w:val="000000" w:themeColor="text1"/>
        </w:rPr>
        <w:t>b</w:t>
      </w:r>
      <w:r w:rsidR="00E576F0">
        <w:rPr>
          <w:color w:val="000000" w:themeColor="text1"/>
        </w:rPr>
        <w:t>), since this peak is partially arising from the formation of NiOOH instead of Ni(OH)</w:t>
      </w:r>
      <w:r w:rsidR="00E576F0">
        <w:rPr>
          <w:color w:val="000000" w:themeColor="text1"/>
          <w:vertAlign w:val="subscript"/>
        </w:rPr>
        <w:t>2</w:t>
      </w:r>
      <w:r w:rsidR="00E576F0">
        <w:rPr>
          <w:color w:val="000000" w:themeColor="text1"/>
        </w:rPr>
        <w:t>. Concerning the Fe, the hydroxylation is confirmed by the decrease of the NiFe</w:t>
      </w:r>
      <w:r w:rsidR="00E576F0">
        <w:rPr>
          <w:color w:val="000000" w:themeColor="text1"/>
          <w:vertAlign w:val="subscript"/>
        </w:rPr>
        <w:t>2</w:t>
      </w:r>
      <w:r w:rsidR="00E576F0">
        <w:rPr>
          <w:color w:val="000000" w:themeColor="text1"/>
        </w:rPr>
        <w:t>O</w:t>
      </w:r>
      <w:r w:rsidR="00E576F0">
        <w:rPr>
          <w:color w:val="000000" w:themeColor="text1"/>
          <w:vertAlign w:val="subscript"/>
        </w:rPr>
        <w:t>4</w:t>
      </w:r>
      <w:r w:rsidR="00E576F0">
        <w:rPr>
          <w:color w:val="000000" w:themeColor="text1"/>
        </w:rPr>
        <w:t xml:space="preserve"> after the water exposure. Due to the impossibility of analyzing the Fe2p spectra, it is not possible to determine whether Fe(OH)</w:t>
      </w:r>
      <w:r w:rsidR="00E576F0">
        <w:rPr>
          <w:color w:val="000000" w:themeColor="text1"/>
          <w:vertAlign w:val="subscript"/>
        </w:rPr>
        <w:t xml:space="preserve">2 </w:t>
      </w:r>
      <w:r w:rsidR="00E576F0">
        <w:rPr>
          <w:color w:val="000000" w:themeColor="text1"/>
        </w:rPr>
        <w:t>or FeOOH is being formed. However, considering the NiFe alloying and the observation of NiOOH after the Fe doping, it should be expected the formation of a Ni</w:t>
      </w:r>
      <w:r w:rsidR="00E576F0" w:rsidRPr="00041989">
        <w:rPr>
          <w:i/>
          <w:color w:val="000000" w:themeColor="text1"/>
          <w:vertAlign w:val="subscript"/>
        </w:rPr>
        <w:t>1−x</w:t>
      </w:r>
      <w:r w:rsidR="00E576F0">
        <w:rPr>
          <w:color w:val="000000" w:themeColor="text1"/>
        </w:rPr>
        <w:t>Fe</w:t>
      </w:r>
      <w:r w:rsidR="00E576F0" w:rsidRPr="00041989">
        <w:rPr>
          <w:i/>
          <w:color w:val="000000" w:themeColor="text1"/>
          <w:vertAlign w:val="subscript"/>
        </w:rPr>
        <w:t>x</w:t>
      </w:r>
      <w:r w:rsidR="00E576F0">
        <w:rPr>
          <w:color w:val="000000" w:themeColor="text1"/>
        </w:rPr>
        <w:t>OOH phase.</w:t>
      </w:r>
    </w:p>
    <w:p w14:paraId="597F3362" w14:textId="43A7C03E" w:rsidR="006D1166" w:rsidRDefault="006D1166" w:rsidP="004641B5">
      <w:pPr>
        <w:spacing w:before="240"/>
        <w:rPr>
          <w:color w:val="000000" w:themeColor="text1"/>
        </w:rPr>
      </w:pPr>
    </w:p>
    <w:p w14:paraId="1586D12F" w14:textId="107D0E53" w:rsidR="006D1166" w:rsidRPr="006D1166" w:rsidRDefault="006D1166" w:rsidP="004641B5">
      <w:pPr>
        <w:spacing w:before="240"/>
        <w:rPr>
          <w:b/>
          <w:color w:val="000000" w:themeColor="text1"/>
        </w:rPr>
      </w:pPr>
      <w:r w:rsidRPr="006D1166">
        <w:rPr>
          <w:b/>
          <w:color w:val="000000" w:themeColor="text1"/>
        </w:rPr>
        <w:t>EDS-STEM measurements after the OER</w:t>
      </w:r>
    </w:p>
    <w:p w14:paraId="46731FC8" w14:textId="01192E9D" w:rsidR="006D1166" w:rsidRPr="00247F3B" w:rsidRDefault="006D1166" w:rsidP="004641B5">
      <w:pPr>
        <w:spacing w:before="240"/>
      </w:pPr>
      <w:r>
        <w:t xml:space="preserve">It should be noted that all </w:t>
      </w:r>
      <w:r w:rsidR="00247F3B">
        <w:t>n-</w:t>
      </w:r>
      <w:r>
        <w:t>ECSTM mea</w:t>
      </w:r>
      <w:r w:rsidR="00B520BD">
        <w:t>su</w:t>
      </w:r>
      <w:r>
        <w:t>rements</w:t>
      </w:r>
      <w:r w:rsidR="00247F3B">
        <w:t xml:space="preserve"> (active site identifications)</w:t>
      </w:r>
      <w:r>
        <w:t xml:space="preserve"> at the OER on conditions are conducted at low OER overpotentials to prevent catalyst, especially</w:t>
      </w:r>
      <w:r w:rsidR="00A96553">
        <w:t xml:space="preserve"> the</w:t>
      </w:r>
      <w:r>
        <w:t xml:space="preserve"> Fe</w:t>
      </w:r>
      <w:r w:rsidR="00A96553">
        <w:t xml:space="preserve"> atoms</w:t>
      </w:r>
      <w:r>
        <w:t>, dissol</w:t>
      </w:r>
      <w:r w:rsidR="00A96553">
        <w:t>ving</w:t>
      </w:r>
      <w:r>
        <w:t xml:space="preserve"> and gas bubble formation. Therefore, catalyst dissolution is not in the scope of this work.</w:t>
      </w:r>
      <w:r w:rsidR="00247F3B">
        <w:t xml:space="preserve"> </w:t>
      </w:r>
      <w:r>
        <w:t xml:space="preserve">However, </w:t>
      </w:r>
      <w:r w:rsidR="00247F3B">
        <w:t xml:space="preserve">higher overpotentials were used to study how the OER affects the </w:t>
      </w:r>
      <w:r w:rsidR="00A96553">
        <w:t xml:space="preserve">structural and chemical compositions of the </w:t>
      </w:r>
      <w:r w:rsidR="00247F3B">
        <w:t xml:space="preserve">2D catalyst islands. A clear decrease in the activity </w:t>
      </w:r>
      <w:r w:rsidR="00B520BD">
        <w:t xml:space="preserve">of </w:t>
      </w:r>
      <w:r w:rsidR="00B520BD" w:rsidRPr="00B44DEE">
        <w:t>NiFeO</w:t>
      </w:r>
      <w:r w:rsidR="00B520BD" w:rsidRPr="00F84A89">
        <w:rPr>
          <w:i/>
          <w:vertAlign w:val="subscript"/>
        </w:rPr>
        <w:t>x</w:t>
      </w:r>
      <w:r w:rsidR="00B520BD" w:rsidRPr="005200D0">
        <w:rPr>
          <w:rFonts w:cstheme="minorHAnsi"/>
        </w:rPr>
        <w:t>H</w:t>
      </w:r>
      <w:r w:rsidR="00B520BD" w:rsidRPr="00F84A89">
        <w:rPr>
          <w:rFonts w:cstheme="minorHAnsi"/>
          <w:i/>
          <w:vertAlign w:val="subscript"/>
        </w:rPr>
        <w:t>y</w:t>
      </w:r>
      <w:r w:rsidR="00B520BD">
        <w:rPr>
          <w:color w:val="000000" w:themeColor="text1"/>
        </w:rPr>
        <w:t xml:space="preserve"> samples </w:t>
      </w:r>
      <w:r w:rsidR="00B520BD">
        <w:t>was noticed</w:t>
      </w:r>
      <w:r w:rsidR="00247F3B">
        <w:t xml:space="preserve">. </w:t>
      </w:r>
      <w:r w:rsidR="00247F3B">
        <w:rPr>
          <w:color w:val="000000" w:themeColor="text1"/>
        </w:rPr>
        <w:t>A typical chronoamperometry show</w:t>
      </w:r>
      <w:r w:rsidR="00B520BD">
        <w:rPr>
          <w:color w:val="000000" w:themeColor="text1"/>
        </w:rPr>
        <w:t>ing</w:t>
      </w:r>
      <w:r w:rsidR="00247F3B">
        <w:rPr>
          <w:color w:val="000000" w:themeColor="text1"/>
        </w:rPr>
        <w:t xml:space="preserve"> the activity of a </w:t>
      </w:r>
      <w:r w:rsidR="00247F3B" w:rsidRPr="00B44DEE">
        <w:t>NiFeO</w:t>
      </w:r>
      <w:r w:rsidR="00247F3B" w:rsidRPr="00F84A89">
        <w:rPr>
          <w:i/>
          <w:vertAlign w:val="subscript"/>
        </w:rPr>
        <w:t>x</w:t>
      </w:r>
      <w:r w:rsidR="00247F3B" w:rsidRPr="005200D0">
        <w:rPr>
          <w:rFonts w:cstheme="minorHAnsi"/>
        </w:rPr>
        <w:t>H</w:t>
      </w:r>
      <w:r w:rsidR="00247F3B" w:rsidRPr="00F84A89">
        <w:rPr>
          <w:rFonts w:cstheme="minorHAnsi"/>
          <w:i/>
          <w:vertAlign w:val="subscript"/>
        </w:rPr>
        <w:t>y</w:t>
      </w:r>
      <w:r w:rsidR="00247F3B">
        <w:rPr>
          <w:color w:val="000000" w:themeColor="text1"/>
        </w:rPr>
        <w:t xml:space="preserve"> sample decreasing over time is shown in</w:t>
      </w:r>
      <w:r w:rsidR="00247F3B">
        <w:t xml:space="preserve"> </w:t>
      </w:r>
      <w:r w:rsidR="00247F3B" w:rsidRPr="00247F3B">
        <w:rPr>
          <w:b/>
        </w:rPr>
        <w:t>Figure S4</w:t>
      </w:r>
      <w:r w:rsidR="00247F3B">
        <w:t xml:space="preserve">. When comparing the EDS-STEM images before and after the OER, </w:t>
      </w:r>
      <w:r w:rsidR="00B520BD">
        <w:t>fewer</w:t>
      </w:r>
      <w:r>
        <w:t xml:space="preserve"> Fe-rich clusters</w:t>
      </w:r>
      <w:r w:rsidR="00247F3B">
        <w:t xml:space="preserve"> can be seen </w:t>
      </w:r>
      <w:r w:rsidR="00247F3B" w:rsidRPr="00247F3B">
        <w:t>on NiFeO</w:t>
      </w:r>
      <w:r w:rsidR="00247F3B" w:rsidRPr="00247F3B">
        <w:rPr>
          <w:i/>
          <w:vertAlign w:val="subscript"/>
        </w:rPr>
        <w:t>x</w:t>
      </w:r>
      <w:r w:rsidR="00247F3B" w:rsidRPr="00247F3B">
        <w:rPr>
          <w:rFonts w:cstheme="minorHAnsi"/>
        </w:rPr>
        <w:t>H</w:t>
      </w:r>
      <w:r w:rsidR="00247F3B" w:rsidRPr="00247F3B">
        <w:rPr>
          <w:rFonts w:cstheme="minorHAnsi"/>
          <w:i/>
          <w:vertAlign w:val="subscript"/>
        </w:rPr>
        <w:t>y</w:t>
      </w:r>
      <w:r w:rsidR="00247F3B" w:rsidRPr="00247F3B">
        <w:rPr>
          <w:color w:val="000000" w:themeColor="text1"/>
        </w:rPr>
        <w:t xml:space="preserve"> </w:t>
      </w:r>
      <w:r w:rsidR="00247F3B">
        <w:rPr>
          <w:color w:val="000000" w:themeColor="text1"/>
        </w:rPr>
        <w:t>islands</w:t>
      </w:r>
      <w:r>
        <w:t>. This is likely due to the high dissolution</w:t>
      </w:r>
      <w:r w:rsidR="00B520BD">
        <w:t xml:space="preserve"> rate</w:t>
      </w:r>
      <w:r>
        <w:t xml:space="preserve"> of Fe</w:t>
      </w:r>
      <w:r w:rsidR="00B520BD">
        <w:t xml:space="preserve"> atoms</w:t>
      </w:r>
      <w:r>
        <w:t xml:space="preserve"> in Fe-free electrolytes, which is in agreement with the studies of Farhat et al.</w:t>
      </w:r>
      <w:r w:rsidR="00247F3B">
        <w:rPr>
          <w:rStyle w:val="EndnoteReference"/>
        </w:rPr>
        <w:endnoteReference w:id="10"/>
      </w:r>
      <w:r>
        <w:rPr>
          <w:vertAlign w:val="superscript"/>
        </w:rPr>
        <w:t xml:space="preserve"> </w:t>
      </w:r>
      <w:r w:rsidRPr="006D1166">
        <w:t>and</w:t>
      </w:r>
      <w:r>
        <w:rPr>
          <w:vertAlign w:val="superscript"/>
        </w:rPr>
        <w:t xml:space="preserve"> </w:t>
      </w:r>
      <w:r w:rsidRPr="00B66F3A">
        <w:t>Chung et al.</w:t>
      </w:r>
      <w:r w:rsidR="00247F3B">
        <w:rPr>
          <w:rStyle w:val="EndnoteReference"/>
        </w:rPr>
        <w:endnoteReference w:id="11"/>
      </w:r>
      <w:r>
        <w:t>.</w:t>
      </w:r>
      <w:r>
        <w:rPr>
          <w:color w:val="000000" w:themeColor="text1"/>
        </w:rPr>
        <w:t xml:space="preserve"> </w:t>
      </w:r>
      <w:r w:rsidR="00247F3B">
        <w:rPr>
          <w:color w:val="000000" w:themeColor="text1"/>
        </w:rPr>
        <w:t>More</w:t>
      </w:r>
      <w:r w:rsidR="00B520BD">
        <w:rPr>
          <w:color w:val="000000" w:themeColor="text1"/>
        </w:rPr>
        <w:t>ov</w:t>
      </w:r>
      <w:r w:rsidR="00247F3B">
        <w:rPr>
          <w:color w:val="000000" w:themeColor="text1"/>
        </w:rPr>
        <w:t xml:space="preserve">er, the lateral resolution of EDS-STEM is limited. </w:t>
      </w:r>
      <w:r w:rsidR="00B520BD">
        <w:rPr>
          <w:color w:val="000000" w:themeColor="text1"/>
        </w:rPr>
        <w:t>Due to the fragmentation of the islands, a large amount of NiFeO</w:t>
      </w:r>
      <w:r w:rsidR="00B520BD" w:rsidRPr="00A96553">
        <w:rPr>
          <w:i/>
          <w:color w:val="000000" w:themeColor="text1"/>
          <w:vertAlign w:val="subscript"/>
        </w:rPr>
        <w:t>x</w:t>
      </w:r>
      <w:r w:rsidR="00B520BD">
        <w:rPr>
          <w:color w:val="000000" w:themeColor="text1"/>
        </w:rPr>
        <w:t>H</w:t>
      </w:r>
      <w:r w:rsidR="00B520BD" w:rsidRPr="00A96553">
        <w:rPr>
          <w:i/>
          <w:color w:val="000000" w:themeColor="text1"/>
          <w:vertAlign w:val="subscript"/>
        </w:rPr>
        <w:t>y</w:t>
      </w:r>
      <w:r w:rsidR="00B520BD">
        <w:rPr>
          <w:color w:val="000000" w:themeColor="text1"/>
        </w:rPr>
        <w:t xml:space="preserve"> islands became too small after the OER</w:t>
      </w:r>
      <w:r w:rsidR="00247F3B">
        <w:rPr>
          <w:color w:val="000000" w:themeColor="text1"/>
        </w:rPr>
        <w:t xml:space="preserve"> to resolve the uneven distribution of Fe atoms. </w:t>
      </w:r>
      <w:r w:rsidR="00B520BD">
        <w:rPr>
          <w:color w:val="000000" w:themeColor="text1"/>
        </w:rPr>
        <w:t>O</w:t>
      </w:r>
      <w:r w:rsidR="00247F3B">
        <w:rPr>
          <w:color w:val="000000" w:themeColor="text1"/>
        </w:rPr>
        <w:t xml:space="preserve">n larger islands, for instance, the island in </w:t>
      </w:r>
      <w:r w:rsidR="00247F3B" w:rsidRPr="00247F3B">
        <w:rPr>
          <w:b/>
          <w:color w:val="000000" w:themeColor="text1"/>
        </w:rPr>
        <w:t>Extended Data Figure 3j</w:t>
      </w:r>
      <w:r w:rsidR="00247F3B">
        <w:rPr>
          <w:color w:val="000000" w:themeColor="text1"/>
        </w:rPr>
        <w:t>, the Ni atoms were likely more homogen</w:t>
      </w:r>
      <w:r w:rsidR="00B520BD">
        <w:rPr>
          <w:color w:val="000000" w:themeColor="text1"/>
        </w:rPr>
        <w:t>e</w:t>
      </w:r>
      <w:r w:rsidR="00247F3B">
        <w:rPr>
          <w:color w:val="000000" w:themeColor="text1"/>
        </w:rPr>
        <w:t>ously distributed than Fe atoms</w:t>
      </w:r>
      <w:r w:rsidR="00B520BD">
        <w:rPr>
          <w:color w:val="000000" w:themeColor="text1"/>
        </w:rPr>
        <w:t>. I</w:t>
      </w:r>
      <w:r w:rsidR="00247F3B">
        <w:rPr>
          <w:color w:val="000000" w:themeColor="text1"/>
        </w:rPr>
        <w:t xml:space="preserve">t seems like there were small Fe clusters. However, the limited </w:t>
      </w:r>
      <w:r w:rsidR="00B520BD">
        <w:rPr>
          <w:color w:val="000000" w:themeColor="text1"/>
        </w:rPr>
        <w:t xml:space="preserve">EDS-STEM </w:t>
      </w:r>
      <w:r w:rsidR="00247F3B">
        <w:rPr>
          <w:color w:val="000000" w:themeColor="text1"/>
        </w:rPr>
        <w:t xml:space="preserve">resolution prevents clear interpretation. Nevertheless, the </w:t>
      </w:r>
      <w:r w:rsidR="00247F3B">
        <w:t xml:space="preserve">n-ECSTM </w:t>
      </w:r>
      <w:r w:rsidR="00247F3B">
        <w:lastRenderedPageBreak/>
        <w:t>mea</w:t>
      </w:r>
      <w:r w:rsidR="00B520BD">
        <w:t>su</w:t>
      </w:r>
      <w:r w:rsidR="00247F3B">
        <w:t xml:space="preserve">rements were conducted </w:t>
      </w:r>
      <w:r w:rsidR="00B520BD">
        <w:t>at</w:t>
      </w:r>
      <w:r w:rsidR="00247F3B">
        <w:t xml:space="preserve"> different overpotentials where the chemical composition</w:t>
      </w:r>
      <w:r w:rsidR="00B520BD">
        <w:t>s</w:t>
      </w:r>
      <w:r w:rsidR="00247F3B">
        <w:t xml:space="preserve"> of the catalysts are rather stable and similar to that measured on freshly prepared samples.</w:t>
      </w:r>
    </w:p>
    <w:p w14:paraId="2C6AB59D" w14:textId="77777777" w:rsidR="00247F3B" w:rsidRDefault="00247F3B" w:rsidP="00247F3B">
      <w:pPr>
        <w:keepNext/>
        <w:spacing w:before="240"/>
        <w:jc w:val="center"/>
      </w:pPr>
      <w:r>
        <w:rPr>
          <w:noProof/>
        </w:rPr>
        <w:drawing>
          <wp:inline distT="0" distB="0" distL="0" distR="0" wp14:anchorId="0DB87AF3" wp14:editId="4CB0F1BF">
            <wp:extent cx="4104000" cy="2812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452" b="3109"/>
                    <a:stretch/>
                  </pic:blipFill>
                  <pic:spPr bwMode="auto">
                    <a:xfrm>
                      <a:off x="0" y="0"/>
                      <a:ext cx="4104000" cy="2812048"/>
                    </a:xfrm>
                    <a:prstGeom prst="rect">
                      <a:avLst/>
                    </a:prstGeom>
                    <a:noFill/>
                    <a:ln>
                      <a:noFill/>
                    </a:ln>
                    <a:extLst>
                      <a:ext uri="{53640926-AAD7-44D8-BBD7-CCE9431645EC}">
                        <a14:shadowObscured xmlns:a14="http://schemas.microsoft.com/office/drawing/2010/main"/>
                      </a:ext>
                    </a:extLst>
                  </pic:spPr>
                </pic:pic>
              </a:graphicData>
            </a:graphic>
          </wp:inline>
        </w:drawing>
      </w:r>
    </w:p>
    <w:p w14:paraId="14C6124B" w14:textId="77777777" w:rsidR="00247F3B" w:rsidRDefault="00247F3B" w:rsidP="00247F3B">
      <w:pPr>
        <w:spacing w:before="240"/>
        <w:rPr>
          <w:rFonts w:eastAsia="Times New Roman" w:cstheme="minorHAnsi"/>
          <w:sz w:val="20"/>
          <w:szCs w:val="20"/>
        </w:rPr>
      </w:pPr>
      <w:r w:rsidRPr="00C307C1">
        <w:rPr>
          <w:rFonts w:eastAsia="Times New Roman" w:cstheme="minorHAnsi"/>
          <w:b/>
          <w:sz w:val="20"/>
          <w:szCs w:val="20"/>
        </w:rPr>
        <w:t>Figure S</w:t>
      </w:r>
      <w:r>
        <w:rPr>
          <w:rFonts w:eastAsia="Times New Roman" w:cstheme="minorHAnsi"/>
          <w:b/>
          <w:sz w:val="20"/>
          <w:szCs w:val="20"/>
        </w:rPr>
        <w:t>4</w:t>
      </w:r>
      <w:r w:rsidRPr="00C307C1">
        <w:rPr>
          <w:rFonts w:eastAsia="Times New Roman" w:cstheme="minorHAnsi"/>
          <w:b/>
          <w:sz w:val="20"/>
          <w:szCs w:val="20"/>
        </w:rPr>
        <w:t xml:space="preserve"> | </w:t>
      </w:r>
      <w:r>
        <w:rPr>
          <w:rFonts w:eastAsia="Times New Roman" w:cstheme="minorHAnsi"/>
          <w:b/>
          <w:sz w:val="20"/>
          <w:szCs w:val="20"/>
        </w:rPr>
        <w:t xml:space="preserve">Chronoamperometry of a </w:t>
      </w:r>
      <w:r w:rsidRPr="00247F3B">
        <w:rPr>
          <w:b/>
        </w:rPr>
        <w:t>NiFeO</w:t>
      </w:r>
      <w:r w:rsidRPr="00247F3B">
        <w:rPr>
          <w:b/>
          <w:i/>
          <w:vertAlign w:val="subscript"/>
        </w:rPr>
        <w:t>x</w:t>
      </w:r>
      <w:r w:rsidRPr="00247F3B">
        <w:rPr>
          <w:rFonts w:cstheme="minorHAnsi"/>
          <w:b/>
        </w:rPr>
        <w:t>H</w:t>
      </w:r>
      <w:r w:rsidRPr="00247F3B">
        <w:rPr>
          <w:rFonts w:cstheme="minorHAnsi"/>
          <w:b/>
          <w:i/>
          <w:vertAlign w:val="subscript"/>
        </w:rPr>
        <w:t>y</w:t>
      </w:r>
      <w:r w:rsidRPr="00247F3B">
        <w:rPr>
          <w:b/>
          <w:color w:val="000000" w:themeColor="text1"/>
        </w:rPr>
        <w:t xml:space="preserve"> sample</w:t>
      </w:r>
      <w:r>
        <w:rPr>
          <w:rFonts w:eastAsia="Times New Roman" w:cstheme="minorHAnsi"/>
          <w:b/>
          <w:sz w:val="20"/>
          <w:szCs w:val="20"/>
        </w:rPr>
        <w:t xml:space="preserve"> in 0.1 M Fe-free KOH at 800 mV for 1 hour with a Pt wire as the RE. </w:t>
      </w:r>
    </w:p>
    <w:p w14:paraId="112FDF55" w14:textId="38B6BA3E" w:rsidR="0077447D" w:rsidRDefault="0077447D" w:rsidP="00263F11">
      <w:pPr>
        <w:rPr>
          <w:color w:val="000000" w:themeColor="text1"/>
        </w:rPr>
      </w:pPr>
    </w:p>
    <w:p w14:paraId="580DE617" w14:textId="6A9DD60C" w:rsidR="009024C5" w:rsidRPr="00AE146D" w:rsidRDefault="009024C5" w:rsidP="009024C5">
      <w:pPr>
        <w:rPr>
          <w:b/>
        </w:rPr>
      </w:pPr>
      <w:r w:rsidRPr="00D308E1">
        <w:rPr>
          <w:b/>
        </w:rPr>
        <w:t>Reference</w:t>
      </w:r>
      <w:r>
        <w:rPr>
          <w:b/>
        </w:rPr>
        <w:t>s</w:t>
      </w:r>
    </w:p>
    <w:sectPr w:rsidR="009024C5" w:rsidRPr="00AE146D" w:rsidSect="0023124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78AD" w14:textId="77777777" w:rsidR="005930FA" w:rsidRDefault="005930FA" w:rsidP="00BA126A">
      <w:pPr>
        <w:spacing w:after="0" w:line="240" w:lineRule="auto"/>
      </w:pPr>
      <w:r>
        <w:separator/>
      </w:r>
    </w:p>
  </w:endnote>
  <w:endnote w:type="continuationSeparator" w:id="0">
    <w:p w14:paraId="4C8C3DF3" w14:textId="77777777" w:rsidR="005930FA" w:rsidRDefault="005930FA" w:rsidP="00BA126A">
      <w:pPr>
        <w:spacing w:after="0" w:line="240" w:lineRule="auto"/>
      </w:pPr>
      <w:r>
        <w:continuationSeparator/>
      </w:r>
    </w:p>
  </w:endnote>
  <w:endnote w:id="1">
    <w:p w14:paraId="7E27C7EA" w14:textId="248374E6" w:rsidR="002D7574" w:rsidRPr="00AE146D" w:rsidRDefault="002D7574" w:rsidP="00AE146D">
      <w:pPr>
        <w:pStyle w:val="EndnoteText"/>
        <w:jc w:val="both"/>
      </w:pPr>
      <w:r>
        <w:rPr>
          <w:rStyle w:val="EndnoteReference"/>
        </w:rPr>
        <w:endnoteRef/>
      </w:r>
      <w:r>
        <w:t xml:space="preserve"> </w:t>
      </w:r>
      <w:r w:rsidRPr="0077447D">
        <w:t xml:space="preserve">Biesinger, M.C., Payne, B.P., Lau, L.W.M., Gerson, A. </w:t>
      </w:r>
      <w:r w:rsidR="009024C5">
        <w:t>&amp;</w:t>
      </w:r>
      <w:r w:rsidR="009024C5" w:rsidRPr="0077447D">
        <w:t xml:space="preserve"> </w:t>
      </w:r>
      <w:r w:rsidRPr="0077447D">
        <w:t xml:space="preserve">Smart, R.St.C. X-ray photoelectron spectroscopic chemical state quantification of mixed nickelmetal, oxide and hydroxide systems. </w:t>
      </w:r>
      <w:r w:rsidR="00041989" w:rsidRPr="00041989">
        <w:rPr>
          <w:i/>
          <w:iCs/>
        </w:rPr>
        <w:t>Surf. Interface Anal.</w:t>
      </w:r>
      <w:r w:rsidR="00041989" w:rsidRPr="00041989">
        <w:rPr>
          <w:i/>
        </w:rPr>
        <w:t> </w:t>
      </w:r>
      <w:r w:rsidRPr="00041989">
        <w:rPr>
          <w:b/>
        </w:rPr>
        <w:t>41</w:t>
      </w:r>
      <w:r w:rsidRPr="0077447D">
        <w:t>, 324–332</w:t>
      </w:r>
      <w:r w:rsidR="009024C5">
        <w:t xml:space="preserve"> </w:t>
      </w:r>
      <w:r w:rsidR="009024C5" w:rsidRPr="0077447D">
        <w:t>(2009)</w:t>
      </w:r>
      <w:r w:rsidR="00E459E9">
        <w:t>.</w:t>
      </w:r>
    </w:p>
  </w:endnote>
  <w:endnote w:id="2">
    <w:p w14:paraId="572D54CB" w14:textId="7002D681" w:rsidR="002D7574" w:rsidRPr="007F6514" w:rsidRDefault="002D7574" w:rsidP="00AE146D">
      <w:pPr>
        <w:pStyle w:val="EndnoteText"/>
        <w:jc w:val="both"/>
      </w:pPr>
      <w:r>
        <w:rPr>
          <w:rStyle w:val="EndnoteReference"/>
        </w:rPr>
        <w:endnoteRef/>
      </w:r>
      <w:r>
        <w:t xml:space="preserve"> </w:t>
      </w:r>
      <w:r w:rsidRPr="0077447D">
        <w:t xml:space="preserve">Biesinger, M.C., Payne, B.P., Grosvenor, A.P., Lau, L.W.M., Gerson, A. </w:t>
      </w:r>
      <w:r w:rsidR="009024C5">
        <w:t>&amp;</w:t>
      </w:r>
      <w:r w:rsidR="009024C5" w:rsidRPr="0077447D">
        <w:t xml:space="preserve"> </w:t>
      </w:r>
      <w:r w:rsidRPr="0077447D">
        <w:t xml:space="preserve">Smart, R.St.C. Resolving surface chemical states in XPS analysis of first row transition metals, oxides and hydroxides: Cr, Mn, Fe, Co and Ni. </w:t>
      </w:r>
      <w:r w:rsidR="00041989" w:rsidRPr="00041989">
        <w:rPr>
          <w:i/>
        </w:rPr>
        <w:t>Appl. Surf. Sci.</w:t>
      </w:r>
      <w:r w:rsidR="00041989" w:rsidRPr="00041989">
        <w:rPr>
          <w:b/>
          <w:i/>
        </w:rPr>
        <w:t xml:space="preserve"> </w:t>
      </w:r>
      <w:r w:rsidRPr="00041989">
        <w:rPr>
          <w:b/>
        </w:rPr>
        <w:t>257</w:t>
      </w:r>
      <w:r w:rsidRPr="0077447D">
        <w:t>, 2717–2730</w:t>
      </w:r>
      <w:r w:rsidR="009024C5">
        <w:t xml:space="preserve"> </w:t>
      </w:r>
      <w:r w:rsidR="009024C5" w:rsidRPr="0077447D">
        <w:t>(2011).</w:t>
      </w:r>
    </w:p>
  </w:endnote>
  <w:endnote w:id="3">
    <w:p w14:paraId="4C96424A" w14:textId="4DA4355C" w:rsidR="007C1645" w:rsidRPr="007C1645" w:rsidRDefault="007C1645" w:rsidP="00AE146D">
      <w:pPr>
        <w:pStyle w:val="EndnoteText"/>
        <w:jc w:val="both"/>
      </w:pPr>
      <w:r>
        <w:rPr>
          <w:rStyle w:val="EndnoteReference"/>
        </w:rPr>
        <w:endnoteRef/>
      </w:r>
      <w:r>
        <w:t xml:space="preserve"> </w:t>
      </w:r>
      <w:r w:rsidRPr="007C1645">
        <w:t xml:space="preserve">Xie, Z., Zhang, C., He, X., Liang, Y., Meng, D., Wang, J., Liang, P., and Zhang, Z. Iron and Nickel Mixed Oxides Derived </w:t>
      </w:r>
      <w:r w:rsidR="002E00AA" w:rsidRPr="007C1645">
        <w:t>from</w:t>
      </w:r>
      <w:r w:rsidRPr="007C1645">
        <w:t xml:space="preserve"> Ni</w:t>
      </w:r>
      <w:r w:rsidRPr="00041989">
        <w:rPr>
          <w:vertAlign w:val="superscript"/>
        </w:rPr>
        <w:t>II</w:t>
      </w:r>
      <w:r w:rsidRPr="007C1645">
        <w:t>Fe</w:t>
      </w:r>
      <w:r w:rsidRPr="00041989">
        <w:rPr>
          <w:vertAlign w:val="superscript"/>
        </w:rPr>
        <w:t>II</w:t>
      </w:r>
      <w:r w:rsidRPr="007C1645">
        <w:t>-PBA for Oxygen Evolution Electrocatalysis</w:t>
      </w:r>
      <w:r w:rsidR="00041989">
        <w:t xml:space="preserve">. </w:t>
      </w:r>
      <w:r w:rsidR="00041989" w:rsidRPr="00041989">
        <w:rPr>
          <w:i/>
        </w:rPr>
        <w:t>Front. Chem.</w:t>
      </w:r>
      <w:r w:rsidRPr="007C1645">
        <w:t xml:space="preserve"> </w:t>
      </w:r>
      <w:r w:rsidRPr="00041989">
        <w:rPr>
          <w:b/>
        </w:rPr>
        <w:t>7</w:t>
      </w:r>
      <w:r w:rsidRPr="007C1645">
        <w:t>, 539</w:t>
      </w:r>
      <w:r w:rsidR="00041989">
        <w:t xml:space="preserve"> (2019).</w:t>
      </w:r>
    </w:p>
  </w:endnote>
  <w:endnote w:id="4">
    <w:p w14:paraId="533CD270" w14:textId="256653FC" w:rsidR="007C1645" w:rsidRPr="007C1645" w:rsidRDefault="007C1645" w:rsidP="00AE146D">
      <w:pPr>
        <w:pStyle w:val="EndnoteText"/>
        <w:jc w:val="both"/>
      </w:pPr>
      <w:r>
        <w:rPr>
          <w:rStyle w:val="EndnoteReference"/>
        </w:rPr>
        <w:endnoteRef/>
      </w:r>
      <w:r>
        <w:t xml:space="preserve"> </w:t>
      </w:r>
      <w:r w:rsidRPr="007C1645">
        <w:t xml:space="preserve">Li, Y.  </w:t>
      </w:r>
      <w:r w:rsidR="009024C5">
        <w:t>&amp;</w:t>
      </w:r>
      <w:r w:rsidRPr="007C1645">
        <w:t xml:space="preserve"> Selloni, A. Mechanism and Activity of Water Oxidation on Selected Surfaces of Pure and Fe-Doped NiO</w:t>
      </w:r>
      <w:r w:rsidRPr="00041989">
        <w:rPr>
          <w:vertAlign w:val="subscript"/>
        </w:rPr>
        <w:t>x</w:t>
      </w:r>
      <w:r w:rsidRPr="007C1645">
        <w:t xml:space="preserve">. </w:t>
      </w:r>
      <w:r w:rsidRPr="007C1645">
        <w:rPr>
          <w:i/>
        </w:rPr>
        <w:t>ACS Catal</w:t>
      </w:r>
      <w:r w:rsidR="00041989">
        <w:rPr>
          <w:i/>
        </w:rPr>
        <w:t>.</w:t>
      </w:r>
      <w:r w:rsidRPr="007C1645">
        <w:t xml:space="preserve"> </w:t>
      </w:r>
      <w:r w:rsidRPr="00041989">
        <w:rPr>
          <w:b/>
        </w:rPr>
        <w:t>4</w:t>
      </w:r>
      <w:r w:rsidRPr="007C1645">
        <w:t>, 1148-1153</w:t>
      </w:r>
      <w:r w:rsidR="009024C5">
        <w:t xml:space="preserve"> </w:t>
      </w:r>
      <w:r w:rsidR="009024C5" w:rsidRPr="007C1645">
        <w:t>(201</w:t>
      </w:r>
      <w:r w:rsidR="00E459E9">
        <w:t>4</w:t>
      </w:r>
      <w:r w:rsidR="009024C5" w:rsidRPr="007C1645">
        <w:t>).</w:t>
      </w:r>
    </w:p>
  </w:endnote>
  <w:endnote w:id="5">
    <w:p w14:paraId="2E0312DE" w14:textId="55E58F35" w:rsidR="004641B5" w:rsidRPr="007F6514" w:rsidRDefault="004641B5" w:rsidP="00AE146D">
      <w:pPr>
        <w:pStyle w:val="EndnoteText"/>
        <w:jc w:val="both"/>
      </w:pPr>
      <w:r>
        <w:rPr>
          <w:rStyle w:val="EndnoteReference"/>
        </w:rPr>
        <w:endnoteRef/>
      </w:r>
      <w:r>
        <w:t xml:space="preserve"> </w:t>
      </w:r>
      <w:r w:rsidRPr="0077447D">
        <w:t xml:space="preserve">Payne, B.P., Biesinger, M.C., </w:t>
      </w:r>
      <w:r w:rsidR="009024C5">
        <w:t>&amp;</w:t>
      </w:r>
      <w:r w:rsidR="009024C5" w:rsidRPr="0077447D">
        <w:t xml:space="preserve"> </w:t>
      </w:r>
      <w:r w:rsidRPr="0077447D">
        <w:t xml:space="preserve">McIntyre, N.S. Use of oxygen/nickel ratios in the XPS characterisation of oxide phases on nickel metal and nickel alloy surfaces. </w:t>
      </w:r>
      <w:r w:rsidRPr="0077447D">
        <w:rPr>
          <w:i/>
        </w:rPr>
        <w:t>J. Electron Spectros. Relat. Phenomena</w:t>
      </w:r>
      <w:r w:rsidRPr="0077447D">
        <w:t xml:space="preserve"> </w:t>
      </w:r>
      <w:r w:rsidRPr="00041989">
        <w:rPr>
          <w:b/>
        </w:rPr>
        <w:t>185</w:t>
      </w:r>
      <w:r w:rsidRPr="0077447D">
        <w:t>, 159–166</w:t>
      </w:r>
      <w:r w:rsidR="009024C5">
        <w:t xml:space="preserve"> </w:t>
      </w:r>
      <w:r w:rsidR="009024C5" w:rsidRPr="0077447D">
        <w:t>(2012).</w:t>
      </w:r>
    </w:p>
  </w:endnote>
  <w:endnote w:id="6">
    <w:p w14:paraId="46F7A737" w14:textId="09230DD6" w:rsidR="004641B5" w:rsidRPr="004641B5" w:rsidRDefault="004641B5" w:rsidP="00AE146D">
      <w:pPr>
        <w:pStyle w:val="EndnoteText"/>
        <w:jc w:val="both"/>
        <w:rPr>
          <w:lang w:val="pt-BR"/>
        </w:rPr>
      </w:pPr>
      <w:r>
        <w:rPr>
          <w:rStyle w:val="EndnoteReference"/>
        </w:rPr>
        <w:endnoteRef/>
      </w:r>
      <w:r>
        <w:t xml:space="preserve"> </w:t>
      </w:r>
      <w:r w:rsidRPr="0077447D">
        <w:rPr>
          <w:iCs/>
        </w:rPr>
        <w:t xml:space="preserve">Payne, B.P., </w:t>
      </w:r>
      <w:r w:rsidRPr="0077447D">
        <w:t xml:space="preserve">Biesinger, M.C., </w:t>
      </w:r>
      <w:r w:rsidR="009024C5">
        <w:t>&amp;</w:t>
      </w:r>
      <w:r w:rsidR="009024C5" w:rsidRPr="0077447D">
        <w:t xml:space="preserve"> </w:t>
      </w:r>
      <w:r w:rsidRPr="0077447D">
        <w:t xml:space="preserve">McIntyre, N.S. </w:t>
      </w:r>
      <w:r w:rsidRPr="0077447D">
        <w:rPr>
          <w:iCs/>
        </w:rPr>
        <w:t>The study of polycrystalline nickel metal oxidation by water vapour.</w:t>
      </w:r>
      <w:r w:rsidRPr="0077447D">
        <w:t xml:space="preserve"> </w:t>
      </w:r>
      <w:r w:rsidRPr="0077447D">
        <w:rPr>
          <w:iCs/>
        </w:rPr>
        <w:t>J</w:t>
      </w:r>
      <w:r w:rsidRPr="0077447D">
        <w:rPr>
          <w:i/>
        </w:rPr>
        <w:t xml:space="preserve"> J. Electron Spectros. Relat. Phenomena</w:t>
      </w:r>
      <w:r w:rsidRPr="0077447D">
        <w:rPr>
          <w:iCs/>
        </w:rPr>
        <w:t xml:space="preserve"> </w:t>
      </w:r>
      <w:r w:rsidRPr="00041989">
        <w:rPr>
          <w:b/>
          <w:iCs/>
        </w:rPr>
        <w:t>175</w:t>
      </w:r>
      <w:r w:rsidRPr="0077447D">
        <w:rPr>
          <w:iCs/>
        </w:rPr>
        <w:t>, 55–65</w:t>
      </w:r>
      <w:r w:rsidR="009024C5">
        <w:rPr>
          <w:iCs/>
        </w:rPr>
        <w:t xml:space="preserve"> </w:t>
      </w:r>
      <w:r w:rsidR="009024C5" w:rsidRPr="0077447D">
        <w:rPr>
          <w:iCs/>
        </w:rPr>
        <w:t>(2009).</w:t>
      </w:r>
    </w:p>
  </w:endnote>
  <w:endnote w:id="7">
    <w:p w14:paraId="2C2D554E" w14:textId="77777777" w:rsidR="00E459E9" w:rsidRPr="007F6514" w:rsidRDefault="00E459E9" w:rsidP="00E459E9">
      <w:pPr>
        <w:pStyle w:val="EndnoteText"/>
        <w:jc w:val="both"/>
      </w:pPr>
      <w:r>
        <w:rPr>
          <w:rStyle w:val="EndnoteReference"/>
        </w:rPr>
        <w:endnoteRef/>
      </w:r>
      <w:r>
        <w:t xml:space="preserve"> </w:t>
      </w:r>
      <w:r w:rsidRPr="0077447D">
        <w:t xml:space="preserve">Payne, B.P., Biesinger, M.C., </w:t>
      </w:r>
      <w:r>
        <w:t>&amp;</w:t>
      </w:r>
      <w:r w:rsidRPr="0077447D">
        <w:t xml:space="preserve"> McIntyre, N.S. Use of oxygen/nickel ratios in the XPS characterisation of oxide phases on nickel metal and nickel alloy surfaces. </w:t>
      </w:r>
      <w:r w:rsidRPr="0077447D">
        <w:rPr>
          <w:i/>
        </w:rPr>
        <w:t>J. Electron Spectros. Relat. Phenomena</w:t>
      </w:r>
      <w:r w:rsidRPr="0077447D">
        <w:t xml:space="preserve"> </w:t>
      </w:r>
      <w:r w:rsidRPr="00041989">
        <w:rPr>
          <w:b/>
        </w:rPr>
        <w:t>185</w:t>
      </w:r>
      <w:r w:rsidRPr="0077447D">
        <w:t>, 159–166</w:t>
      </w:r>
      <w:r>
        <w:t xml:space="preserve"> </w:t>
      </w:r>
      <w:r w:rsidRPr="0077447D">
        <w:t>(2012).</w:t>
      </w:r>
    </w:p>
  </w:endnote>
  <w:endnote w:id="8">
    <w:p w14:paraId="622E6208" w14:textId="77777777" w:rsidR="00E459E9" w:rsidRPr="007F6514" w:rsidRDefault="00E459E9" w:rsidP="00E459E9">
      <w:pPr>
        <w:pStyle w:val="EndnoteText"/>
        <w:jc w:val="both"/>
      </w:pPr>
      <w:r>
        <w:rPr>
          <w:rStyle w:val="EndnoteReference"/>
        </w:rPr>
        <w:endnoteRef/>
      </w:r>
      <w:r>
        <w:t xml:space="preserve"> </w:t>
      </w:r>
      <w:r w:rsidRPr="0077447D">
        <w:rPr>
          <w:iCs/>
        </w:rPr>
        <w:t xml:space="preserve">Payne, B.P., </w:t>
      </w:r>
      <w:r w:rsidRPr="0077447D">
        <w:t xml:space="preserve">Biesinger, M.C., </w:t>
      </w:r>
      <w:r>
        <w:t>&amp;</w:t>
      </w:r>
      <w:r w:rsidRPr="0077447D">
        <w:t xml:space="preserve"> McIntyre, N.S. </w:t>
      </w:r>
      <w:r w:rsidRPr="0077447D">
        <w:rPr>
          <w:iCs/>
        </w:rPr>
        <w:t>The study of polycrystalline nickel metal oxidation by water vapour.</w:t>
      </w:r>
      <w:r w:rsidRPr="0077447D">
        <w:t xml:space="preserve"> </w:t>
      </w:r>
      <w:r w:rsidRPr="0077447D">
        <w:rPr>
          <w:iCs/>
        </w:rPr>
        <w:t>J</w:t>
      </w:r>
      <w:r w:rsidRPr="0077447D">
        <w:rPr>
          <w:i/>
        </w:rPr>
        <w:t xml:space="preserve"> J. Electron Spectros. Relat. Phenomena</w:t>
      </w:r>
      <w:r w:rsidRPr="0077447D">
        <w:rPr>
          <w:iCs/>
        </w:rPr>
        <w:t xml:space="preserve"> </w:t>
      </w:r>
      <w:r w:rsidRPr="00041989">
        <w:rPr>
          <w:b/>
          <w:iCs/>
        </w:rPr>
        <w:t>175</w:t>
      </w:r>
      <w:r w:rsidRPr="0077447D">
        <w:rPr>
          <w:iCs/>
        </w:rPr>
        <w:t>, 55–65</w:t>
      </w:r>
      <w:r>
        <w:rPr>
          <w:iCs/>
        </w:rPr>
        <w:t xml:space="preserve"> </w:t>
      </w:r>
      <w:r w:rsidRPr="0077447D">
        <w:rPr>
          <w:iCs/>
        </w:rPr>
        <w:t>(2009).</w:t>
      </w:r>
    </w:p>
  </w:endnote>
  <w:endnote w:id="9">
    <w:p w14:paraId="2873BECD" w14:textId="578DD484" w:rsidR="00E459E9" w:rsidRPr="007F6514" w:rsidRDefault="00E459E9" w:rsidP="00E459E9">
      <w:pPr>
        <w:pStyle w:val="EndnoteText"/>
        <w:jc w:val="both"/>
      </w:pPr>
      <w:r>
        <w:rPr>
          <w:rStyle w:val="EndnoteReference"/>
        </w:rPr>
        <w:endnoteRef/>
      </w:r>
      <w:r>
        <w:t xml:space="preserve"> </w:t>
      </w:r>
      <w:r w:rsidRPr="0077447D">
        <w:rPr>
          <w:iCs/>
        </w:rPr>
        <w:t xml:space="preserve">Grosvenor, A.P., Kobe, B.A., </w:t>
      </w:r>
      <w:r>
        <w:t>&amp;</w:t>
      </w:r>
      <w:r w:rsidRPr="0077447D">
        <w:t xml:space="preserve"> McIntyre, N.S. </w:t>
      </w:r>
      <w:r w:rsidRPr="0077447D">
        <w:rPr>
          <w:iCs/>
        </w:rPr>
        <w:t xml:space="preserve">Studies of the oxidation of iron by water vapour using X-ray photoelectron spectroscopy and QUASES. </w:t>
      </w:r>
      <w:r w:rsidRPr="0077447D">
        <w:rPr>
          <w:i/>
          <w:iCs/>
        </w:rPr>
        <w:t>Surf</w:t>
      </w:r>
      <w:r w:rsidR="00041989">
        <w:rPr>
          <w:i/>
          <w:iCs/>
        </w:rPr>
        <w:t>.</w:t>
      </w:r>
      <w:r w:rsidRPr="0077447D">
        <w:rPr>
          <w:i/>
          <w:iCs/>
        </w:rPr>
        <w:t xml:space="preserve"> Sci</w:t>
      </w:r>
      <w:r w:rsidR="00041989">
        <w:rPr>
          <w:i/>
          <w:iCs/>
        </w:rPr>
        <w:t>.</w:t>
      </w:r>
      <w:r w:rsidRPr="0077447D">
        <w:rPr>
          <w:iCs/>
        </w:rPr>
        <w:t xml:space="preserve"> </w:t>
      </w:r>
      <w:r w:rsidRPr="00041989">
        <w:rPr>
          <w:b/>
          <w:iCs/>
        </w:rPr>
        <w:t>572</w:t>
      </w:r>
      <w:r w:rsidRPr="0077447D">
        <w:rPr>
          <w:iCs/>
        </w:rPr>
        <w:t>,</w:t>
      </w:r>
      <w:r w:rsidRPr="0077447D">
        <w:rPr>
          <w:b/>
          <w:iCs/>
        </w:rPr>
        <w:t xml:space="preserve"> </w:t>
      </w:r>
      <w:r w:rsidRPr="0077447D">
        <w:rPr>
          <w:iCs/>
        </w:rPr>
        <w:t>217–227</w:t>
      </w:r>
      <w:r>
        <w:rPr>
          <w:iCs/>
        </w:rPr>
        <w:t xml:space="preserve"> </w:t>
      </w:r>
      <w:r w:rsidRPr="0077447D">
        <w:rPr>
          <w:iCs/>
        </w:rPr>
        <w:t>(2004).</w:t>
      </w:r>
    </w:p>
  </w:endnote>
  <w:endnote w:id="10">
    <w:p w14:paraId="4918D505" w14:textId="447D6F85" w:rsidR="00247F3B" w:rsidRDefault="00247F3B">
      <w:pPr>
        <w:pStyle w:val="EndnoteText"/>
      </w:pPr>
      <w:r>
        <w:rPr>
          <w:rStyle w:val="EndnoteReference"/>
        </w:rPr>
        <w:endnoteRef/>
      </w:r>
      <w:r>
        <w:t xml:space="preserve"> </w:t>
      </w:r>
      <w:r w:rsidRPr="00247F3B">
        <w:rPr>
          <w:lang w:val="en-CH"/>
        </w:rPr>
        <w:t xml:space="preserve">Farhat, R., Dhainy, J. &amp; Halaoui, L. I. OER Catalysis at Activated and Codeposited NiFe-Oxo/Hydroxide Thin Films Is Due to Postdeposition Surface-Fe and Is Not Sustainable without Fe in Solution. </w:t>
      </w:r>
      <w:r w:rsidRPr="00247F3B">
        <w:rPr>
          <w:i/>
          <w:iCs/>
          <w:lang w:val="en-CH"/>
        </w:rPr>
        <w:t xml:space="preserve">ACS Catal. </w:t>
      </w:r>
      <w:r w:rsidRPr="00247F3B">
        <w:rPr>
          <w:b/>
          <w:bCs/>
          <w:lang w:val="en-CH"/>
        </w:rPr>
        <w:t>10</w:t>
      </w:r>
      <w:r w:rsidRPr="00247F3B">
        <w:rPr>
          <w:lang w:val="en-CH"/>
        </w:rPr>
        <w:t>, 20–35 (2020).</w:t>
      </w:r>
    </w:p>
  </w:endnote>
  <w:endnote w:id="11">
    <w:p w14:paraId="3BB6CA80" w14:textId="3BC1B60B" w:rsidR="00247F3B" w:rsidRDefault="00247F3B">
      <w:pPr>
        <w:pStyle w:val="EndnoteText"/>
      </w:pPr>
      <w:r>
        <w:rPr>
          <w:rStyle w:val="EndnoteReference"/>
        </w:rPr>
        <w:endnoteRef/>
      </w:r>
      <w:r>
        <w:t xml:space="preserve"> </w:t>
      </w:r>
      <w:r w:rsidRPr="00247F3B">
        <w:rPr>
          <w:lang w:val="fr-FR"/>
        </w:rPr>
        <w:t>Chung, D.Y., Lopes, P.P., Farinazzo Bergamo Dias Martins, P. </w:t>
      </w:r>
      <w:r w:rsidRPr="00247F3B">
        <w:rPr>
          <w:i/>
          <w:iCs/>
          <w:lang w:val="fr-FR"/>
        </w:rPr>
        <w:t>et al.</w:t>
      </w:r>
      <w:r w:rsidRPr="00247F3B">
        <w:rPr>
          <w:lang w:val="fr-FR"/>
        </w:rPr>
        <w:t> </w:t>
      </w:r>
      <w:r w:rsidRPr="00247F3B">
        <w:t>Dynamic stability of active sites in hydr(oxy)oxides for the oxygen evolution reaction. </w:t>
      </w:r>
      <w:r w:rsidRPr="00247F3B">
        <w:rPr>
          <w:i/>
          <w:iCs/>
        </w:rPr>
        <w:t>Nat Energy</w:t>
      </w:r>
      <w:r w:rsidRPr="00247F3B">
        <w:t> </w:t>
      </w:r>
      <w:r w:rsidRPr="00247F3B">
        <w:rPr>
          <w:b/>
          <w:bCs/>
        </w:rPr>
        <w:t>5, </w:t>
      </w:r>
      <w:r w:rsidRPr="00247F3B">
        <w:t>222–230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3B13" w14:textId="77777777" w:rsidR="005930FA" w:rsidRDefault="005930FA" w:rsidP="00BA126A">
      <w:pPr>
        <w:spacing w:after="0" w:line="240" w:lineRule="auto"/>
      </w:pPr>
      <w:r>
        <w:separator/>
      </w:r>
    </w:p>
  </w:footnote>
  <w:footnote w:type="continuationSeparator" w:id="0">
    <w:p w14:paraId="1E0017F0" w14:textId="77777777" w:rsidR="005930FA" w:rsidRDefault="005930FA" w:rsidP="00BA1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16C9E"/>
    <w:multiLevelType w:val="multilevel"/>
    <w:tmpl w:val="DE2279A6"/>
    <w:lvl w:ilvl="0">
      <w:start w:val="1"/>
      <w:numFmt w:val="decimal"/>
      <w:pStyle w:val="NCCRSectiontitle"/>
      <w:lvlText w:val="%1"/>
      <w:lvlJc w:val="left"/>
      <w:pPr>
        <w:ind w:left="574" w:hanging="432"/>
      </w:pPr>
      <w:rPr>
        <w:rFonts w:hint="default"/>
      </w:rPr>
    </w:lvl>
    <w:lvl w:ilvl="1">
      <w:start w:val="1"/>
      <w:numFmt w:val="decimal"/>
      <w:pStyle w:val="NCCRSectiontitle2"/>
      <w:lvlText w:val="%1.%2"/>
      <w:lvlJc w:val="left"/>
      <w:pPr>
        <w:ind w:left="1286" w:hanging="576"/>
      </w:pPr>
      <w:rPr>
        <w:rFonts w:hint="default"/>
      </w:rPr>
    </w:lvl>
    <w:lvl w:ilvl="2">
      <w:start w:val="1"/>
      <w:numFmt w:val="decimal"/>
      <w:lvlText w:val="%3.1"/>
      <w:lvlJc w:val="left"/>
      <w:pPr>
        <w:ind w:left="928" w:hanging="36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CH" w:vendorID="64" w:dllVersion="4096" w:nlCheck="1" w:checkStyle="0"/>
  <w:activeWritingStyle w:appName="MSWord" w:lang="fr-FR" w:vendorID="64" w:dllVersion="4096" w:nlCheck="1" w:checkStyle="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MjG2NDQxNjA1MDJR0lEKTi0uzszPAymwqAUAXYBPDSwAAAA="/>
  </w:docVars>
  <w:rsids>
    <w:rsidRoot w:val="00BA126A"/>
    <w:rsid w:val="000256C7"/>
    <w:rsid w:val="0003425F"/>
    <w:rsid w:val="00041989"/>
    <w:rsid w:val="00087581"/>
    <w:rsid w:val="00097946"/>
    <w:rsid w:val="00106210"/>
    <w:rsid w:val="00143557"/>
    <w:rsid w:val="002060C0"/>
    <w:rsid w:val="00231248"/>
    <w:rsid w:val="00247F3B"/>
    <w:rsid w:val="00263F11"/>
    <w:rsid w:val="0028740A"/>
    <w:rsid w:val="002874CA"/>
    <w:rsid w:val="002D7574"/>
    <w:rsid w:val="002E00AA"/>
    <w:rsid w:val="002E2068"/>
    <w:rsid w:val="00337147"/>
    <w:rsid w:val="003832AC"/>
    <w:rsid w:val="003B2E79"/>
    <w:rsid w:val="003E7C70"/>
    <w:rsid w:val="004641B5"/>
    <w:rsid w:val="004F1BC5"/>
    <w:rsid w:val="004F7F21"/>
    <w:rsid w:val="00521351"/>
    <w:rsid w:val="005930FA"/>
    <w:rsid w:val="00693806"/>
    <w:rsid w:val="006A273C"/>
    <w:rsid w:val="006A57F0"/>
    <w:rsid w:val="006D1166"/>
    <w:rsid w:val="0077447D"/>
    <w:rsid w:val="007B46CA"/>
    <w:rsid w:val="007C1645"/>
    <w:rsid w:val="007F6514"/>
    <w:rsid w:val="0081185A"/>
    <w:rsid w:val="00817BEE"/>
    <w:rsid w:val="00896734"/>
    <w:rsid w:val="008F2DEB"/>
    <w:rsid w:val="009024C5"/>
    <w:rsid w:val="00963405"/>
    <w:rsid w:val="00982D72"/>
    <w:rsid w:val="00996EAD"/>
    <w:rsid w:val="009B0556"/>
    <w:rsid w:val="00A73935"/>
    <w:rsid w:val="00A777A7"/>
    <w:rsid w:val="00A96553"/>
    <w:rsid w:val="00AD4F58"/>
    <w:rsid w:val="00AE146D"/>
    <w:rsid w:val="00AE33E9"/>
    <w:rsid w:val="00B520BD"/>
    <w:rsid w:val="00B856C8"/>
    <w:rsid w:val="00B92105"/>
    <w:rsid w:val="00BA126A"/>
    <w:rsid w:val="00BB566F"/>
    <w:rsid w:val="00C307C1"/>
    <w:rsid w:val="00C4597F"/>
    <w:rsid w:val="00C53E8A"/>
    <w:rsid w:val="00CB2F6E"/>
    <w:rsid w:val="00CF2BB9"/>
    <w:rsid w:val="00CF3590"/>
    <w:rsid w:val="00D0486C"/>
    <w:rsid w:val="00D63052"/>
    <w:rsid w:val="00DA5237"/>
    <w:rsid w:val="00E01F98"/>
    <w:rsid w:val="00E459E9"/>
    <w:rsid w:val="00E576F0"/>
    <w:rsid w:val="00E91A14"/>
    <w:rsid w:val="00F000C2"/>
    <w:rsid w:val="00F0364E"/>
    <w:rsid w:val="00F863C0"/>
    <w:rsid w:val="00FF52A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ADA98"/>
  <w15:chartTrackingRefBased/>
  <w15:docId w15:val="{21FC3740-82AA-4E62-80D6-30C8C5A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6A"/>
    <w:pPr>
      <w:spacing w:line="360" w:lineRule="auto"/>
      <w:jc w:val="both"/>
    </w:pPr>
    <w:rPr>
      <w:rFonts w:eastAsiaTheme="minorEastAsia"/>
      <w:lang w:val="en-US" w:eastAsia="zh-CN"/>
    </w:rPr>
  </w:style>
  <w:style w:type="paragraph" w:styleId="Heading4">
    <w:name w:val="heading 4"/>
    <w:basedOn w:val="Normal"/>
    <w:next w:val="Normal"/>
    <w:link w:val="Heading4Char"/>
    <w:uiPriority w:val="9"/>
    <w:semiHidden/>
    <w:unhideWhenUsed/>
    <w:qFormat/>
    <w:rsid w:val="0028740A"/>
    <w:pPr>
      <w:keepNext/>
      <w:keepLines/>
      <w:numPr>
        <w:ilvl w:val="3"/>
        <w:numId w:val="1"/>
      </w:numPr>
      <w:spacing w:before="40" w:after="0" w:line="240" w:lineRule="auto"/>
      <w:jc w:val="left"/>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28740A"/>
    <w:pPr>
      <w:keepNext/>
      <w:keepLines/>
      <w:numPr>
        <w:ilvl w:val="4"/>
        <w:numId w:val="1"/>
      </w:numPr>
      <w:spacing w:before="40" w:after="0" w:line="240" w:lineRule="auto"/>
      <w:jc w:val="left"/>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28740A"/>
    <w:pPr>
      <w:keepNext/>
      <w:keepLines/>
      <w:numPr>
        <w:ilvl w:val="5"/>
        <w:numId w:val="1"/>
      </w:numPr>
      <w:spacing w:before="40" w:after="0" w:line="240" w:lineRule="auto"/>
      <w:jc w:val="left"/>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28740A"/>
    <w:pPr>
      <w:keepNext/>
      <w:keepLines/>
      <w:numPr>
        <w:ilvl w:val="6"/>
        <w:numId w:val="1"/>
      </w:numPr>
      <w:spacing w:before="40" w:after="0" w:line="240" w:lineRule="auto"/>
      <w:jc w:val="left"/>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28740A"/>
    <w:pPr>
      <w:keepNext/>
      <w:keepLines/>
      <w:numPr>
        <w:ilvl w:val="7"/>
        <w:numId w:val="1"/>
      </w:numPr>
      <w:spacing w:before="40" w:after="0" w:line="240"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740A"/>
    <w:pPr>
      <w:keepNext/>
      <w:keepLines/>
      <w:numPr>
        <w:ilvl w:val="8"/>
        <w:numId w:val="1"/>
      </w:numPr>
      <w:spacing w:before="40" w:after="0" w:line="240"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A126A"/>
    <w:pPr>
      <w:spacing w:line="240" w:lineRule="auto"/>
    </w:pPr>
    <w:rPr>
      <w:sz w:val="20"/>
      <w:szCs w:val="20"/>
    </w:rPr>
  </w:style>
  <w:style w:type="character" w:customStyle="1" w:styleId="CommentTextChar">
    <w:name w:val="Comment Text Char"/>
    <w:basedOn w:val="DefaultParagraphFont"/>
    <w:link w:val="CommentText"/>
    <w:uiPriority w:val="99"/>
    <w:semiHidden/>
    <w:rsid w:val="00BA126A"/>
    <w:rPr>
      <w:rFonts w:eastAsiaTheme="minorEastAsia"/>
      <w:sz w:val="20"/>
      <w:szCs w:val="20"/>
      <w:lang w:val="en-US" w:eastAsia="zh-CN"/>
    </w:rPr>
  </w:style>
  <w:style w:type="character" w:styleId="CommentReference">
    <w:name w:val="annotation reference"/>
    <w:basedOn w:val="DefaultParagraphFont"/>
    <w:uiPriority w:val="99"/>
    <w:semiHidden/>
    <w:unhideWhenUsed/>
    <w:rsid w:val="00BA126A"/>
    <w:rPr>
      <w:sz w:val="16"/>
      <w:szCs w:val="16"/>
    </w:rPr>
  </w:style>
  <w:style w:type="paragraph" w:styleId="BalloonText">
    <w:name w:val="Balloon Text"/>
    <w:basedOn w:val="Normal"/>
    <w:link w:val="BalloonTextChar"/>
    <w:uiPriority w:val="99"/>
    <w:semiHidden/>
    <w:unhideWhenUsed/>
    <w:rsid w:val="00BA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6A"/>
    <w:rPr>
      <w:rFonts w:ascii="Segoe UI" w:eastAsiaTheme="minorEastAsia" w:hAnsi="Segoe UI" w:cs="Segoe UI"/>
      <w:sz w:val="18"/>
      <w:szCs w:val="18"/>
      <w:lang w:val="en-US" w:eastAsia="zh-CN"/>
    </w:rPr>
  </w:style>
  <w:style w:type="paragraph" w:styleId="EndnoteText">
    <w:name w:val="endnote text"/>
    <w:basedOn w:val="Normal"/>
    <w:link w:val="EndnoteTextChar"/>
    <w:uiPriority w:val="99"/>
    <w:unhideWhenUsed/>
    <w:rsid w:val="00BA126A"/>
    <w:pPr>
      <w:spacing w:after="0" w:line="240" w:lineRule="auto"/>
      <w:jc w:val="left"/>
    </w:pPr>
    <w:rPr>
      <w:sz w:val="20"/>
      <w:szCs w:val="20"/>
    </w:rPr>
  </w:style>
  <w:style w:type="character" w:customStyle="1" w:styleId="EndnoteTextChar">
    <w:name w:val="Endnote Text Char"/>
    <w:basedOn w:val="DefaultParagraphFont"/>
    <w:link w:val="EndnoteText"/>
    <w:uiPriority w:val="99"/>
    <w:rsid w:val="00BA126A"/>
    <w:rPr>
      <w:rFonts w:eastAsiaTheme="minorEastAsia"/>
      <w:sz w:val="20"/>
      <w:szCs w:val="20"/>
      <w:lang w:val="en-US" w:eastAsia="zh-CN"/>
    </w:rPr>
  </w:style>
  <w:style w:type="character" w:styleId="EndnoteReference">
    <w:name w:val="endnote reference"/>
    <w:basedOn w:val="DefaultParagraphFont"/>
    <w:uiPriority w:val="99"/>
    <w:unhideWhenUsed/>
    <w:rsid w:val="00BA126A"/>
    <w:rPr>
      <w:vertAlign w:val="superscript"/>
    </w:rPr>
  </w:style>
  <w:style w:type="table" w:styleId="TableGrid">
    <w:name w:val="Table Grid"/>
    <w:basedOn w:val="TableNormal"/>
    <w:uiPriority w:val="39"/>
    <w:rsid w:val="00BA12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7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574"/>
    <w:rPr>
      <w:rFonts w:eastAsiaTheme="minorEastAsia"/>
      <w:sz w:val="20"/>
      <w:szCs w:val="20"/>
      <w:lang w:val="en-US" w:eastAsia="zh-CN"/>
    </w:rPr>
  </w:style>
  <w:style w:type="character" w:styleId="FootnoteReference">
    <w:name w:val="footnote reference"/>
    <w:basedOn w:val="DefaultParagraphFont"/>
    <w:uiPriority w:val="99"/>
    <w:semiHidden/>
    <w:unhideWhenUsed/>
    <w:rsid w:val="002D7574"/>
    <w:rPr>
      <w:vertAlign w:val="superscript"/>
    </w:rPr>
  </w:style>
  <w:style w:type="paragraph" w:styleId="Revision">
    <w:name w:val="Revision"/>
    <w:hidden/>
    <w:uiPriority w:val="99"/>
    <w:semiHidden/>
    <w:rsid w:val="007F6514"/>
    <w:pPr>
      <w:spacing w:after="0" w:line="240" w:lineRule="auto"/>
    </w:pPr>
    <w:rPr>
      <w:rFonts w:eastAsiaTheme="minorEastAsia"/>
      <w:lang w:val="en-US" w:eastAsia="zh-CN"/>
    </w:rPr>
  </w:style>
  <w:style w:type="character" w:customStyle="1" w:styleId="Heading4Char">
    <w:name w:val="Heading 4 Char"/>
    <w:basedOn w:val="DefaultParagraphFont"/>
    <w:link w:val="Heading4"/>
    <w:uiPriority w:val="9"/>
    <w:semiHidden/>
    <w:rsid w:val="0028740A"/>
    <w:rPr>
      <w:rFonts w:asciiTheme="majorHAnsi" w:eastAsiaTheme="majorEastAsia" w:hAnsiTheme="majorHAnsi" w:cstheme="majorBidi"/>
      <w:i/>
      <w:iCs/>
      <w:color w:val="2E74B5" w:themeColor="accent1" w:themeShade="BF"/>
      <w:sz w:val="24"/>
      <w:szCs w:val="24"/>
      <w:lang w:val="en-US" w:eastAsia="zh-CN"/>
    </w:rPr>
  </w:style>
  <w:style w:type="character" w:customStyle="1" w:styleId="Heading5Char">
    <w:name w:val="Heading 5 Char"/>
    <w:basedOn w:val="DefaultParagraphFont"/>
    <w:link w:val="Heading5"/>
    <w:uiPriority w:val="9"/>
    <w:semiHidden/>
    <w:rsid w:val="0028740A"/>
    <w:rPr>
      <w:rFonts w:asciiTheme="majorHAnsi" w:eastAsiaTheme="majorEastAsia" w:hAnsiTheme="majorHAnsi" w:cstheme="majorBidi"/>
      <w:color w:val="2E74B5" w:themeColor="accent1" w:themeShade="BF"/>
      <w:sz w:val="24"/>
      <w:szCs w:val="24"/>
      <w:lang w:val="en-US" w:eastAsia="zh-CN"/>
    </w:rPr>
  </w:style>
  <w:style w:type="character" w:customStyle="1" w:styleId="Heading6Char">
    <w:name w:val="Heading 6 Char"/>
    <w:basedOn w:val="DefaultParagraphFont"/>
    <w:link w:val="Heading6"/>
    <w:uiPriority w:val="9"/>
    <w:semiHidden/>
    <w:rsid w:val="0028740A"/>
    <w:rPr>
      <w:rFonts w:asciiTheme="majorHAnsi" w:eastAsiaTheme="majorEastAsia" w:hAnsiTheme="majorHAnsi" w:cstheme="majorBidi"/>
      <w:color w:val="1F4D78" w:themeColor="accent1" w:themeShade="7F"/>
      <w:sz w:val="24"/>
      <w:szCs w:val="24"/>
      <w:lang w:val="en-US" w:eastAsia="zh-CN"/>
    </w:rPr>
  </w:style>
  <w:style w:type="character" w:customStyle="1" w:styleId="Heading7Char">
    <w:name w:val="Heading 7 Char"/>
    <w:basedOn w:val="DefaultParagraphFont"/>
    <w:link w:val="Heading7"/>
    <w:uiPriority w:val="9"/>
    <w:semiHidden/>
    <w:rsid w:val="0028740A"/>
    <w:rPr>
      <w:rFonts w:asciiTheme="majorHAnsi" w:eastAsiaTheme="majorEastAsia" w:hAnsiTheme="majorHAnsi" w:cstheme="majorBidi"/>
      <w:i/>
      <w:iCs/>
      <w:color w:val="1F4D78" w:themeColor="accent1" w:themeShade="7F"/>
      <w:sz w:val="24"/>
      <w:szCs w:val="24"/>
      <w:lang w:val="en-US" w:eastAsia="zh-CN"/>
    </w:rPr>
  </w:style>
  <w:style w:type="character" w:customStyle="1" w:styleId="Heading8Char">
    <w:name w:val="Heading 8 Char"/>
    <w:basedOn w:val="DefaultParagraphFont"/>
    <w:link w:val="Heading8"/>
    <w:uiPriority w:val="9"/>
    <w:semiHidden/>
    <w:rsid w:val="0028740A"/>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uiPriority w:val="9"/>
    <w:semiHidden/>
    <w:rsid w:val="0028740A"/>
    <w:rPr>
      <w:rFonts w:asciiTheme="majorHAnsi" w:eastAsiaTheme="majorEastAsia" w:hAnsiTheme="majorHAnsi" w:cstheme="majorBidi"/>
      <w:i/>
      <w:iCs/>
      <w:color w:val="272727" w:themeColor="text1" w:themeTint="D8"/>
      <w:sz w:val="21"/>
      <w:szCs w:val="21"/>
      <w:lang w:val="en-US" w:eastAsia="zh-CN"/>
    </w:rPr>
  </w:style>
  <w:style w:type="paragraph" w:customStyle="1" w:styleId="NCCRSectiontitle">
    <w:name w:val="NCCR_Section title"/>
    <w:basedOn w:val="Normal"/>
    <w:link w:val="NCCRSectiontitleChar"/>
    <w:qFormat/>
    <w:rsid w:val="0028740A"/>
    <w:pPr>
      <w:numPr>
        <w:numId w:val="1"/>
      </w:numPr>
      <w:spacing w:before="120" w:after="120"/>
      <w:jc w:val="left"/>
    </w:pPr>
    <w:rPr>
      <w:rFonts w:ascii="Times New Roman" w:eastAsia="SimSun" w:hAnsi="Times New Roman" w:cs="Times New Roman"/>
      <w:b/>
      <w:bCs/>
      <w:sz w:val="28"/>
      <w:szCs w:val="28"/>
    </w:rPr>
  </w:style>
  <w:style w:type="character" w:customStyle="1" w:styleId="NCCRSectiontitleChar">
    <w:name w:val="NCCR_Section title Char"/>
    <w:basedOn w:val="DefaultParagraphFont"/>
    <w:link w:val="NCCRSectiontitle"/>
    <w:rsid w:val="0028740A"/>
    <w:rPr>
      <w:rFonts w:ascii="Times New Roman" w:eastAsia="SimSun" w:hAnsi="Times New Roman" w:cs="Times New Roman"/>
      <w:b/>
      <w:bCs/>
      <w:sz w:val="28"/>
      <w:szCs w:val="28"/>
      <w:lang w:val="en-US" w:eastAsia="zh-CN"/>
    </w:rPr>
  </w:style>
  <w:style w:type="paragraph" w:customStyle="1" w:styleId="NCCRSectiontitle2">
    <w:name w:val="NCCR_Section title 2"/>
    <w:basedOn w:val="NCCRSectiontitle"/>
    <w:qFormat/>
    <w:rsid w:val="0028740A"/>
    <w:pPr>
      <w:numPr>
        <w:ilvl w:val="1"/>
      </w:numPr>
      <w:tabs>
        <w:tab w:val="num" w:pos="360"/>
      </w:tabs>
      <w:ind w:left="1440" w:hanging="360"/>
    </w:pPr>
    <w:rPr>
      <w:sz w:val="24"/>
    </w:rPr>
  </w:style>
  <w:style w:type="character" w:styleId="Hyperlink">
    <w:name w:val="Hyperlink"/>
    <w:basedOn w:val="DefaultParagraphFont"/>
    <w:uiPriority w:val="99"/>
    <w:unhideWhenUsed/>
    <w:rsid w:val="0028740A"/>
    <w:rPr>
      <w:color w:val="0563C1" w:themeColor="hyperlink"/>
      <w:u w:val="single"/>
    </w:rPr>
  </w:style>
  <w:style w:type="paragraph" w:styleId="Caption">
    <w:name w:val="caption"/>
    <w:basedOn w:val="Normal"/>
    <w:next w:val="Normal"/>
    <w:uiPriority w:val="35"/>
    <w:unhideWhenUsed/>
    <w:qFormat/>
    <w:rsid w:val="00247F3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4156">
      <w:bodyDiv w:val="1"/>
      <w:marLeft w:val="0"/>
      <w:marRight w:val="0"/>
      <w:marTop w:val="0"/>
      <w:marBottom w:val="0"/>
      <w:divBdr>
        <w:top w:val="none" w:sz="0" w:space="0" w:color="auto"/>
        <w:left w:val="none" w:sz="0" w:space="0" w:color="auto"/>
        <w:bottom w:val="none" w:sz="0" w:space="0" w:color="auto"/>
        <w:right w:val="none" w:sz="0" w:space="0" w:color="auto"/>
      </w:divBdr>
    </w:div>
    <w:div w:id="439105011">
      <w:bodyDiv w:val="1"/>
      <w:marLeft w:val="0"/>
      <w:marRight w:val="0"/>
      <w:marTop w:val="0"/>
      <w:marBottom w:val="0"/>
      <w:divBdr>
        <w:top w:val="none" w:sz="0" w:space="0" w:color="auto"/>
        <w:left w:val="none" w:sz="0" w:space="0" w:color="auto"/>
        <w:bottom w:val="none" w:sz="0" w:space="0" w:color="auto"/>
        <w:right w:val="none" w:sz="0" w:space="0" w:color="auto"/>
      </w:divBdr>
    </w:div>
    <w:div w:id="630479760">
      <w:bodyDiv w:val="1"/>
      <w:marLeft w:val="0"/>
      <w:marRight w:val="0"/>
      <w:marTop w:val="0"/>
      <w:marBottom w:val="0"/>
      <w:divBdr>
        <w:top w:val="none" w:sz="0" w:space="0" w:color="auto"/>
        <w:left w:val="none" w:sz="0" w:space="0" w:color="auto"/>
        <w:bottom w:val="none" w:sz="0" w:space="0" w:color="auto"/>
        <w:right w:val="none" w:sz="0" w:space="0" w:color="auto"/>
      </w:divBdr>
    </w:div>
    <w:div w:id="1090079182">
      <w:bodyDiv w:val="1"/>
      <w:marLeft w:val="0"/>
      <w:marRight w:val="0"/>
      <w:marTop w:val="0"/>
      <w:marBottom w:val="0"/>
      <w:divBdr>
        <w:top w:val="none" w:sz="0" w:space="0" w:color="auto"/>
        <w:left w:val="none" w:sz="0" w:space="0" w:color="auto"/>
        <w:bottom w:val="none" w:sz="0" w:space="0" w:color="auto"/>
        <w:right w:val="none" w:sz="0" w:space="0" w:color="auto"/>
      </w:divBdr>
    </w:div>
    <w:div w:id="16026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ecija@imdea.or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gali.lingenfelder@epfl.ch"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A006-8D35-4923-8792-41D5DB0F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2023</Words>
  <Characters>11537</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de Oliveira Parreiras</dc:creator>
  <cp:keywords/>
  <dc:description/>
  <cp:lastModifiedBy>Maggie</cp:lastModifiedBy>
  <cp:revision>3</cp:revision>
  <dcterms:created xsi:type="dcterms:W3CDTF">2022-03-26T09:29:00Z</dcterms:created>
  <dcterms:modified xsi:type="dcterms:W3CDTF">2022-03-29T13:37:00Z</dcterms:modified>
</cp:coreProperties>
</file>