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Table S3. Quality assessment of the included studies according to SYRCLE score.</w:t>
      </w:r>
    </w:p>
    <w:tbl>
      <w:tblPr>
        <w:tblStyle w:val="29"/>
        <w:tblW w:w="13320" w:type="dxa"/>
        <w:tblBorders>
          <w:top w:val="single" w:color="auto" w:sz="8" w:space="0"/>
          <w:left w:val="none" w:color="auto" w:sz="0" w:space="0"/>
          <w:bottom w:val="single" w:color="7F7F7F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992"/>
        <w:gridCol w:w="993"/>
        <w:gridCol w:w="992"/>
        <w:gridCol w:w="992"/>
        <w:gridCol w:w="1134"/>
        <w:gridCol w:w="1134"/>
        <w:gridCol w:w="992"/>
        <w:gridCol w:w="993"/>
        <w:gridCol w:w="1134"/>
        <w:gridCol w:w="1559"/>
      </w:tblGrid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First Author, Year [Ref]</w:t>
            </w:r>
          </w:p>
        </w:tc>
        <w:tc>
          <w:tcPr>
            <w:tcW w:w="99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Q1</w:t>
            </w:r>
          </w:p>
        </w:tc>
        <w:tc>
          <w:tcPr>
            <w:tcW w:w="99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Q2</w:t>
            </w:r>
          </w:p>
        </w:tc>
        <w:tc>
          <w:tcPr>
            <w:tcW w:w="99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Q3</w:t>
            </w:r>
          </w:p>
        </w:tc>
        <w:tc>
          <w:tcPr>
            <w:tcW w:w="99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Q4</w:t>
            </w:r>
          </w:p>
        </w:tc>
        <w:tc>
          <w:tcPr>
            <w:tcW w:w="1134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Q5</w:t>
            </w:r>
          </w:p>
        </w:tc>
        <w:tc>
          <w:tcPr>
            <w:tcW w:w="1134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Q6</w:t>
            </w:r>
          </w:p>
        </w:tc>
        <w:tc>
          <w:tcPr>
            <w:tcW w:w="99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Q7</w:t>
            </w:r>
          </w:p>
        </w:tc>
        <w:tc>
          <w:tcPr>
            <w:tcW w:w="99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Q8</w:t>
            </w:r>
          </w:p>
        </w:tc>
        <w:tc>
          <w:tcPr>
            <w:tcW w:w="1134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Q9</w:t>
            </w:r>
          </w:p>
        </w:tc>
        <w:tc>
          <w:tcPr>
            <w:tcW w:w="155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SYRCLE score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Xie, 2020[23]</w:t>
            </w:r>
          </w:p>
        </w:tc>
        <w:tc>
          <w:tcPr>
            <w:tcW w:w="992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Li,2019[24]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Wang,2016[25]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Zhang,2021[26]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Li,2021[27]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Cheng,2019[28]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Zhang,2017[29]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Song,2019[30]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Han,2018[31]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Zhou,2019[32]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Sun,2019[33]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Hu,2019[34]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Shen,2020[35]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Wang,2020[36]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Lee,2021[37]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Wang,2021[38]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Zhu,2019[39]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Fu,2019[7]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Zhang,2020[40]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Liu,2020[41]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Gu,2020[42]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Sun,2020[43]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Meng,2020[44]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left" w:pos="918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Liang,2018[45]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left" w:pos="918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Shi,2020[46]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Zhu,2020[47]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Wen,2020[48]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Wang,2017[49]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Guo,2020[50]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Zhou,2018[51]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Zhang,2016[52]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left" w:pos="607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Cheng,2019[53]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Zhang,2017[54]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Zhu,2019[55]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Li,2018[56]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Hu,2018[57]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Li,2016[58]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Qi,2019[59]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Chen,2018[60]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Zhu,2017[61]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Zhang,2020[62]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Liu,2020[63]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Patil,2019[64]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Wang,2020[65]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Lou,2019[66]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left" w:pos="607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Vanas,2016[67]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Li,2020[68]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Bazavar,2020[69]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Xu,2016[70]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Wang,2019[71]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Ziyan,2014[72]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Zhu,2020[73]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Zhang,2015[74]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Song,2017[75]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Song,2017[76]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FIORE,2016[77]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Zhang,2015[78]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Meng, 2020[79]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Yuan,2018[80]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Meng, 2020[81]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Lin,2016[82]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Lei,2018[83]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Pu,2016[84]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Song,2010[85]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Li,2017[86]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Li,2014[87]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left" w:pos="636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Zhou,2016[88]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Chang,2014[89]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Gao,2015[90]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Fiore,2014[91]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Wei,2016[92]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Xie,2018[93]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Novello,2014[94]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Chen,2014[95]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Li,2015[96]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Huang,2021[97]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Zou,2018[98]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left" w:pos="787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Zhu,2021[99]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left" w:pos="787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Zhang,2019[100]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left" w:pos="787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Jiang,2015[101]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left" w:pos="787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Chen,2016[102]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left" w:pos="787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Yu,2019[103]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Pu,2017[104]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Song,2009[105]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Pu,2017[106]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Osaki,2016[107]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Zhang,2021[108]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Zhao,2017[109]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Wang,2019[110]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left" w:pos="787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Gao,2017[111]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Cheng,2020[112]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Yu,2019[113]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Tsai,2018[114]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Meng,2017[115]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Zhang,2020[116]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Liu,2019[117]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Keremu,2019[118]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Yan,2018[119]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Xiao,2017[120]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left" w:pos="805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Wang, 2017[121]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Zhou,2018[122]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Zhang,2020[123]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Xu,2014[124]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Duan,2016[125]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Maximov,2019[126]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Chen,2017[127]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left" w:pos="653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Lin,2015[128]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Zhao,2013[129]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Zhou,2016[130]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Wang,2021[131]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Yang,2020[132]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Xu,2018[133]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Zhou,2015[134]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Liu,2015[135]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Shao,2015[136]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Xu,2016[137]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Zhou,2014[138]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Liu,2019[139]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Liu,2018[140]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Li,2021[141]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Tang,2018[142]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Xu,2014[143]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Liu,2018[144]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Liu,2017[145]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Zhu,2016[146]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Long,2018[147]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Li,2016[148]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Wang,2021[149]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Wang,2016[150]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Li,2021[151]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Jin,2017[152]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Li,2020[153]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Chen,2019[154]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Zhou,2018[155]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Ling,2020[156]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Sun,2016[157]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left" w:pos="787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Liang,2019[158]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Gao, 2020[159]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Zhang,2021[160]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Zhang,2020[161]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Dong,2020[162]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Li,2021[163]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Wei,2021[164]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Hu,2019[165]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left" w:pos="536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Li,2020[166]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Zhu,2018[167]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center" w:pos="1520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Pan,2021[168]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Zhang,2018[169]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left" w:pos="753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Xie,2020[170]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Ma,2021[171]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Bai,2021[172]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Yuan,2021[173]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Wei,2020[174]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Zhou,2021[175]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left" w:pos="753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Feng,2021[176]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Jacques,2016[177]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Nakatani,2012[178]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Robin,2012[179]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Iida,2013[180]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Zhu,2014[181]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Huang,2017[182]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Tang,2016[183]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Bharathy,2019[184]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Minami,2014[185]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Xu,2018[186]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Zhang,2020[187]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left" w:pos="787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Wang,2021[188]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left" w:pos="787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Wang,2019[189]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Wang,2019[190]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Cao,2018[191]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Zhang,2021[192]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Yan,2019[193]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Fan,2014[194]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Chen,2020[195]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Shi,2015[196]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tabs>
                <w:tab w:val="left" w:pos="737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Huang,2018[197]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Akcakaya,2014[198]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Cao,2016[8]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Shiozawa,2017[199]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Pang,2021[9]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He,2020[10]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Yang,2018[200]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Li,2019[201]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Dai,2018[202]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Vares,2020[203]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Zhu,2015[204]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Yuan,2012[205]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Lou,2016[206]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31413"/>
                <w:sz w:val="20"/>
                <w:szCs w:val="20"/>
              </w:rPr>
              <w:t>Zhu,2018[207]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YAMADA,2021[208]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Yan,2017[209]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Amirnasr,2019[210]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Kou,2018[211]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Gao,2013[212]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7F7F7F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Zhang,2018[213]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Questions used to access the quality of studies (Hooijmans et al, Medical Research Methodology, 2014) </w:t>
      </w:r>
    </w:p>
    <w:tbl>
      <w:tblPr>
        <w:tblStyle w:val="11"/>
        <w:tblW w:w="14649" w:type="dxa"/>
        <w:tblInd w:w="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600" w:firstLineChars="3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1.Was the allocation sequence adequately generated and applied?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600" w:firstLineChars="3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2.Were the groups similar at baseline or were they adjusted for confounders in the analysis?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600" w:firstLineChars="3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3.Was the allocation adequately concealed?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600" w:firstLineChars="3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4.Were the investigators blinded from knowledge which intervention each experimental set received during the experiment?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600" w:firstLineChars="3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5.Were experimental set selected at random for outcome assessment?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600" w:firstLineChars="3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6.Was the outcome assessor blinded?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600" w:firstLineChars="3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7.Were incomplete outcome data adequately addressed?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600" w:firstLineChars="3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8.Are reports of the study free of selective outcome reporting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600" w:firstLineChars="3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9.Was the study apparently free of other problems that could results in high risk of bias?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The questionas were modified from SYRCLE’s risk of bias tool for animal studies; Hooijmans et al, Medical Research Methodology, 2014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One mark was given when the studies complied to the guideline. 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Zero score would be given when the studies did not comply </w:t>
            </w:r>
          </w:p>
        </w:tc>
      </w:tr>
    </w:tbl>
    <w:p>
      <w:pPr>
        <w:rPr>
          <w:rFonts w:hint="eastAsia"/>
        </w:rPr>
      </w:pPr>
    </w:p>
    <w:sectPr>
      <w:pgSz w:w="16840" w:h="11900" w:orient="landscape"/>
      <w:pgMar w:top="1797" w:right="1440" w:bottom="1797" w:left="1440" w:header="851" w:footer="992" w:gutter="0"/>
      <w:cols w:space="720" w:num="1"/>
      <w:docGrid w:type="linesAndChar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ranklin Gothic Book">
    <w:altName w:val="Yu Gothic UI"/>
    <w:panose1 w:val="020B0503020102020204"/>
    <w:charset w:val="00"/>
    <w:family w:val="auto"/>
    <w:pitch w:val="default"/>
    <w:sig w:usb0="00000287" w:usb1="00000000" w:usb2="00000000" w:usb3="00000000" w:csb0="0000009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Times">
    <w:altName w:val="Times New Roman"/>
    <w:panose1 w:val="02000500000000000000"/>
    <w:charset w:val="00"/>
    <w:family w:val="auto"/>
    <w:pitch w:val="default"/>
    <w:sig w:usb0="E00002FF" w:usb1="5000205A" w:usb2="00000000" w:usb3="00000000" w:csb0="0000019F" w:csb1="00000000"/>
  </w:font>
  <w:font w:name="FrutigerLTStd-Roman">
    <w:altName w:val="微软雅黑"/>
    <w:panose1 w:val="020B0604020202020204"/>
    <w:charset w:val="86"/>
    <w:family w:val="auto"/>
    <w:pitch w:val="default"/>
    <w:sig w:usb0="00000001" w:usb1="080E0000" w:usb2="00000010" w:usb3="00000000" w:csb0="00040000" w:csb1="00000000"/>
  </w:font>
  <w:font w:name="CharisSIL">
    <w:altName w:val="微软雅黑"/>
    <w:panose1 w:val="020B0604020202020204"/>
    <w:charset w:val="86"/>
    <w:family w:val="auto"/>
    <w:pitch w:val="default"/>
    <w:sig w:usb0="00000001" w:usb1="080E0000" w:usb2="00000010" w:usb3="00000000" w:csb0="00040000" w:csb1="00000000"/>
  </w:font>
  <w:font w:name="Corbel-Bold">
    <w:altName w:val="等线"/>
    <w:panose1 w:val="020B0604020202020204"/>
    <w:charset w:val="86"/>
    <w:family w:val="auto"/>
    <w:pitch w:val="default"/>
    <w:sig w:usb0="00000001" w:usb1="080E0000" w:usb2="00000010" w:usb3="00000000" w:csb0="00040000" w:csb1="00000000"/>
  </w:font>
  <w:font w:name="Times-Roman">
    <w:altName w:val="Malgun Gothic"/>
    <w:panose1 w:val="00000500000000020000"/>
    <w:charset w:val="81"/>
    <w:family w:val="auto"/>
    <w:pitch w:val="default"/>
    <w:sig w:usb0="00000003" w:usb1="09060000" w:usb2="00000010" w:usb3="00000000" w:csb0="00080001" w:csb1="00000000"/>
  </w:font>
  <w:font w:name="JbwkcgAdvTT99c4c969+03">
    <w:altName w:val="微软雅黑"/>
    <w:panose1 w:val="020B0604020202020204"/>
    <w:charset w:val="86"/>
    <w:family w:val="auto"/>
    <w:pitch w:val="default"/>
    <w:sig w:usb0="00000001" w:usb1="080E0000" w:usb2="00000010" w:usb3="00000000" w:csb0="00040000" w:csb1="00000000"/>
  </w:font>
  <w:font w:name="NaomiSans EFN">
    <w:altName w:val="微软雅黑"/>
    <w:panose1 w:val="020B0604020202020204"/>
    <w:charset w:val="86"/>
    <w:family w:val="auto"/>
    <w:pitch w:val="default"/>
    <w:sig w:usb0="00000001" w:usb1="080E0000" w:usb2="00000010" w:usb3="00000000" w:csb0="00040000" w:csb1="00000000"/>
  </w:font>
  <w:font w:name="AdvTimes-b">
    <w:altName w:val="微软雅黑"/>
    <w:panose1 w:val="020B0604020202020204"/>
    <w:charset w:val="86"/>
    <w:family w:val="auto"/>
    <w:pitch w:val="default"/>
    <w:sig w:usb0="00000001" w:usb1="080E0000" w:usb2="00000010" w:usb3="00000000" w:csb0="00040000" w:csb1="00000000"/>
  </w:font>
  <w:font w:name="HelveticaNeueLTStd-Roman">
    <w:altName w:val="微软雅黑"/>
    <w:panose1 w:val="020B0604020202020204"/>
    <w:charset w:val="86"/>
    <w:family w:val="auto"/>
    <w:pitch w:val="default"/>
    <w:sig w:usb0="00000001" w:usb1="080E0000" w:usb2="00000010" w:usb3="00000000" w:csb0="0004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B16D7"/>
    <w:rsid w:val="00000230"/>
    <w:rsid w:val="00032F14"/>
    <w:rsid w:val="0006446C"/>
    <w:rsid w:val="00077BAA"/>
    <w:rsid w:val="00092882"/>
    <w:rsid w:val="000B16D7"/>
    <w:rsid w:val="000B2270"/>
    <w:rsid w:val="000D49BD"/>
    <w:rsid w:val="00106FDE"/>
    <w:rsid w:val="00111A02"/>
    <w:rsid w:val="001A2B28"/>
    <w:rsid w:val="001A73BA"/>
    <w:rsid w:val="001A752A"/>
    <w:rsid w:val="00223E7D"/>
    <w:rsid w:val="00227D63"/>
    <w:rsid w:val="00231DDD"/>
    <w:rsid w:val="002338DF"/>
    <w:rsid w:val="002360DF"/>
    <w:rsid w:val="00261241"/>
    <w:rsid w:val="00284C91"/>
    <w:rsid w:val="002A3BFA"/>
    <w:rsid w:val="002A5BE0"/>
    <w:rsid w:val="002D09C1"/>
    <w:rsid w:val="00335AA5"/>
    <w:rsid w:val="0035309F"/>
    <w:rsid w:val="003E3810"/>
    <w:rsid w:val="00406E55"/>
    <w:rsid w:val="0041093D"/>
    <w:rsid w:val="004167F9"/>
    <w:rsid w:val="0042146E"/>
    <w:rsid w:val="004423C4"/>
    <w:rsid w:val="0046316D"/>
    <w:rsid w:val="00473045"/>
    <w:rsid w:val="004A544A"/>
    <w:rsid w:val="00524F7D"/>
    <w:rsid w:val="00552D8B"/>
    <w:rsid w:val="00575B99"/>
    <w:rsid w:val="00582B76"/>
    <w:rsid w:val="00586B08"/>
    <w:rsid w:val="0059680F"/>
    <w:rsid w:val="006505BF"/>
    <w:rsid w:val="006F2B78"/>
    <w:rsid w:val="00736819"/>
    <w:rsid w:val="007402D3"/>
    <w:rsid w:val="00744A15"/>
    <w:rsid w:val="00747EEB"/>
    <w:rsid w:val="007508EB"/>
    <w:rsid w:val="00752B75"/>
    <w:rsid w:val="007872E8"/>
    <w:rsid w:val="007912CD"/>
    <w:rsid w:val="007E30E5"/>
    <w:rsid w:val="007F3EBE"/>
    <w:rsid w:val="00894B90"/>
    <w:rsid w:val="008E1696"/>
    <w:rsid w:val="00910FC8"/>
    <w:rsid w:val="00985E8F"/>
    <w:rsid w:val="0099749A"/>
    <w:rsid w:val="009A2506"/>
    <w:rsid w:val="00A45DAF"/>
    <w:rsid w:val="00A47E94"/>
    <w:rsid w:val="00A62171"/>
    <w:rsid w:val="00A83402"/>
    <w:rsid w:val="00A86178"/>
    <w:rsid w:val="00A95706"/>
    <w:rsid w:val="00AB3864"/>
    <w:rsid w:val="00AB3FAB"/>
    <w:rsid w:val="00AE16BB"/>
    <w:rsid w:val="00B3154D"/>
    <w:rsid w:val="00B70C66"/>
    <w:rsid w:val="00B70DAA"/>
    <w:rsid w:val="00BC0908"/>
    <w:rsid w:val="00BC62A6"/>
    <w:rsid w:val="00BD19EC"/>
    <w:rsid w:val="00BD54C5"/>
    <w:rsid w:val="00BE6F7D"/>
    <w:rsid w:val="00C30CD0"/>
    <w:rsid w:val="00C33191"/>
    <w:rsid w:val="00C67C7B"/>
    <w:rsid w:val="00C864F9"/>
    <w:rsid w:val="00C97292"/>
    <w:rsid w:val="00CA3ACD"/>
    <w:rsid w:val="00CC2068"/>
    <w:rsid w:val="00CC7576"/>
    <w:rsid w:val="00D270FF"/>
    <w:rsid w:val="00D37FE1"/>
    <w:rsid w:val="00D613D0"/>
    <w:rsid w:val="00D6371A"/>
    <w:rsid w:val="00D7418F"/>
    <w:rsid w:val="00D853BF"/>
    <w:rsid w:val="00D94CD5"/>
    <w:rsid w:val="00DB2A99"/>
    <w:rsid w:val="00DC0442"/>
    <w:rsid w:val="00DE52CC"/>
    <w:rsid w:val="00E11B1E"/>
    <w:rsid w:val="00E44942"/>
    <w:rsid w:val="00E46BB5"/>
    <w:rsid w:val="00EF3C0E"/>
    <w:rsid w:val="00EF52B5"/>
    <w:rsid w:val="00F222F2"/>
    <w:rsid w:val="00F360BA"/>
    <w:rsid w:val="00F507BC"/>
    <w:rsid w:val="00F7021C"/>
    <w:rsid w:val="00FA661D"/>
    <w:rsid w:val="00FB5628"/>
    <w:rsid w:val="00FC018C"/>
    <w:rsid w:val="3E830C96"/>
    <w:rsid w:val="7D874BF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99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link w:val="16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7">
    <w:name w:val="Default Paragraph Font"/>
    <w:unhideWhenUsed/>
    <w:uiPriority w:val="1"/>
  </w:style>
  <w:style w:type="table" w:default="1" w:styleId="11">
    <w:name w:val="Normal Table"/>
    <w:unhideWhenUsed/>
    <w:uiPriority w:val="99"/>
    <w:tblPr>
      <w:tblStyle w:val="11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annotation text"/>
    <w:basedOn w:val="1"/>
    <w:link w:val="18"/>
    <w:unhideWhenUsed/>
    <w:uiPriority w:val="99"/>
  </w:style>
  <w:style w:type="paragraph" w:styleId="4">
    <w:name w:val="Balloon Text"/>
    <w:basedOn w:val="1"/>
    <w:link w:val="17"/>
    <w:unhideWhenUsed/>
    <w:uiPriority w:val="99"/>
    <w:pPr>
      <w:widowControl w:val="0"/>
      <w:jc w:val="both"/>
    </w:pPr>
    <w:rPr>
      <w:rFonts w:hAnsi="等线"/>
      <w:kern w:val="2"/>
      <w:sz w:val="18"/>
      <w:szCs w:val="18"/>
    </w:rPr>
  </w:style>
  <w:style w:type="paragraph" w:styleId="5">
    <w:name w:val="footer"/>
    <w:basedOn w:val="1"/>
    <w:link w:val="23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2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unhideWhenUsed/>
    <w:uiPriority w:val="99"/>
    <w:rPr>
      <w:color w:val="954F72"/>
      <w:u w:val="single"/>
    </w:rPr>
  </w:style>
  <w:style w:type="character" w:styleId="9">
    <w:name w:val="Hyperlink"/>
    <w:basedOn w:val="7"/>
    <w:unhideWhenUsed/>
    <w:uiPriority w:val="99"/>
    <w:rPr>
      <w:color w:val="0563C1"/>
      <w:u w:val="single"/>
    </w:rPr>
  </w:style>
  <w:style w:type="character" w:styleId="10">
    <w:name w:val="annotation reference"/>
    <w:basedOn w:val="7"/>
    <w:unhideWhenUsed/>
    <w:uiPriority w:val="99"/>
    <w:rPr>
      <w:sz w:val="21"/>
      <w:szCs w:val="21"/>
    </w:rPr>
  </w:style>
  <w:style w:type="table" w:styleId="12">
    <w:name w:val="Table Grid"/>
    <w:basedOn w:val="11"/>
    <w:qFormat/>
    <w:uiPriority w:val="39"/>
    <w:pPr/>
    <w:tblPr>
      <w:tblStyle w:val="1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13">
    <w:name w:val="EndNote Bibliography Title"/>
    <w:basedOn w:val="1"/>
    <w:link w:val="20"/>
    <w:qFormat/>
    <w:uiPriority w:val="0"/>
    <w:pPr>
      <w:jc w:val="center"/>
    </w:pPr>
  </w:style>
  <w:style w:type="paragraph" w:customStyle="1" w:styleId="14">
    <w:name w:val="EndNote Bibliography"/>
    <w:basedOn w:val="1"/>
    <w:link w:val="21"/>
    <w:uiPriority w:val="0"/>
  </w:style>
  <w:style w:type="paragraph" w:customStyle="1" w:styleId="15">
    <w:name w:val="Default"/>
    <w:uiPriority w:val="0"/>
    <w:pPr>
      <w:widowControl w:val="0"/>
      <w:autoSpaceDE w:val="0"/>
      <w:autoSpaceDN w:val="0"/>
      <w:adjustRightInd w:val="0"/>
    </w:pPr>
    <w:rPr>
      <w:rFonts w:ascii="Franklin Gothic Book" w:hAnsi="Franklin Gothic Book" w:eastAsia="等线" w:cs="Franklin Gothic Book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标题 1 字符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7">
    <w:name w:val="批注框文本 字符"/>
    <w:basedOn w:val="7"/>
    <w:link w:val="4"/>
    <w:semiHidden/>
    <w:uiPriority w:val="99"/>
    <w:rPr>
      <w:rFonts w:ascii="宋体" w:eastAsia="宋体"/>
      <w:sz w:val="18"/>
      <w:szCs w:val="18"/>
    </w:rPr>
  </w:style>
  <w:style w:type="character" w:customStyle="1" w:styleId="18">
    <w:name w:val="批注文字 字符"/>
    <w:basedOn w:val="7"/>
    <w:link w:val="3"/>
    <w:semiHidden/>
    <w:uiPriority w:val="99"/>
    <w:rPr>
      <w:rFonts w:ascii="宋体" w:hAnsi="宋体" w:eastAsia="宋体" w:cs="宋体"/>
      <w:kern w:val="0"/>
    </w:rPr>
  </w:style>
  <w:style w:type="character" w:customStyle="1" w:styleId="19">
    <w:name w:val="markedcontent"/>
    <w:basedOn w:val="7"/>
    <w:uiPriority w:val="0"/>
    <w:rPr/>
  </w:style>
  <w:style w:type="character" w:customStyle="1" w:styleId="20">
    <w:name w:val="EndNote Bibliography Title 字符"/>
    <w:basedOn w:val="7"/>
    <w:link w:val="13"/>
    <w:qFormat/>
    <w:uiPriority w:val="0"/>
    <w:rPr>
      <w:rFonts w:ascii="宋体" w:hAnsi="宋体" w:eastAsia="宋体" w:cs="宋体"/>
      <w:kern w:val="0"/>
    </w:rPr>
  </w:style>
  <w:style w:type="character" w:customStyle="1" w:styleId="21">
    <w:name w:val="EndNote Bibliography 字符"/>
    <w:basedOn w:val="7"/>
    <w:link w:val="14"/>
    <w:uiPriority w:val="0"/>
    <w:rPr>
      <w:rFonts w:ascii="宋体" w:hAnsi="宋体" w:eastAsia="宋体" w:cs="宋体"/>
      <w:kern w:val="0"/>
    </w:rPr>
  </w:style>
  <w:style w:type="character" w:customStyle="1" w:styleId="22">
    <w:name w:val="页眉 字符"/>
    <w:basedOn w:val="7"/>
    <w:link w:val="6"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23">
    <w:name w:val="页脚 字符"/>
    <w:basedOn w:val="7"/>
    <w:link w:val="5"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24">
    <w:name w:val="A4"/>
    <w:uiPriority w:val="99"/>
    <w:rPr>
      <w:b/>
      <w:bCs/>
      <w:color w:val="211D1E"/>
      <w:sz w:val="28"/>
      <w:szCs w:val="28"/>
    </w:rPr>
  </w:style>
  <w:style w:type="character" w:customStyle="1" w:styleId="25">
    <w:name w:val="A7"/>
    <w:uiPriority w:val="99"/>
    <w:rPr>
      <w:color w:val="211D1E"/>
      <w:sz w:val="16"/>
      <w:szCs w:val="16"/>
    </w:rPr>
  </w:style>
  <w:style w:type="character" w:customStyle="1" w:styleId="26">
    <w:name w:val="A6"/>
    <w:uiPriority w:val="99"/>
    <w:rPr>
      <w:rFonts w:cs="Segoe UI Symbol"/>
      <w:b/>
      <w:bCs/>
      <w:color w:val="211D1E"/>
      <w:sz w:val="40"/>
      <w:szCs w:val="40"/>
    </w:rPr>
  </w:style>
  <w:style w:type="character" w:customStyle="1" w:styleId="27">
    <w:name w:val="A2"/>
    <w:uiPriority w:val="99"/>
    <w:rPr>
      <w:rFonts w:cs="Times"/>
      <w:color w:val="211D1E"/>
      <w:sz w:val="19"/>
      <w:szCs w:val="19"/>
    </w:rPr>
  </w:style>
  <w:style w:type="character" w:customStyle="1" w:styleId="28">
    <w:name w:val="Unresolved Mention"/>
    <w:basedOn w:val="7"/>
    <w:uiPriority w:val="99"/>
    <w:rPr>
      <w:color w:val="605E5C"/>
      <w:shd w:val="clear" w:color="auto" w:fill="E1DFDD"/>
    </w:rPr>
  </w:style>
  <w:style w:type="table" w:customStyle="1" w:styleId="29">
    <w:name w:val="Plain Table 2"/>
    <w:basedOn w:val="11"/>
    <w:uiPriority w:val="42"/>
    <w:pPr/>
    <w:tblPr>
      <w:tblStyle w:val="11"/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Layout w:type="fixed"/>
    </w:tblPr>
    <w:tcPr>
      <w:textDirection w:val="lrTb"/>
    </w:tcPr>
    <w:tblStylePr w:type="firstRow">
      <w:rPr>
        <w:b/>
        <w:bCs/>
      </w:rPr>
      <w:tblPr>
        <w:tblStyle w:val="11"/>
        <w:tblLayout w:type="fixed"/>
      </w:tblPr>
      <w:tcPr>
        <w:tcBorders>
          <w:top w:val="nil"/>
          <w:left w:val="nil"/>
          <w:bottom w:val="single" w:color="7F7F7F" w:sz="4" w:space="0"/>
          <w:right w:val="nil"/>
          <w:insideH w:val="nil"/>
          <w:insideV w:val="nil"/>
          <w:tl2br w:val="nil"/>
          <w:tr2bl w:val="nil"/>
        </w:tcBorders>
        <w:textDirection w:val="lrTb"/>
      </w:tcPr>
    </w:tblStylePr>
    <w:tblStylePr w:type="lastRow">
      <w:rPr>
        <w:b/>
        <w:bCs/>
      </w:rPr>
      <w:tblPr>
        <w:tblStyle w:val="11"/>
        <w:tblLayout w:type="fixed"/>
      </w:tblPr>
      <w:tcPr>
        <w:tcBorders>
          <w:top w:val="single" w:color="7F7F7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textDirection w:val="lrTb"/>
      </w:tcPr>
    </w:tblStylePr>
    <w:tblStylePr w:type="firstCol">
      <w:rPr>
        <w:b/>
        <w:bCs/>
      </w:rPr>
      <w:tblPr>
        <w:tblStyle w:val="11"/>
        <w:tblLayout w:type="fixed"/>
      </w:tblPr>
      <w:tcPr>
        <w:textDirection w:val="lrTb"/>
      </w:tcPr>
    </w:tblStylePr>
    <w:tblStylePr w:type="lastCol">
      <w:rPr>
        <w:b/>
        <w:bCs/>
      </w:rPr>
      <w:tblPr>
        <w:tblStyle w:val="11"/>
        <w:tblLayout w:type="fixed"/>
      </w:tblPr>
      <w:tcPr>
        <w:textDirection w:val="lrTb"/>
      </w:tcPr>
    </w:tblStylePr>
    <w:tblStylePr w:type="band1Vert">
      <w:tblPr>
        <w:tblStyle w:val="11"/>
        <w:tblLayout w:type="fixed"/>
      </w:tblPr>
      <w:tcPr>
        <w:tcBorders>
          <w:top w:val="nil"/>
          <w:left w:val="single" w:color="7F7F7F" w:sz="4" w:space="0"/>
          <w:bottom w:val="nil"/>
          <w:right w:val="single" w:color="7F7F7F" w:sz="4" w:space="0"/>
          <w:insideH w:val="nil"/>
          <w:insideV w:val="nil"/>
          <w:tl2br w:val="nil"/>
          <w:tr2bl w:val="nil"/>
        </w:tcBorders>
        <w:textDirection w:val="lrTb"/>
      </w:tcPr>
    </w:tblStylePr>
    <w:tblStylePr w:type="band2Vert">
      <w:tblPr>
        <w:tblStyle w:val="11"/>
        <w:tblLayout w:type="fixed"/>
      </w:tblPr>
      <w:tcPr>
        <w:tcBorders>
          <w:top w:val="nil"/>
          <w:left w:val="single" w:color="7F7F7F" w:sz="4" w:space="0"/>
          <w:bottom w:val="nil"/>
          <w:right w:val="single" w:color="7F7F7F" w:sz="4" w:space="0"/>
          <w:insideH w:val="nil"/>
          <w:insideV w:val="nil"/>
          <w:tl2br w:val="nil"/>
          <w:tr2bl w:val="nil"/>
        </w:tcBorders>
        <w:textDirection w:val="lrTb"/>
      </w:tcPr>
    </w:tblStylePr>
    <w:tblStylePr w:type="band1Horz">
      <w:tblPr>
        <w:tblStyle w:val="11"/>
        <w:tblLayout w:type="fixed"/>
      </w:tblPr>
      <w:tcPr>
        <w:tcBorders>
          <w:top w:val="single" w:color="7F7F7F" w:sz="4" w:space="0"/>
          <w:left w:val="nil"/>
          <w:bottom w:val="single" w:color="7F7F7F" w:sz="4" w:space="0"/>
          <w:right w:val="nil"/>
          <w:insideH w:val="nil"/>
          <w:insideV w:val="nil"/>
          <w:tl2br w:val="nil"/>
          <w:tr2bl w:val="nil"/>
        </w:tcBorders>
        <w:textDirection w:val="lrTb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120</Pages>
  <Words>21326</Words>
  <Characters>121563</Characters>
  <Lines>1013</Lines>
  <Paragraphs>285</Paragraphs>
  <ScaleCrop>false</ScaleCrop>
  <LinksUpToDate>false</LinksUpToDate>
  <CharactersWithSpaces>0</CharactersWithSpaces>
  <Application>WPS Office_9.1.0.5111_{F1E327BC-269C-435d-A152-05C5408002CA}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2022-03-29T11:11:00Z</dcterms:created>
  <dc:creator>淘3319</dc:creator>
  <cp:lastModifiedBy>Administrator</cp:lastModifiedBy>
  <dcterms:modified xsi:type="dcterms:W3CDTF">2022-03-29T12:01:59Z</dcterms:modified>
  <dc:title>Non-coding RNAs in drug and radiation resistance of bone and soft tissue sarcoma: A systematic review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2052-9.1.0.5111</vt:lpwstr>
  </property>
</Properties>
</file>