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067" w:rsidRPr="008822D6" w:rsidRDefault="008822D6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22D6">
        <w:rPr>
          <w:rFonts w:ascii="Times New Roman" w:hAnsi="Times New Roman" w:cs="Times New Roman" w:hint="eastAsia"/>
          <w:b/>
          <w:sz w:val="24"/>
          <w:szCs w:val="24"/>
        </w:rPr>
        <w:t>Supplement</w:t>
      </w:r>
      <w:r w:rsidRPr="008822D6">
        <w:rPr>
          <w:rFonts w:ascii="Times New Roman" w:hAnsi="Times New Roman" w:cs="Times New Roman"/>
          <w:b/>
          <w:sz w:val="24"/>
          <w:szCs w:val="24"/>
        </w:rPr>
        <w:t>al Figure Legends</w:t>
      </w:r>
    </w:p>
    <w:p w:rsidR="008822D6" w:rsidRDefault="00154345" w:rsidP="00154345">
      <w:pPr>
        <w:snapToGrid w:val="0"/>
        <w:spacing w:line="360" w:lineRule="auto"/>
      </w:pPr>
      <w:r w:rsidRPr="008822D6">
        <w:rPr>
          <w:rFonts w:ascii="Times New Roman" w:hAnsi="Times New Roman" w:cs="Times New Roman" w:hint="eastAsia"/>
          <w:b/>
          <w:sz w:val="24"/>
          <w:szCs w:val="24"/>
        </w:rPr>
        <w:t>Supplement</w:t>
      </w:r>
      <w:r w:rsidRPr="008822D6">
        <w:rPr>
          <w:rFonts w:ascii="Times New Roman" w:hAnsi="Times New Roman" w:cs="Times New Roman"/>
          <w:b/>
          <w:sz w:val="24"/>
          <w:szCs w:val="24"/>
        </w:rPr>
        <w:t>al Figure L</w:t>
      </w:r>
      <w:r>
        <w:rPr>
          <w:rFonts w:ascii="Times New Roman" w:hAnsi="Times New Roman" w:cs="Times New Roman"/>
          <w:b/>
          <w:sz w:val="24"/>
          <w:szCs w:val="24"/>
        </w:rPr>
        <w:t>egend 1</w:t>
      </w:r>
    </w:p>
    <w:p w:rsidR="008822D6" w:rsidRPr="000473CE" w:rsidRDefault="000473CE" w:rsidP="000473CE">
      <w:pPr>
        <w:snapToGrid w:val="0"/>
        <w:spacing w:line="360" w:lineRule="auto"/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body-map</w:t>
      </w:r>
      <w:r>
        <w:rPr>
          <w:rFonts w:ascii="Times New Roman" w:hAnsi="Times New Roman" w:cs="Times New Roman"/>
          <w:sz w:val="24"/>
          <w:szCs w:val="24"/>
        </w:rPr>
        <w:t xml:space="preserve">s illustrating the </w:t>
      </w:r>
      <w:r>
        <w:rPr>
          <w:rFonts w:ascii="Times New Roman" w:hAnsi="Times New Roman" w:cs="Times New Roman"/>
          <w:sz w:val="24"/>
          <w:szCs w:val="24"/>
        </w:rPr>
        <w:t>representative immunity therapeutics</w:t>
      </w:r>
      <w:r>
        <w:rPr>
          <w:rFonts w:ascii="Times New Roman" w:hAnsi="Times New Roman" w:cs="Times New Roman"/>
          <w:sz w:val="24"/>
          <w:szCs w:val="24"/>
        </w:rPr>
        <w:t xml:space="preserve"> were drafted to visualize the </w:t>
      </w:r>
      <w:r>
        <w:rPr>
          <w:rFonts w:ascii="Times New Roman" w:hAnsi="Times New Roman" w:cs="Times New Roman"/>
          <w:sz w:val="24"/>
          <w:szCs w:val="24"/>
        </w:rPr>
        <w:t>distributions, extents, and</w:t>
      </w:r>
      <w:r>
        <w:rPr>
          <w:rFonts w:ascii="Times New Roman" w:hAnsi="Times New Roman" w:cs="Times New Roman"/>
          <w:sz w:val="24"/>
          <w:szCs w:val="24"/>
        </w:rPr>
        <w:t xml:space="preserve"> intentions in multiple systems. The red depicts and the green depicts indicated the overex</w:t>
      </w:r>
      <w:r w:rsidR="00E067B7">
        <w:rPr>
          <w:rFonts w:ascii="Times New Roman" w:hAnsi="Times New Roman" w:cs="Times New Roman"/>
          <w:sz w:val="24"/>
          <w:szCs w:val="24"/>
        </w:rPr>
        <w:t>pression and the repression resp</w:t>
      </w:r>
      <w:r>
        <w:rPr>
          <w:rFonts w:ascii="Times New Roman" w:hAnsi="Times New Roman" w:cs="Times New Roman"/>
          <w:sz w:val="24"/>
          <w:szCs w:val="24"/>
        </w:rPr>
        <w:t>ectively.</w:t>
      </w:r>
    </w:p>
    <w:p w:rsidR="00154345" w:rsidRDefault="00154345"/>
    <w:p w:rsidR="00154345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22D6">
        <w:rPr>
          <w:rFonts w:ascii="Times New Roman" w:hAnsi="Times New Roman" w:cs="Times New Roman" w:hint="eastAsia"/>
          <w:b/>
          <w:sz w:val="24"/>
          <w:szCs w:val="24"/>
        </w:rPr>
        <w:t>Supplement</w:t>
      </w:r>
      <w:r w:rsidRPr="008822D6">
        <w:rPr>
          <w:rFonts w:ascii="Times New Roman" w:hAnsi="Times New Roman" w:cs="Times New Roman"/>
          <w:b/>
          <w:sz w:val="24"/>
          <w:szCs w:val="24"/>
        </w:rPr>
        <w:t>al Figure L</w:t>
      </w:r>
      <w:r>
        <w:rPr>
          <w:rFonts w:ascii="Times New Roman" w:hAnsi="Times New Roman" w:cs="Times New Roman"/>
          <w:b/>
          <w:sz w:val="24"/>
          <w:szCs w:val="24"/>
        </w:rPr>
        <w:t>egend 2</w:t>
      </w:r>
    </w:p>
    <w:p w:rsidR="00154345" w:rsidRDefault="00485A74" w:rsidP="00485A74">
      <w:pPr>
        <w:snapToGrid w:val="0"/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potential </w:t>
      </w:r>
      <w:r>
        <w:rPr>
          <w:rFonts w:ascii="Times New Roman" w:hAnsi="Times New Roman" w:cs="Times New Roman"/>
          <w:sz w:val="24"/>
          <w:szCs w:val="24"/>
        </w:rPr>
        <w:t xml:space="preserve">immunity therapeutics of ADORA2A, BTLA, </w:t>
      </w:r>
      <w:r w:rsidRPr="00AD3FFE">
        <w:rPr>
          <w:rFonts w:ascii="Times New Roman" w:hAnsi="Times New Roman" w:cs="Times New Roman"/>
          <w:sz w:val="24"/>
          <w:szCs w:val="24"/>
        </w:rPr>
        <w:t>Nectin-2</w:t>
      </w:r>
      <w:r>
        <w:rPr>
          <w:rFonts w:ascii="Times New Roman" w:hAnsi="Times New Roman" w:cs="Times New Roman"/>
          <w:sz w:val="24"/>
          <w:szCs w:val="24"/>
        </w:rPr>
        <w:t xml:space="preserve"> (CD112), CD160, CD244, PD-L1 (CD274), CD96, CSF1R, CTLA4, HAVCR2, IDO1, IL10, IL10RB, KDR, KIR2DL1, KIR2DL3, LAG3, LGALS9, PDCD1, PDCD1LG2, PVRL2, TGFB1, TGFBR1, TIGIT, VTCN1, </w:t>
      </w:r>
      <w:r w:rsidRPr="00585EF3">
        <w:rPr>
          <w:rFonts w:ascii="Times New Roman" w:hAnsi="Times New Roman" w:cs="Times New Roman"/>
          <w:sz w:val="24"/>
          <w:szCs w:val="24"/>
        </w:rPr>
        <w:t>TNF Receptor Superfamily Member 14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0507">
        <w:rPr>
          <w:rFonts w:ascii="Times New Roman" w:hAnsi="Times New Roman" w:cs="Times New Roman"/>
          <w:sz w:val="24"/>
          <w:szCs w:val="24"/>
        </w:rPr>
        <w:t>TNFRSF14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585EF3">
        <w:rPr>
          <w:rFonts w:ascii="Times New Roman" w:hAnsi="Times New Roman" w:cs="Times New Roman"/>
          <w:sz w:val="24"/>
          <w:szCs w:val="24"/>
        </w:rPr>
        <w:t>TNF superfamily member 4</w:t>
      </w:r>
      <w:r>
        <w:rPr>
          <w:rFonts w:ascii="Times New Roman" w:hAnsi="Times New Roman" w:cs="Times New Roman"/>
          <w:sz w:val="24"/>
          <w:szCs w:val="24"/>
        </w:rPr>
        <w:t xml:space="preserve"> (TNFSF4), </w:t>
      </w:r>
      <w:r w:rsidRPr="00585EF3">
        <w:rPr>
          <w:rFonts w:ascii="Times New Roman" w:hAnsi="Times New Roman" w:cs="Times New Roman"/>
          <w:sz w:val="24"/>
          <w:szCs w:val="24"/>
        </w:rPr>
        <w:t xml:space="preserve">TNF superfamily member </w:t>
      </w:r>
      <w:r>
        <w:rPr>
          <w:rFonts w:ascii="Times New Roman" w:hAnsi="Times New Roman" w:cs="Times New Roman"/>
          <w:sz w:val="24"/>
          <w:szCs w:val="24"/>
        </w:rPr>
        <w:t>18 (TNFSF18), were all input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studied for potential functional correlations</w:t>
      </w:r>
      <w:r>
        <w:rPr>
          <w:rFonts w:ascii="Times New Roman" w:hAnsi="Times New Roman" w:cs="Times New Roman"/>
          <w:sz w:val="24"/>
          <w:szCs w:val="24"/>
        </w:rPr>
        <w:t xml:space="preserve">, and the illustration was drafted through using </w:t>
      </w:r>
      <w:r>
        <w:rPr>
          <w:rFonts w:ascii="Times New Roman" w:hAnsi="Times New Roman" w:cs="Times New Roman"/>
          <w:sz w:val="24"/>
          <w:szCs w:val="24"/>
        </w:rPr>
        <w:t>GEPIA2</w:t>
      </w:r>
      <w:r>
        <w:rPr>
          <w:rFonts w:ascii="Times New Roman" w:hAnsi="Times New Roman" w:cs="Times New Roman"/>
          <w:sz w:val="24"/>
          <w:szCs w:val="24"/>
        </w:rPr>
        <w:t xml:space="preserve"> online analysis.</w:t>
      </w:r>
    </w:p>
    <w:p w:rsidR="00154345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54345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22D6">
        <w:rPr>
          <w:rFonts w:ascii="Times New Roman" w:hAnsi="Times New Roman" w:cs="Times New Roman" w:hint="eastAsia"/>
          <w:b/>
          <w:sz w:val="24"/>
          <w:szCs w:val="24"/>
        </w:rPr>
        <w:t>Supplement</w:t>
      </w:r>
      <w:r w:rsidRPr="008822D6">
        <w:rPr>
          <w:rFonts w:ascii="Times New Roman" w:hAnsi="Times New Roman" w:cs="Times New Roman"/>
          <w:b/>
          <w:sz w:val="24"/>
          <w:szCs w:val="24"/>
        </w:rPr>
        <w:t>al Figure L</w:t>
      </w:r>
      <w:r>
        <w:rPr>
          <w:rFonts w:ascii="Times New Roman" w:hAnsi="Times New Roman" w:cs="Times New Roman"/>
          <w:b/>
          <w:sz w:val="24"/>
          <w:szCs w:val="24"/>
        </w:rPr>
        <w:t>egend 3</w:t>
      </w:r>
    </w:p>
    <w:p w:rsidR="00154345" w:rsidRDefault="00E067B7" w:rsidP="00154345">
      <w:pPr>
        <w:snapToGrid w:val="0"/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main carcinogens of ERBB2, KRAS, TP53 were analyze for their </w:t>
      </w:r>
      <w:r w:rsidRPr="00A4671E">
        <w:rPr>
          <w:rFonts w:ascii="Times New Roman" w:hAnsi="Times New Roman" w:cs="Times New Roman"/>
          <w:sz w:val="24"/>
          <w:szCs w:val="24"/>
        </w:rPr>
        <w:t>intrinsic connection</w:t>
      </w:r>
      <w:r w:rsidR="004107EF">
        <w:rPr>
          <w:rFonts w:ascii="Times New Roman" w:hAnsi="Times New Roman" w:cs="Times New Roman"/>
          <w:sz w:val="24"/>
          <w:szCs w:val="24"/>
        </w:rPr>
        <w:t>. Among the candidates, only TNFSF4 was positively correlated with KRAS and TP53.</w:t>
      </w:r>
      <w:bookmarkStart w:id="0" w:name="_GoBack"/>
      <w:bookmarkEnd w:id="0"/>
    </w:p>
    <w:p w:rsidR="00154345" w:rsidRPr="004107EF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54345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22D6">
        <w:rPr>
          <w:rFonts w:ascii="Times New Roman" w:hAnsi="Times New Roman" w:cs="Times New Roman" w:hint="eastAsia"/>
          <w:b/>
          <w:sz w:val="24"/>
          <w:szCs w:val="24"/>
        </w:rPr>
        <w:t>Supplement</w:t>
      </w:r>
      <w:r w:rsidRPr="008822D6">
        <w:rPr>
          <w:rFonts w:ascii="Times New Roman" w:hAnsi="Times New Roman" w:cs="Times New Roman"/>
          <w:b/>
          <w:sz w:val="24"/>
          <w:szCs w:val="24"/>
        </w:rPr>
        <w:t>al Figure L</w:t>
      </w:r>
      <w:r>
        <w:rPr>
          <w:rFonts w:ascii="Times New Roman" w:hAnsi="Times New Roman" w:cs="Times New Roman"/>
          <w:b/>
          <w:sz w:val="24"/>
          <w:szCs w:val="24"/>
        </w:rPr>
        <w:t>egend 4</w:t>
      </w:r>
    </w:p>
    <w:p w:rsidR="00154345" w:rsidRDefault="004107EF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therapeutic candidates of </w:t>
      </w:r>
      <w:r>
        <w:rPr>
          <w:rFonts w:ascii="Times New Roman" w:hAnsi="Times New Roman" w:cs="Times New Roman"/>
          <w:sz w:val="24"/>
          <w:szCs w:val="24"/>
        </w:rPr>
        <w:t>CD112, TNFRSF1</w:t>
      </w:r>
      <w:r>
        <w:rPr>
          <w:rFonts w:ascii="Times New Roman" w:hAnsi="Times New Roman" w:cs="Times New Roman"/>
          <w:sz w:val="24"/>
          <w:szCs w:val="24"/>
        </w:rPr>
        <w:t xml:space="preserve">4 and </w:t>
      </w:r>
      <w:r>
        <w:rPr>
          <w:rFonts w:ascii="Times New Roman" w:hAnsi="Times New Roman" w:cs="Times New Roman"/>
          <w:sz w:val="24"/>
          <w:szCs w:val="24"/>
        </w:rPr>
        <w:t xml:space="preserve">PD-L1 </w:t>
      </w:r>
      <w:r>
        <w:rPr>
          <w:rFonts w:ascii="Times New Roman" w:hAnsi="Times New Roman" w:cs="Times New Roman"/>
          <w:sz w:val="24"/>
          <w:szCs w:val="24"/>
        </w:rPr>
        <w:t xml:space="preserve">were analyzed for potential clinical significances, and they </w:t>
      </w:r>
      <w:r>
        <w:rPr>
          <w:rFonts w:ascii="Times New Roman" w:hAnsi="Times New Roman" w:cs="Times New Roman"/>
          <w:sz w:val="24"/>
          <w:szCs w:val="24"/>
        </w:rPr>
        <w:t xml:space="preserve">failed to be involved in further analysis, as their </w:t>
      </w:r>
      <w:r>
        <w:rPr>
          <w:rFonts w:ascii="Times New Roman" w:hAnsi="Times New Roman" w:cs="Times New Roman"/>
          <w:sz w:val="24"/>
          <w:szCs w:val="24"/>
        </w:rPr>
        <w:t xml:space="preserve">negative </w:t>
      </w:r>
      <w:r>
        <w:rPr>
          <w:rFonts w:ascii="Times New Roman" w:hAnsi="Times New Roman" w:cs="Times New Roman"/>
          <w:sz w:val="24"/>
          <w:szCs w:val="24"/>
        </w:rPr>
        <w:t>indicating roles</w:t>
      </w:r>
      <w:r>
        <w:rPr>
          <w:rFonts w:ascii="Times New Roman" w:hAnsi="Times New Roman" w:cs="Times New Roman"/>
          <w:sz w:val="24"/>
          <w:szCs w:val="24"/>
        </w:rPr>
        <w:t xml:space="preserve"> in either disease-specific survival or overall survival.</w:t>
      </w:r>
    </w:p>
    <w:p w:rsidR="00154345" w:rsidRDefault="00154345" w:rsidP="00154345">
      <w:pPr>
        <w:snapToGri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54345" w:rsidRPr="008822D6" w:rsidRDefault="00154345" w:rsidP="00154345">
      <w:pPr>
        <w:snapToGrid w:val="0"/>
        <w:spacing w:line="360" w:lineRule="auto"/>
        <w:rPr>
          <w:rFonts w:hint="eastAsia"/>
        </w:rPr>
      </w:pPr>
    </w:p>
    <w:sectPr w:rsidR="00154345" w:rsidRPr="00882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7385" w:rsidRDefault="008B7385" w:rsidP="008822D6">
      <w:r>
        <w:separator/>
      </w:r>
    </w:p>
  </w:endnote>
  <w:endnote w:type="continuationSeparator" w:id="0">
    <w:p w:rsidR="008B7385" w:rsidRDefault="008B7385" w:rsidP="00882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7385" w:rsidRDefault="008B7385" w:rsidP="008822D6">
      <w:r>
        <w:separator/>
      </w:r>
    </w:p>
  </w:footnote>
  <w:footnote w:type="continuationSeparator" w:id="0">
    <w:p w:rsidR="008B7385" w:rsidRDefault="008B7385" w:rsidP="008822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77D"/>
    <w:rsid w:val="000473CE"/>
    <w:rsid w:val="00154345"/>
    <w:rsid w:val="001B47AA"/>
    <w:rsid w:val="00341067"/>
    <w:rsid w:val="004107EF"/>
    <w:rsid w:val="00485A74"/>
    <w:rsid w:val="005327E8"/>
    <w:rsid w:val="005E3CAF"/>
    <w:rsid w:val="0087477D"/>
    <w:rsid w:val="008822D6"/>
    <w:rsid w:val="008B7385"/>
    <w:rsid w:val="00C84F1F"/>
    <w:rsid w:val="00E067B7"/>
    <w:rsid w:val="00E9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8D069"/>
  <w15:chartTrackingRefBased/>
  <w15:docId w15:val="{C1E8AC52-7B1D-4CC2-B143-1DA9DE54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822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三线表"/>
    <w:basedOn w:val="2"/>
    <w:uiPriority w:val="39"/>
    <w:rsid w:val="00E96ABB"/>
    <w:tblPr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2">
    <w:name w:val="Plain Table 2"/>
    <w:basedOn w:val="a1"/>
    <w:uiPriority w:val="42"/>
    <w:rsid w:val="00E96AB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882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22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2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22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Xin Sun (M.D.)</dc:creator>
  <cp:keywords/>
  <dc:description/>
  <cp:lastModifiedBy>Dr. Xin Sun (M.D.)</cp:lastModifiedBy>
  <cp:revision>8</cp:revision>
  <dcterms:created xsi:type="dcterms:W3CDTF">2021-01-08T03:06:00Z</dcterms:created>
  <dcterms:modified xsi:type="dcterms:W3CDTF">2021-01-08T04:23:00Z</dcterms:modified>
</cp:coreProperties>
</file>