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Key messages</w:t>
      </w:r>
      <w:bookmarkStart w:id="0" w:name="_GoBack"/>
      <w:bookmarkEnd w:id="0"/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BCA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protects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NPCs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against IL-1β-induced inflammation,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apoptosis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and catabolism.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BCA regulates NF-κB activation and ECM degradatio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n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through Nrf2/HO-1 axis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-ERK, TLR4 and PPAR-γ pathways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in NPCs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were not significantly altered by BCA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numPr>
          <w:ilvl w:val="0"/>
          <w:numId w:val="1"/>
        </w:num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BCA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could alleviate IVDD progression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and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attenutes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pain symptom in rat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Leelawadee UI Semilight">
    <w:panose1 w:val="020B0402040204020203"/>
    <w:charset w:val="00"/>
    <w:family w:val="auto"/>
    <w:pitch w:val="default"/>
    <w:sig w:usb0="83000003" w:usb1="00000000" w:usb2="00010000" w:usb3="00000001" w:csb0="000101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0F7C43"/>
    <w:multiLevelType w:val="singleLevel"/>
    <w:tmpl w:val="950F7C4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E00877"/>
    <w:rsid w:val="452B15B5"/>
    <w:rsid w:val="4F145729"/>
    <w:rsid w:val="71C9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278</Characters>
  <Lines>0</Lines>
  <Paragraphs>0</Paragraphs>
  <TotalTime>2</TotalTime>
  <ScaleCrop>false</ScaleCrop>
  <LinksUpToDate>false</LinksUpToDate>
  <CharactersWithSpaces>320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2022-03-28T14:44:26Z</dcterms:created>
  <dc:creator>18467</dc:creator>
  <cp:lastModifiedBy>18467</cp:lastModifiedBy>
  <dcterms:modified xsi:type="dcterms:W3CDTF">2022-03-28T17:03:28Z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B2B3BD4FBED54E41A0A28579D3CEC56D</vt:lpwstr>
  </property>
</Properties>
</file>