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6ED" w:rsidRPr="007640C4" w:rsidRDefault="008206ED" w:rsidP="008206ED">
      <w:pPr>
        <w:pStyle w:val="Heading1"/>
        <w:numPr>
          <w:ilvl w:val="0"/>
          <w:numId w:val="0"/>
        </w:numPr>
        <w:spacing w:line="360" w:lineRule="auto"/>
        <w:ind w:left="567" w:hanging="567"/>
        <w:rPr>
          <w:sz w:val="32"/>
          <w:szCs w:val="32"/>
          <w:lang w:val="en-GB"/>
        </w:rPr>
      </w:pPr>
      <w:r w:rsidRPr="6265E0C6">
        <w:rPr>
          <w:sz w:val="32"/>
          <w:szCs w:val="32"/>
          <w:lang w:val="en-GB"/>
        </w:rPr>
        <w:t>Appendix</w:t>
      </w:r>
    </w:p>
    <w:p w:rsidR="008206ED" w:rsidRDefault="008206ED" w:rsidP="008206ED">
      <w:pPr>
        <w:pStyle w:val="Caption"/>
        <w:keepNext/>
        <w:spacing w:line="360" w:lineRule="auto"/>
        <w:rPr>
          <w:sz w:val="20"/>
          <w:szCs w:val="20"/>
          <w:lang w:val="en-GB"/>
        </w:rPr>
      </w:pPr>
      <w:bookmarkStart w:id="0" w:name="_Ref54268450"/>
    </w:p>
    <w:p w:rsidR="008206ED" w:rsidRDefault="008206ED" w:rsidP="008206ED">
      <w:pPr>
        <w:pStyle w:val="Heading2"/>
        <w:rPr>
          <w:b w:val="0"/>
          <w:i/>
          <w:sz w:val="28"/>
          <w:szCs w:val="28"/>
          <w:lang w:val="en-GB"/>
        </w:rPr>
      </w:pPr>
      <w:r w:rsidRPr="001528BE">
        <w:rPr>
          <w:b w:val="0"/>
          <w:i/>
          <w:sz w:val="28"/>
          <w:szCs w:val="28"/>
          <w:lang w:val="en-GB"/>
        </w:rPr>
        <w:t>Structural components of the selected GZH and LPC multi-residential buildings</w:t>
      </w:r>
    </w:p>
    <w:p w:rsidR="008206ED" w:rsidRPr="001528BE" w:rsidRDefault="008206ED" w:rsidP="008206ED">
      <w:pPr>
        <w:rPr>
          <w:lang w:val="en-GB"/>
        </w:rPr>
      </w:pPr>
    </w:p>
    <w:p w:rsidR="008206ED" w:rsidRPr="0033435F" w:rsidRDefault="008206ED" w:rsidP="008206ED">
      <w:pPr>
        <w:pStyle w:val="Caption"/>
        <w:keepNext/>
        <w:rPr>
          <w:sz w:val="20"/>
          <w:szCs w:val="20"/>
          <w:lang w:val="en-GB"/>
        </w:rPr>
      </w:pPr>
      <w:bookmarkStart w:id="1" w:name="_Ref78977929"/>
      <w:bookmarkEnd w:id="0"/>
      <w:r w:rsidRPr="0033435F">
        <w:rPr>
          <w:sz w:val="20"/>
          <w:szCs w:val="20"/>
          <w:lang w:val="en-GB"/>
        </w:rPr>
        <w:t xml:space="preserve">Table </w:t>
      </w:r>
      <w:r w:rsidRPr="0033435F">
        <w:rPr>
          <w:sz w:val="20"/>
          <w:szCs w:val="20"/>
        </w:rPr>
        <w:fldChar w:fldCharType="begin"/>
      </w:r>
      <w:r w:rsidRPr="0033435F">
        <w:rPr>
          <w:sz w:val="20"/>
          <w:szCs w:val="20"/>
          <w:lang w:val="en-GB"/>
        </w:rPr>
        <w:instrText xml:space="preserve"> SEQ Table \* ARABIC </w:instrText>
      </w:r>
      <w:r w:rsidRPr="0033435F">
        <w:rPr>
          <w:sz w:val="20"/>
          <w:szCs w:val="20"/>
        </w:rPr>
        <w:fldChar w:fldCharType="separate"/>
      </w:r>
      <w:r>
        <w:rPr>
          <w:noProof/>
          <w:sz w:val="20"/>
          <w:szCs w:val="20"/>
          <w:lang w:val="en-GB"/>
        </w:rPr>
        <w:t>3</w:t>
      </w:r>
      <w:r w:rsidRPr="0033435F">
        <w:rPr>
          <w:sz w:val="20"/>
          <w:szCs w:val="20"/>
        </w:rPr>
        <w:fldChar w:fldCharType="end"/>
      </w:r>
      <w:bookmarkEnd w:id="1"/>
      <w:r w:rsidRPr="0033435F">
        <w:rPr>
          <w:sz w:val="20"/>
          <w:szCs w:val="20"/>
          <w:lang w:val="en-GB"/>
        </w:rPr>
        <w:t>: Structural components of the selected GZH and LPC multi-residential buildings (* frame ratio of all windows calculated by measuring the glazing and frame areas; g-value stands for energy transmittance of the glazing)</w:t>
      </w:r>
    </w:p>
    <w:tbl>
      <w:tblPr>
        <w:tblW w:w="9327" w:type="dxa"/>
        <w:tblLook w:val="04A0" w:firstRow="1" w:lastRow="0" w:firstColumn="1" w:lastColumn="0" w:noHBand="0" w:noVBand="1"/>
      </w:tblPr>
      <w:tblGrid>
        <w:gridCol w:w="1701"/>
        <w:gridCol w:w="3813"/>
        <w:gridCol w:w="3813"/>
      </w:tblGrid>
      <w:tr w:rsidR="008206ED" w:rsidRPr="008E3389"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206ED" w:rsidRPr="008E3389" w:rsidRDefault="008206ED" w:rsidP="00D823BB">
            <w:pPr>
              <w:spacing w:line="360" w:lineRule="auto"/>
              <w:jc w:val="left"/>
              <w:rPr>
                <w:rFonts w:cs="Arial"/>
                <w:b/>
                <w:bCs/>
                <w:sz w:val="20"/>
                <w:szCs w:val="20"/>
                <w:lang w:val="en-GB" w:eastAsia="en-GB"/>
              </w:rPr>
            </w:pPr>
            <w:r w:rsidRPr="6265E0C6">
              <w:rPr>
                <w:rFonts w:cs="Arial"/>
                <w:b/>
                <w:bCs/>
                <w:sz w:val="20"/>
                <w:szCs w:val="20"/>
                <w:lang w:val="en-GB" w:eastAsia="en-GB"/>
              </w:rPr>
              <w:t>Component</w:t>
            </w:r>
          </w:p>
        </w:tc>
        <w:tc>
          <w:tcPr>
            <w:tcW w:w="3813" w:type="dxa"/>
            <w:tcBorders>
              <w:top w:val="single" w:sz="4" w:space="0" w:color="auto"/>
              <w:left w:val="single" w:sz="4" w:space="0" w:color="auto"/>
              <w:bottom w:val="single" w:sz="4" w:space="0" w:color="auto"/>
              <w:right w:val="nil"/>
            </w:tcBorders>
            <w:shd w:val="clear" w:color="auto" w:fill="auto"/>
            <w:noWrap/>
            <w:vAlign w:val="center"/>
            <w:hideMark/>
          </w:tcPr>
          <w:p w:rsidR="008206ED" w:rsidRPr="008E3389" w:rsidRDefault="008206ED" w:rsidP="00D823BB">
            <w:pPr>
              <w:spacing w:line="360" w:lineRule="auto"/>
              <w:jc w:val="left"/>
              <w:rPr>
                <w:rFonts w:cs="Arial"/>
                <w:b/>
                <w:bCs/>
                <w:color w:val="0563C1"/>
                <w:sz w:val="20"/>
                <w:szCs w:val="20"/>
                <w:u w:val="single"/>
                <w:lang w:val="en-GB" w:eastAsia="en-GB"/>
              </w:rPr>
            </w:pPr>
            <w:r w:rsidRPr="6265E0C6">
              <w:rPr>
                <w:rFonts w:cs="Arial"/>
                <w:b/>
                <w:bCs/>
                <w:sz w:val="20"/>
                <w:szCs w:val="20"/>
                <w:lang w:val="en-GB" w:eastAsia="en-GB"/>
              </w:rPr>
              <w:t>LPC building</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b/>
                <w:bCs/>
                <w:sz w:val="20"/>
                <w:szCs w:val="20"/>
                <w:lang w:val="en-GB" w:eastAsia="en-GB"/>
              </w:rPr>
            </w:pPr>
            <w:r w:rsidRPr="6265E0C6">
              <w:rPr>
                <w:rFonts w:cs="Arial"/>
                <w:b/>
                <w:bCs/>
                <w:sz w:val="20"/>
                <w:szCs w:val="20"/>
                <w:lang w:val="en-GB" w:eastAsia="en-GB"/>
              </w:rPr>
              <w:t>GZH building</w:t>
            </w:r>
          </w:p>
        </w:tc>
      </w:tr>
      <w:tr w:rsidR="008206ED" w:rsidRPr="00823271"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Exterior walls</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sidRPr="00FD62BF">
              <w:rPr>
                <w:rFonts w:cs="Arial"/>
                <w:sz w:val="20"/>
                <w:szCs w:val="20"/>
                <w:lang w:val="en-GB" w:eastAsia="en-GB"/>
              </w:rPr>
              <w:t>three-layer</w:t>
            </w:r>
            <w:r>
              <w:rPr>
                <w:rFonts w:cs="Arial"/>
                <w:sz w:val="20"/>
                <w:szCs w:val="20"/>
                <w:lang w:val="en-GB" w:eastAsia="en-GB"/>
              </w:rPr>
              <w:t xml:space="preserve"> panel construction: 14 cm reinforced concrete, 6 cm polystyrene, 6 cm reinforced concrete with surface structure (U=0.56</w:t>
            </w:r>
            <w:r w:rsidRPr="6265E0C6">
              <w:rPr>
                <w:rFonts w:cs="Arial"/>
                <w:sz w:val="20"/>
                <w:szCs w:val="20"/>
                <w:lang w:val="en-GB" w:eastAsia="en-GB"/>
              </w:rPr>
              <w:t> W/(m²K))</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level 1 &amp; 2: 51 cm brick walls (U=0.84 W/(m²K));</w:t>
            </w:r>
          </w:p>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level 3 &amp; 4: 38 cm brick walls (U=1.06 W/(m²K));</w:t>
            </w:r>
          </w:p>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attic: 25 cm brick wall with 6 cm calcium silicate boards for interior insulation (U=0.43 W/(m²K))</w:t>
            </w:r>
          </w:p>
        </w:tc>
      </w:tr>
      <w:tr w:rsidR="008206ED" w:rsidRPr="00823271"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Interior walls</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Pr>
                <w:rFonts w:cs="Arial"/>
                <w:sz w:val="20"/>
                <w:szCs w:val="20"/>
                <w:lang w:val="en-GB" w:eastAsia="en-GB"/>
              </w:rPr>
              <w:t>15 cm and 7 cm reinforced concrete</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mainly 38 cm brick walls and some drywalls; in attic only drywalls</w:t>
            </w:r>
          </w:p>
        </w:tc>
      </w:tr>
      <w:tr w:rsidR="008206ED" w:rsidRPr="00823271"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Basement ceiling</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Pr>
                <w:rFonts w:cs="Arial"/>
                <w:sz w:val="20"/>
                <w:szCs w:val="20"/>
                <w:lang w:val="en-GB" w:eastAsia="en-GB"/>
              </w:rPr>
              <w:t>14 cm prestressed concrete, 2.5 cm mineral wool, 5 </w:t>
            </w:r>
            <w:r w:rsidRPr="00FD62BF">
              <w:rPr>
                <w:rFonts w:cs="Arial"/>
                <w:sz w:val="20"/>
                <w:szCs w:val="20"/>
                <w:lang w:val="en-GB" w:eastAsia="en-GB"/>
              </w:rPr>
              <w:t>cm anhydrite screed</w:t>
            </w:r>
            <w:r>
              <w:rPr>
                <w:rFonts w:cs="Arial"/>
                <w:sz w:val="20"/>
                <w:szCs w:val="20"/>
                <w:lang w:val="en-GB" w:eastAsia="en-GB"/>
              </w:rPr>
              <w:t>, 0.5 cm flooring</w:t>
            </w:r>
            <w:r w:rsidRPr="00FD62BF">
              <w:rPr>
                <w:rFonts w:cs="Arial"/>
                <w:sz w:val="20"/>
                <w:szCs w:val="20"/>
                <w:lang w:val="en-GB" w:eastAsia="en-GB"/>
              </w:rPr>
              <w:t xml:space="preserve"> </w:t>
            </w:r>
            <w:r>
              <w:rPr>
                <w:rFonts w:cs="Arial"/>
                <w:sz w:val="20"/>
                <w:szCs w:val="20"/>
                <w:lang w:val="en-GB" w:eastAsia="en-GB"/>
              </w:rPr>
              <w:t>(U = 1.17</w:t>
            </w:r>
            <w:r w:rsidRPr="00FD62BF">
              <w:rPr>
                <w:rFonts w:cs="Arial"/>
                <w:sz w:val="20"/>
                <w:szCs w:val="20"/>
                <w:lang w:val="en-GB" w:eastAsia="en-GB"/>
              </w:rPr>
              <w:t xml:space="preserve"> W/</w:t>
            </w:r>
            <w:r>
              <w:rPr>
                <w:rFonts w:cs="Arial"/>
                <w:sz w:val="20"/>
                <w:szCs w:val="20"/>
                <w:lang w:val="en-GB" w:eastAsia="en-GB"/>
              </w:rPr>
              <w:t>(</w:t>
            </w:r>
            <w:r w:rsidRPr="00FD62BF">
              <w:rPr>
                <w:rFonts w:cs="Arial"/>
                <w:sz w:val="20"/>
                <w:szCs w:val="20"/>
                <w:lang w:val="en-GB" w:eastAsia="en-GB"/>
              </w:rPr>
              <w:t>m²K</w:t>
            </w:r>
            <w:r>
              <w:rPr>
                <w:rFonts w:cs="Arial"/>
                <w:sz w:val="20"/>
                <w:szCs w:val="20"/>
                <w:lang w:val="en-GB" w:eastAsia="en-GB"/>
              </w:rPr>
              <w:t>))</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14 cm prestressed concrete / 6 cm polystyrene insulation / 6 cm anhydrite screed / flooring (U=0.48 W/(m²K))</w:t>
            </w:r>
          </w:p>
        </w:tc>
      </w:tr>
      <w:tr w:rsidR="008206ED" w:rsidRPr="00823271"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Ceilings</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Pr>
                <w:rFonts w:cs="Arial"/>
                <w:sz w:val="20"/>
                <w:szCs w:val="20"/>
                <w:lang w:val="en-GB" w:eastAsia="en-GB"/>
              </w:rPr>
              <w:t>14 </w:t>
            </w:r>
            <w:r w:rsidRPr="00FD62BF">
              <w:rPr>
                <w:rFonts w:cs="Arial"/>
                <w:sz w:val="20"/>
                <w:szCs w:val="20"/>
                <w:lang w:val="en-GB" w:eastAsia="en-GB"/>
              </w:rPr>
              <w:t>cm prestressed concrete</w:t>
            </w:r>
            <w:r>
              <w:rPr>
                <w:rFonts w:cs="Arial"/>
                <w:sz w:val="20"/>
                <w:szCs w:val="20"/>
                <w:lang w:val="en-GB" w:eastAsia="en-GB"/>
              </w:rPr>
              <w:t>, 1 cm anhydrite screed, 0.5 </w:t>
            </w:r>
            <w:r w:rsidRPr="00FD62BF">
              <w:rPr>
                <w:rFonts w:cs="Arial"/>
                <w:sz w:val="20"/>
                <w:szCs w:val="20"/>
                <w:lang w:val="en-GB" w:eastAsia="en-GB"/>
              </w:rPr>
              <w:t xml:space="preserve">cm </w:t>
            </w:r>
            <w:r>
              <w:rPr>
                <w:rFonts w:cs="Arial"/>
                <w:sz w:val="20"/>
                <w:szCs w:val="20"/>
                <w:lang w:val="en-GB" w:eastAsia="en-GB"/>
              </w:rPr>
              <w:t xml:space="preserve">flooring </w:t>
            </w:r>
            <w:r>
              <w:rPr>
                <w:rFonts w:cs="Arial"/>
                <w:sz w:val="20"/>
                <w:szCs w:val="20"/>
                <w:lang w:val="en-GB" w:eastAsia="en-GB"/>
              </w:rPr>
              <w:br/>
              <w:t>(U = 3.8</w:t>
            </w:r>
            <w:r w:rsidRPr="00FD62BF">
              <w:rPr>
                <w:rFonts w:cs="Arial"/>
                <w:sz w:val="20"/>
                <w:szCs w:val="20"/>
                <w:lang w:val="en-GB" w:eastAsia="en-GB"/>
              </w:rPr>
              <w:t xml:space="preserve"> W/</w:t>
            </w:r>
            <w:r>
              <w:rPr>
                <w:rFonts w:cs="Arial"/>
                <w:sz w:val="20"/>
                <w:szCs w:val="20"/>
                <w:lang w:val="en-GB" w:eastAsia="en-GB"/>
              </w:rPr>
              <w:t>(</w:t>
            </w:r>
            <w:r w:rsidRPr="00FD62BF">
              <w:rPr>
                <w:rFonts w:cs="Arial"/>
                <w:sz w:val="20"/>
                <w:szCs w:val="20"/>
                <w:lang w:val="en-GB" w:eastAsia="en-GB"/>
              </w:rPr>
              <w:t>m²K</w:t>
            </w:r>
            <w:r>
              <w:rPr>
                <w:rFonts w:cs="Arial"/>
                <w:sz w:val="20"/>
                <w:szCs w:val="20"/>
                <w:lang w:val="en-GB" w:eastAsia="en-GB"/>
              </w:rPr>
              <w:t>))</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suspended wooden beam ceilings / 1 cm mineral wool / 2 cm dry screed / flooring (U=0.63 W/(m²K))</w:t>
            </w:r>
          </w:p>
        </w:tc>
      </w:tr>
      <w:tr w:rsidR="008206ED" w:rsidRPr="005F61B2"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Top-floor ceiling</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Pr>
                <w:rFonts w:cs="Arial"/>
                <w:sz w:val="20"/>
                <w:szCs w:val="20"/>
                <w:lang w:val="en-GB" w:eastAsia="en-GB"/>
              </w:rPr>
              <w:t>14 </w:t>
            </w:r>
            <w:r w:rsidRPr="00FD62BF">
              <w:rPr>
                <w:rFonts w:cs="Arial"/>
                <w:sz w:val="20"/>
                <w:szCs w:val="20"/>
                <w:lang w:val="en-GB" w:eastAsia="en-GB"/>
              </w:rPr>
              <w:t>cm prestressed concrete</w:t>
            </w:r>
            <w:r>
              <w:rPr>
                <w:rFonts w:cs="Arial"/>
                <w:sz w:val="20"/>
                <w:szCs w:val="20"/>
                <w:lang w:val="en-GB" w:eastAsia="en-GB"/>
              </w:rPr>
              <w:t>, 6 cm mineral wool</w:t>
            </w:r>
            <w:r w:rsidRPr="00FD62BF">
              <w:rPr>
                <w:rFonts w:cs="Arial"/>
                <w:sz w:val="20"/>
                <w:szCs w:val="20"/>
                <w:lang w:val="en-GB" w:eastAsia="en-GB"/>
              </w:rPr>
              <w:t xml:space="preserve"> </w:t>
            </w:r>
            <w:r>
              <w:rPr>
                <w:rFonts w:cs="Arial"/>
                <w:sz w:val="20"/>
                <w:szCs w:val="20"/>
                <w:lang w:val="en-GB" w:eastAsia="en-GB"/>
              </w:rPr>
              <w:t>(</w:t>
            </w:r>
            <w:r w:rsidRPr="00FD62BF">
              <w:rPr>
                <w:rFonts w:cs="Arial"/>
                <w:sz w:val="20"/>
                <w:szCs w:val="20"/>
                <w:lang w:val="en-GB" w:eastAsia="en-GB"/>
              </w:rPr>
              <w:t>U = 1.0 W/</w:t>
            </w:r>
            <w:r>
              <w:rPr>
                <w:rFonts w:cs="Arial"/>
                <w:sz w:val="20"/>
                <w:szCs w:val="20"/>
                <w:lang w:val="en-GB" w:eastAsia="en-GB"/>
              </w:rPr>
              <w:t>(</w:t>
            </w:r>
            <w:r w:rsidRPr="00FD62BF">
              <w:rPr>
                <w:rFonts w:cs="Arial"/>
                <w:sz w:val="20"/>
                <w:szCs w:val="20"/>
                <w:lang w:val="en-GB" w:eastAsia="en-GB"/>
              </w:rPr>
              <w:t>m²K</w:t>
            </w:r>
            <w:r>
              <w:rPr>
                <w:rFonts w:cs="Arial"/>
                <w:sz w:val="20"/>
                <w:szCs w:val="20"/>
                <w:lang w:val="en-GB" w:eastAsia="en-GB"/>
              </w:rPr>
              <w:t>))</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w:t>
            </w:r>
          </w:p>
        </w:tc>
      </w:tr>
      <w:tr w:rsidR="008206ED" w:rsidRPr="00823271"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Roof</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Pr>
                <w:rFonts w:cs="Arial"/>
                <w:sz w:val="20"/>
                <w:szCs w:val="20"/>
                <w:lang w:val="en-GB" w:eastAsia="en-GB"/>
              </w:rPr>
              <w:t>Flat</w:t>
            </w:r>
            <w:r w:rsidRPr="005523C0">
              <w:rPr>
                <w:rFonts w:cs="Arial"/>
                <w:sz w:val="20"/>
                <w:szCs w:val="20"/>
                <w:lang w:val="en-GB" w:eastAsia="en-GB"/>
              </w:rPr>
              <w:t xml:space="preserve"> roof of reinforced concrete</w:t>
            </w:r>
            <w:r>
              <w:rPr>
                <w:rFonts w:cs="Arial"/>
                <w:sz w:val="20"/>
                <w:szCs w:val="20"/>
                <w:lang w:val="en-GB" w:eastAsia="en-GB"/>
              </w:rPr>
              <w:t>, cassette panels</w:t>
            </w:r>
            <w:r w:rsidRPr="005523C0">
              <w:rPr>
                <w:rFonts w:cs="Arial"/>
                <w:sz w:val="20"/>
                <w:szCs w:val="20"/>
                <w:lang w:val="en-GB" w:eastAsia="en-GB"/>
              </w:rPr>
              <w:t xml:space="preserve"> (cold roof)</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Saddle roof with 16 cm between-rafter mineral wool insulation and 2.5 cm plasterboard interior (U=0.21 W/(m²K))</w:t>
            </w:r>
          </w:p>
        </w:tc>
      </w:tr>
      <w:tr w:rsidR="008206ED" w:rsidRPr="00823271" w:rsidTr="00D823BB">
        <w:trPr>
          <w:trHeight w:val="300"/>
        </w:trPr>
        <w:tc>
          <w:tcPr>
            <w:tcW w:w="1701" w:type="dxa"/>
            <w:tcBorders>
              <w:top w:val="single" w:sz="4" w:space="0" w:color="auto"/>
              <w:left w:val="nil"/>
              <w:bottom w:val="single" w:sz="4" w:space="0" w:color="auto"/>
              <w:right w:val="single" w:sz="4" w:space="0" w:color="auto"/>
            </w:tcBorders>
            <w:shd w:val="clear" w:color="auto" w:fill="auto"/>
            <w:noWrap/>
            <w:vAlign w:val="center"/>
          </w:tcPr>
          <w:p w:rsidR="008206ED" w:rsidRPr="008E3389" w:rsidRDefault="008206ED" w:rsidP="00D823BB">
            <w:pPr>
              <w:spacing w:line="360" w:lineRule="auto"/>
              <w:rPr>
                <w:rFonts w:cs="Arial"/>
                <w:b/>
                <w:bCs/>
                <w:sz w:val="20"/>
                <w:szCs w:val="20"/>
                <w:lang w:val="en-GB" w:eastAsia="en-GB"/>
              </w:rPr>
            </w:pPr>
            <w:r w:rsidRPr="6265E0C6">
              <w:rPr>
                <w:rFonts w:cs="Arial"/>
                <w:b/>
                <w:bCs/>
                <w:sz w:val="20"/>
                <w:szCs w:val="20"/>
                <w:lang w:val="en-GB" w:eastAsia="en-GB"/>
              </w:rPr>
              <w:t>Windows</w:t>
            </w:r>
          </w:p>
        </w:tc>
        <w:tc>
          <w:tcPr>
            <w:tcW w:w="3813" w:type="dxa"/>
            <w:tcBorders>
              <w:top w:val="single" w:sz="4" w:space="0" w:color="auto"/>
              <w:left w:val="single" w:sz="4" w:space="0" w:color="auto"/>
              <w:bottom w:val="single" w:sz="4" w:space="0" w:color="auto"/>
              <w:right w:val="nil"/>
            </w:tcBorders>
            <w:shd w:val="clear" w:color="auto" w:fill="auto"/>
            <w:noWrap/>
            <w:vAlign w:val="center"/>
          </w:tcPr>
          <w:p w:rsidR="008206ED" w:rsidRPr="008E3389" w:rsidRDefault="008206ED" w:rsidP="00D823BB">
            <w:pPr>
              <w:spacing w:line="360" w:lineRule="auto"/>
              <w:jc w:val="left"/>
              <w:rPr>
                <w:rFonts w:cs="Arial"/>
                <w:sz w:val="20"/>
                <w:szCs w:val="20"/>
                <w:lang w:val="en-GB" w:eastAsia="en-GB"/>
              </w:rPr>
            </w:pPr>
            <w:r w:rsidRPr="005523C0">
              <w:rPr>
                <w:rFonts w:cs="Arial"/>
                <w:sz w:val="20"/>
                <w:szCs w:val="20"/>
                <w:lang w:val="en-GB" w:eastAsia="en-GB"/>
              </w:rPr>
              <w:t>double insulation glazing (U</w:t>
            </w:r>
            <w:r w:rsidRPr="00A65827">
              <w:rPr>
                <w:rFonts w:cs="Arial"/>
                <w:sz w:val="20"/>
                <w:szCs w:val="20"/>
                <w:vertAlign w:val="subscript"/>
                <w:lang w:val="en-GB" w:eastAsia="en-GB"/>
              </w:rPr>
              <w:t>w</w:t>
            </w:r>
            <w:r>
              <w:rPr>
                <w:rFonts w:cs="Arial"/>
                <w:sz w:val="20"/>
                <w:szCs w:val="20"/>
                <w:lang w:val="en-GB" w:eastAsia="en-GB"/>
              </w:rPr>
              <w:t> </w:t>
            </w:r>
            <w:r w:rsidRPr="005523C0">
              <w:rPr>
                <w:rFonts w:cs="Arial"/>
                <w:sz w:val="20"/>
                <w:szCs w:val="20"/>
                <w:lang w:val="en-GB" w:eastAsia="en-GB"/>
              </w:rPr>
              <w:t>=</w:t>
            </w:r>
            <w:r>
              <w:rPr>
                <w:rFonts w:cs="Arial"/>
                <w:sz w:val="20"/>
                <w:szCs w:val="20"/>
                <w:lang w:val="en-GB" w:eastAsia="en-GB"/>
              </w:rPr>
              <w:t> 2</w:t>
            </w:r>
            <w:r w:rsidRPr="005523C0">
              <w:rPr>
                <w:rFonts w:cs="Arial"/>
                <w:sz w:val="20"/>
                <w:szCs w:val="20"/>
                <w:lang w:val="en-GB" w:eastAsia="en-GB"/>
              </w:rPr>
              <w:t>.8 W/(m²K) and g</w:t>
            </w:r>
            <w:r>
              <w:rPr>
                <w:rFonts w:cs="Arial"/>
                <w:sz w:val="20"/>
                <w:szCs w:val="20"/>
                <w:lang w:val="en-GB" w:eastAsia="en-GB"/>
              </w:rPr>
              <w:t> </w:t>
            </w:r>
            <w:r w:rsidRPr="005523C0">
              <w:rPr>
                <w:rFonts w:cs="Arial"/>
                <w:sz w:val="20"/>
                <w:szCs w:val="20"/>
                <w:lang w:val="en-GB" w:eastAsia="en-GB"/>
              </w:rPr>
              <w:t>=</w:t>
            </w:r>
            <w:r>
              <w:rPr>
                <w:rFonts w:cs="Arial"/>
                <w:sz w:val="20"/>
                <w:szCs w:val="20"/>
                <w:lang w:val="en-GB" w:eastAsia="en-GB"/>
              </w:rPr>
              <w:t> </w:t>
            </w:r>
            <w:r w:rsidRPr="005523C0">
              <w:rPr>
                <w:rFonts w:cs="Arial"/>
                <w:sz w:val="20"/>
                <w:szCs w:val="20"/>
                <w:lang w:val="en-GB" w:eastAsia="en-GB"/>
              </w:rPr>
              <w:t>0.7</w:t>
            </w:r>
            <w:r>
              <w:rPr>
                <w:rFonts w:cs="Arial"/>
                <w:sz w:val="20"/>
                <w:szCs w:val="20"/>
                <w:lang w:val="en-GB" w:eastAsia="en-GB"/>
              </w:rPr>
              <w:t>5</w:t>
            </w:r>
            <w:r w:rsidRPr="005523C0">
              <w:rPr>
                <w:rFonts w:cs="Arial"/>
                <w:sz w:val="20"/>
                <w:szCs w:val="20"/>
                <w:lang w:val="en-GB" w:eastAsia="en-GB"/>
              </w:rPr>
              <w:t>)</w:t>
            </w:r>
          </w:p>
        </w:tc>
        <w:tc>
          <w:tcPr>
            <w:tcW w:w="3813" w:type="dxa"/>
            <w:tcBorders>
              <w:top w:val="single" w:sz="4" w:space="0" w:color="auto"/>
              <w:left w:val="single" w:sz="4" w:space="0" w:color="auto"/>
              <w:bottom w:val="single" w:sz="4" w:space="0" w:color="auto"/>
              <w:right w:val="nil"/>
            </w:tcBorders>
            <w:vAlign w:val="center"/>
          </w:tcPr>
          <w:p w:rsidR="008206ED" w:rsidRPr="008E3389" w:rsidRDefault="008206ED" w:rsidP="00D823BB">
            <w:pPr>
              <w:spacing w:line="360" w:lineRule="auto"/>
              <w:jc w:val="left"/>
              <w:rPr>
                <w:rFonts w:cs="Arial"/>
                <w:sz w:val="20"/>
                <w:szCs w:val="20"/>
                <w:lang w:val="en-GB" w:eastAsia="en-GB"/>
              </w:rPr>
            </w:pPr>
            <w:r w:rsidRPr="6265E0C6">
              <w:rPr>
                <w:rFonts w:cs="Arial"/>
                <w:sz w:val="20"/>
                <w:szCs w:val="20"/>
                <w:lang w:val="en-GB" w:eastAsia="en-GB"/>
              </w:rPr>
              <w:t>double insulation glazing (Uw</w:t>
            </w:r>
            <w:r>
              <w:rPr>
                <w:rFonts w:cs="Arial"/>
                <w:sz w:val="20"/>
                <w:szCs w:val="20"/>
                <w:lang w:val="en-GB" w:eastAsia="en-GB"/>
              </w:rPr>
              <w:t> </w:t>
            </w:r>
            <w:r w:rsidRPr="6265E0C6">
              <w:rPr>
                <w:rFonts w:cs="Arial"/>
                <w:sz w:val="20"/>
                <w:szCs w:val="20"/>
                <w:lang w:val="en-GB" w:eastAsia="en-GB"/>
              </w:rPr>
              <w:t>=</w:t>
            </w:r>
            <w:r>
              <w:rPr>
                <w:rFonts w:cs="Arial"/>
                <w:sz w:val="20"/>
                <w:szCs w:val="20"/>
                <w:lang w:val="en-GB" w:eastAsia="en-GB"/>
              </w:rPr>
              <w:t> </w:t>
            </w:r>
            <w:r w:rsidRPr="6265E0C6">
              <w:rPr>
                <w:rFonts w:cs="Arial"/>
                <w:sz w:val="20"/>
                <w:szCs w:val="20"/>
                <w:lang w:val="en-GB" w:eastAsia="en-GB"/>
              </w:rPr>
              <w:t>1.8 W/(m²K) and g</w:t>
            </w:r>
            <w:r>
              <w:rPr>
                <w:rFonts w:cs="Arial"/>
                <w:sz w:val="20"/>
                <w:szCs w:val="20"/>
                <w:lang w:val="en-GB" w:eastAsia="en-GB"/>
              </w:rPr>
              <w:t> </w:t>
            </w:r>
            <w:r w:rsidRPr="6265E0C6">
              <w:rPr>
                <w:rFonts w:cs="Arial"/>
                <w:sz w:val="20"/>
                <w:szCs w:val="20"/>
                <w:lang w:val="en-GB" w:eastAsia="en-GB"/>
              </w:rPr>
              <w:t>=</w:t>
            </w:r>
            <w:r>
              <w:rPr>
                <w:rFonts w:cs="Arial"/>
                <w:sz w:val="20"/>
                <w:szCs w:val="20"/>
                <w:lang w:val="en-GB" w:eastAsia="en-GB"/>
              </w:rPr>
              <w:t> </w:t>
            </w:r>
            <w:r w:rsidRPr="6265E0C6">
              <w:rPr>
                <w:rFonts w:cs="Arial"/>
                <w:sz w:val="20"/>
                <w:szCs w:val="20"/>
                <w:lang w:val="en-GB" w:eastAsia="en-GB"/>
              </w:rPr>
              <w:t>0.70) *</w:t>
            </w:r>
          </w:p>
        </w:tc>
      </w:tr>
    </w:tbl>
    <w:p w:rsidR="008206ED" w:rsidRDefault="008206ED" w:rsidP="008206ED">
      <w:pPr>
        <w:pStyle w:val="NoSpacing"/>
        <w:spacing w:line="360" w:lineRule="auto"/>
        <w:jc w:val="both"/>
      </w:pPr>
    </w:p>
    <w:p w:rsidR="008206ED" w:rsidRPr="000B1106" w:rsidRDefault="008206ED" w:rsidP="008206ED">
      <w:pPr>
        <w:spacing w:line="300" w:lineRule="auto"/>
        <w:rPr>
          <w:color w:val="auto"/>
          <w:lang w:val="en-GB"/>
        </w:rPr>
      </w:pPr>
    </w:p>
    <w:p w:rsidR="008206ED" w:rsidRPr="001528BE" w:rsidRDefault="008206ED" w:rsidP="008206ED">
      <w:pPr>
        <w:pStyle w:val="Heading2"/>
        <w:rPr>
          <w:b w:val="0"/>
          <w:i/>
          <w:sz w:val="28"/>
          <w:szCs w:val="28"/>
          <w:lang w:val="en-GB"/>
        </w:rPr>
      </w:pPr>
      <w:bookmarkStart w:id="2" w:name="_Ref78195842"/>
      <w:r w:rsidRPr="001528BE">
        <w:rPr>
          <w:b w:val="0"/>
          <w:i/>
          <w:sz w:val="28"/>
          <w:szCs w:val="28"/>
          <w:lang w:val="en-GB"/>
        </w:rPr>
        <w:t>Initial and boundary conditions for ENVI-met and HIRVAC</w:t>
      </w:r>
    </w:p>
    <w:p w:rsidR="008206ED" w:rsidRDefault="008206ED" w:rsidP="008206ED">
      <w:pPr>
        <w:spacing w:line="300" w:lineRule="auto"/>
        <w:rPr>
          <w:sz w:val="20"/>
          <w:szCs w:val="20"/>
          <w:lang w:val="en-GB"/>
        </w:rPr>
      </w:pPr>
    </w:p>
    <w:p w:rsidR="008206ED" w:rsidRPr="008A71B4" w:rsidRDefault="008206ED" w:rsidP="008206ED">
      <w:pPr>
        <w:spacing w:line="300" w:lineRule="auto"/>
        <w:rPr>
          <w:color w:val="auto"/>
          <w:sz w:val="20"/>
          <w:szCs w:val="20"/>
          <w:lang w:val="en-GB"/>
        </w:rPr>
      </w:pPr>
      <w:bookmarkStart w:id="3" w:name="_Ref78974465"/>
      <w:r w:rsidRPr="008A71B4">
        <w:rPr>
          <w:sz w:val="20"/>
          <w:szCs w:val="20"/>
          <w:lang w:val="en-GB"/>
        </w:rPr>
        <w:t xml:space="preserve">Table </w:t>
      </w:r>
      <w:r w:rsidRPr="008A71B4">
        <w:rPr>
          <w:sz w:val="20"/>
          <w:szCs w:val="20"/>
        </w:rPr>
        <w:fldChar w:fldCharType="begin"/>
      </w:r>
      <w:r w:rsidRPr="008A71B4">
        <w:rPr>
          <w:sz w:val="20"/>
          <w:szCs w:val="20"/>
          <w:lang w:val="en-GB"/>
        </w:rPr>
        <w:instrText xml:space="preserve"> SEQ Table \* ARABIC </w:instrText>
      </w:r>
      <w:r w:rsidRPr="008A71B4">
        <w:rPr>
          <w:sz w:val="20"/>
          <w:szCs w:val="20"/>
        </w:rPr>
        <w:fldChar w:fldCharType="separate"/>
      </w:r>
      <w:r>
        <w:rPr>
          <w:noProof/>
          <w:sz w:val="20"/>
          <w:szCs w:val="20"/>
          <w:lang w:val="en-GB"/>
        </w:rPr>
        <w:t>4</w:t>
      </w:r>
      <w:r w:rsidRPr="008A71B4">
        <w:rPr>
          <w:sz w:val="20"/>
          <w:szCs w:val="20"/>
        </w:rPr>
        <w:fldChar w:fldCharType="end"/>
      </w:r>
      <w:bookmarkEnd w:id="2"/>
      <w:bookmarkEnd w:id="3"/>
      <w:r w:rsidRPr="008A71B4">
        <w:rPr>
          <w:sz w:val="20"/>
          <w:szCs w:val="20"/>
          <w:lang w:val="en-GB"/>
        </w:rPr>
        <w:t xml:space="preserve">: </w:t>
      </w:r>
      <w:r w:rsidRPr="008A71B4">
        <w:rPr>
          <w:color w:val="auto"/>
          <w:sz w:val="20"/>
          <w:szCs w:val="20"/>
          <w:lang w:val="en-GB"/>
        </w:rPr>
        <w:t xml:space="preserve">Initial and boundary conditions for ENVI-met simulations in </w:t>
      </w:r>
      <w:r>
        <w:rPr>
          <w:color w:val="auto"/>
          <w:sz w:val="20"/>
          <w:szCs w:val="20"/>
          <w:lang w:val="en-GB"/>
        </w:rPr>
        <w:t xml:space="preserve">the districts of </w:t>
      </w:r>
      <w:r w:rsidRPr="008A71B4">
        <w:rPr>
          <w:color w:val="auto"/>
          <w:sz w:val="20"/>
          <w:szCs w:val="20"/>
          <w:lang w:val="en-GB"/>
        </w:rPr>
        <w:t>Dresden and Erfurt.</w:t>
      </w:r>
    </w:p>
    <w:tbl>
      <w:tblPr>
        <w:tblStyle w:val="GridTable1Light"/>
        <w:tblW w:w="0" w:type="auto"/>
        <w:tblLook w:val="04A0" w:firstRow="1" w:lastRow="0" w:firstColumn="1" w:lastColumn="0" w:noHBand="0" w:noVBand="1"/>
      </w:tblPr>
      <w:tblGrid>
        <w:gridCol w:w="4530"/>
        <w:gridCol w:w="4530"/>
      </w:tblGrid>
      <w:tr w:rsidR="008206ED" w:rsidRPr="000B1106" w:rsidTr="00D823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color w:val="auto"/>
                <w:lang w:val="en-GB"/>
              </w:rPr>
            </w:pPr>
            <w:r w:rsidRPr="000B1106">
              <w:rPr>
                <w:color w:val="auto"/>
                <w:lang w:val="en-GB"/>
              </w:rPr>
              <w:t>Parameter/variable</w:t>
            </w:r>
          </w:p>
        </w:tc>
        <w:tc>
          <w:tcPr>
            <w:tcW w:w="4530" w:type="dxa"/>
          </w:tcPr>
          <w:p w:rsidR="008206ED" w:rsidRPr="000B1106" w:rsidRDefault="008206ED" w:rsidP="00D823BB">
            <w:pPr>
              <w:spacing w:line="300" w:lineRule="auto"/>
              <w:cnfStyle w:val="100000000000" w:firstRow="1" w:lastRow="0" w:firstColumn="0" w:lastColumn="0" w:oddVBand="0" w:evenVBand="0" w:oddHBand="0" w:evenHBand="0" w:firstRowFirstColumn="0" w:firstRowLastColumn="0" w:lastRowFirstColumn="0" w:lastRowLastColumn="0"/>
              <w:rPr>
                <w:color w:val="auto"/>
                <w:lang w:val="en-GB"/>
              </w:rPr>
            </w:pPr>
            <w:r w:rsidRPr="000B1106">
              <w:rPr>
                <w:color w:val="auto"/>
                <w:lang w:val="en-GB"/>
              </w:rPr>
              <w:t>Value</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GB"/>
              </w:rPr>
            </w:pPr>
            <w:r w:rsidRPr="000B1106">
              <w:rPr>
                <w:b w:val="0"/>
                <w:color w:val="auto"/>
                <w:lang w:val="en-GB"/>
              </w:rPr>
              <w:t>Soil type</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sidRPr="000B1106">
              <w:rPr>
                <w:color w:val="auto"/>
                <w:lang w:val="en-GB"/>
              </w:rPr>
              <w:t>loam</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GB"/>
              </w:rPr>
            </w:pPr>
            <w:r w:rsidRPr="000B1106">
              <w:rPr>
                <w:b w:val="0"/>
                <w:color w:val="auto"/>
                <w:lang w:val="en-GB"/>
              </w:rPr>
              <w:t>Soil temperature (</w:t>
            </w:r>
            <w:r w:rsidRPr="000B1106">
              <w:rPr>
                <w:b w:val="0"/>
                <w:color w:val="auto"/>
              </w:rPr>
              <w:t>0-50 cm depth)</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sidRPr="000B1106">
              <w:rPr>
                <w:color w:val="auto"/>
                <w:lang w:val="en-GB"/>
              </w:rPr>
              <w:t>21 °C</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color w:val="auto"/>
                <w:lang w:val="en-GB"/>
              </w:rPr>
            </w:pPr>
            <w:r w:rsidRPr="000B1106">
              <w:rPr>
                <w:b w:val="0"/>
                <w:color w:val="auto"/>
                <w:lang w:val="en-US"/>
              </w:rPr>
              <w:t xml:space="preserve">Soil moisture (0-50 cm depth) </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sidRPr="000B1106">
              <w:rPr>
                <w:color w:val="auto"/>
                <w:lang w:val="en-US"/>
              </w:rPr>
              <w:t>20 % (related to field capacity)</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color w:val="auto"/>
                <w:lang w:val="en-GB"/>
              </w:rPr>
            </w:pPr>
            <w:r w:rsidRPr="000B1106">
              <w:rPr>
                <w:b w:val="0"/>
                <w:color w:val="auto"/>
                <w:lang w:val="en-US"/>
              </w:rPr>
              <w:t>Air temperature (2 m AGL)</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sidRPr="000B1106">
              <w:rPr>
                <w:color w:val="auto"/>
                <w:lang w:val="en-GB"/>
              </w:rPr>
              <w:t>28 °C</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Relative air humidity (2 m AGL)</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sidRPr="000B1106">
              <w:rPr>
                <w:color w:val="auto"/>
                <w:lang w:val="en-GB"/>
              </w:rPr>
              <w:t>50 %</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Horizontal wind speed in 10 m AGL</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vertAlign w:val="superscript"/>
                <w:lang w:val="en-GB"/>
              </w:rPr>
            </w:pPr>
            <w:r w:rsidRPr="000B1106">
              <w:rPr>
                <w:color w:val="auto"/>
                <w:lang w:val="en-US"/>
              </w:rPr>
              <w:t>4 m s</w:t>
            </w:r>
            <w:r w:rsidRPr="000B1106">
              <w:rPr>
                <w:color w:val="auto"/>
                <w:vertAlign w:val="superscript"/>
                <w:lang w:val="en-US"/>
              </w:rPr>
              <w:t>-1</w:t>
            </w:r>
          </w:p>
        </w:tc>
      </w:tr>
      <w:tr w:rsidR="008206ED" w:rsidRPr="00823271"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 xml:space="preserve">Wind direction </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US"/>
              </w:rPr>
            </w:pPr>
            <w:r w:rsidRPr="000B1106">
              <w:rPr>
                <w:color w:val="auto"/>
                <w:lang w:val="en-US"/>
              </w:rPr>
              <w:t>150 degrees (i.e., south-east wind)</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 xml:space="preserve">Model (core) domain </w:t>
            </w:r>
            <w:r>
              <w:rPr>
                <w:b w:val="0"/>
                <w:color w:val="auto"/>
                <w:lang w:val="en-US"/>
              </w:rPr>
              <w:t>(</w:t>
            </w:r>
            <w:r w:rsidRPr="000B1106">
              <w:rPr>
                <w:b w:val="0"/>
                <w:color w:val="auto"/>
                <w:lang w:val="en-US"/>
              </w:rPr>
              <w:t>number of grid points in x-y direction</w:t>
            </w:r>
            <w:r>
              <w:rPr>
                <w:b w:val="0"/>
                <w:color w:val="auto"/>
                <w:lang w:val="en-US"/>
              </w:rPr>
              <w:t>)</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rPr>
            </w:pPr>
            <w:r w:rsidRPr="000B1106">
              <w:rPr>
                <w:color w:val="auto"/>
              </w:rPr>
              <w:t>Erfurt: 948 m x 972 m (237x243)</w:t>
            </w:r>
          </w:p>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rPr>
            </w:pPr>
            <w:r w:rsidRPr="000B1106">
              <w:rPr>
                <w:color w:val="auto"/>
              </w:rPr>
              <w:t>Dresden: 972 m x 716 m (243x179)</w:t>
            </w:r>
          </w:p>
        </w:tc>
      </w:tr>
    </w:tbl>
    <w:p w:rsidR="008206ED" w:rsidRPr="00CE14A6" w:rsidRDefault="008206ED" w:rsidP="008206ED">
      <w:pPr>
        <w:spacing w:line="300" w:lineRule="auto"/>
        <w:rPr>
          <w:color w:val="auto"/>
          <w:sz w:val="20"/>
          <w:szCs w:val="20"/>
        </w:rPr>
      </w:pPr>
    </w:p>
    <w:p w:rsidR="008206ED" w:rsidRPr="00CE14A6" w:rsidRDefault="008206ED" w:rsidP="008206ED">
      <w:pPr>
        <w:spacing w:line="300" w:lineRule="auto"/>
        <w:rPr>
          <w:color w:val="auto"/>
          <w:sz w:val="20"/>
          <w:szCs w:val="20"/>
        </w:rPr>
      </w:pPr>
    </w:p>
    <w:p w:rsidR="008206ED" w:rsidRPr="00DE6C0F" w:rsidRDefault="008206ED" w:rsidP="008206ED">
      <w:pPr>
        <w:spacing w:line="300" w:lineRule="auto"/>
        <w:rPr>
          <w:color w:val="auto"/>
          <w:sz w:val="20"/>
          <w:szCs w:val="20"/>
          <w:lang w:val="en-GB"/>
        </w:rPr>
      </w:pPr>
      <w:bookmarkStart w:id="4" w:name="_Ref78793064"/>
      <w:r w:rsidRPr="00DE6C0F">
        <w:rPr>
          <w:sz w:val="20"/>
          <w:szCs w:val="20"/>
          <w:lang w:val="en-GB"/>
        </w:rPr>
        <w:t xml:space="preserve">Table </w:t>
      </w:r>
      <w:r w:rsidRPr="00DE6C0F">
        <w:rPr>
          <w:sz w:val="20"/>
          <w:szCs w:val="20"/>
        </w:rPr>
        <w:fldChar w:fldCharType="begin"/>
      </w:r>
      <w:r w:rsidRPr="00DE6C0F">
        <w:rPr>
          <w:sz w:val="20"/>
          <w:szCs w:val="20"/>
          <w:lang w:val="en-GB"/>
        </w:rPr>
        <w:instrText xml:space="preserve"> SEQ Table \* ARABIC </w:instrText>
      </w:r>
      <w:r w:rsidRPr="00DE6C0F">
        <w:rPr>
          <w:sz w:val="20"/>
          <w:szCs w:val="20"/>
        </w:rPr>
        <w:fldChar w:fldCharType="separate"/>
      </w:r>
      <w:r>
        <w:rPr>
          <w:noProof/>
          <w:sz w:val="20"/>
          <w:szCs w:val="20"/>
          <w:lang w:val="en-GB"/>
        </w:rPr>
        <w:t>5</w:t>
      </w:r>
      <w:r w:rsidRPr="00DE6C0F">
        <w:rPr>
          <w:sz w:val="20"/>
          <w:szCs w:val="20"/>
        </w:rPr>
        <w:fldChar w:fldCharType="end"/>
      </w:r>
      <w:bookmarkEnd w:id="4"/>
      <w:r w:rsidRPr="00DE6C0F">
        <w:rPr>
          <w:sz w:val="20"/>
          <w:szCs w:val="20"/>
          <w:lang w:val="en-GB"/>
        </w:rPr>
        <w:t xml:space="preserve">: </w:t>
      </w:r>
      <w:r w:rsidRPr="00DE6C0F">
        <w:rPr>
          <w:color w:val="auto"/>
          <w:sz w:val="20"/>
          <w:szCs w:val="20"/>
          <w:lang w:val="en-GB"/>
        </w:rPr>
        <w:t>Initial and boundary conditions for HIRVAC simulations in the districts of Dresden and Erfurt.</w:t>
      </w:r>
    </w:p>
    <w:tbl>
      <w:tblPr>
        <w:tblStyle w:val="GridTable1Light"/>
        <w:tblW w:w="0" w:type="auto"/>
        <w:tblLook w:val="04A0" w:firstRow="1" w:lastRow="0" w:firstColumn="1" w:lastColumn="0" w:noHBand="0" w:noVBand="1"/>
      </w:tblPr>
      <w:tblGrid>
        <w:gridCol w:w="4530"/>
        <w:gridCol w:w="4530"/>
      </w:tblGrid>
      <w:tr w:rsidR="008206ED" w:rsidRPr="000B1106" w:rsidTr="00D823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color w:val="auto"/>
                <w:lang w:val="en-GB"/>
              </w:rPr>
            </w:pPr>
            <w:r w:rsidRPr="000B1106">
              <w:rPr>
                <w:color w:val="auto"/>
                <w:lang w:val="en-GB"/>
              </w:rPr>
              <w:t>Parameter/variable</w:t>
            </w:r>
          </w:p>
        </w:tc>
        <w:tc>
          <w:tcPr>
            <w:tcW w:w="4530" w:type="dxa"/>
          </w:tcPr>
          <w:p w:rsidR="008206ED" w:rsidRPr="000B1106" w:rsidRDefault="008206ED" w:rsidP="00D823BB">
            <w:pPr>
              <w:spacing w:line="300" w:lineRule="auto"/>
              <w:cnfStyle w:val="100000000000" w:firstRow="1" w:lastRow="0" w:firstColumn="0" w:lastColumn="0" w:oddVBand="0" w:evenVBand="0" w:oddHBand="0" w:evenHBand="0" w:firstRowFirstColumn="0" w:firstRowLastColumn="0" w:lastRowFirstColumn="0" w:lastRowLastColumn="0"/>
              <w:rPr>
                <w:color w:val="auto"/>
                <w:lang w:val="en-GB"/>
              </w:rPr>
            </w:pPr>
            <w:r w:rsidRPr="000B1106">
              <w:rPr>
                <w:color w:val="auto"/>
                <w:lang w:val="en-GB"/>
              </w:rPr>
              <w:t>Value</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GB"/>
              </w:rPr>
            </w:pPr>
            <w:r w:rsidRPr="000B1106">
              <w:rPr>
                <w:b w:val="0"/>
                <w:color w:val="auto"/>
                <w:lang w:val="en-GB"/>
              </w:rPr>
              <w:t>Soil type</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sidRPr="000B1106">
              <w:rPr>
                <w:color w:val="auto"/>
                <w:lang w:val="en-GB"/>
              </w:rPr>
              <w:t>loam</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GB"/>
              </w:rPr>
            </w:pPr>
            <w:r w:rsidRPr="000B1106">
              <w:rPr>
                <w:b w:val="0"/>
                <w:color w:val="auto"/>
                <w:lang w:val="en-GB"/>
              </w:rPr>
              <w:t>Soil temperature (</w:t>
            </w:r>
            <w:r w:rsidRPr="000B1106">
              <w:rPr>
                <w:b w:val="0"/>
                <w:color w:val="auto"/>
              </w:rPr>
              <w:t>50 cm depth)</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19</w:t>
            </w:r>
            <w:r w:rsidRPr="000B1106">
              <w:rPr>
                <w:color w:val="auto"/>
                <w:lang w:val="en-GB"/>
              </w:rPr>
              <w:t> °C</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color w:val="auto"/>
                <w:lang w:val="en-GB"/>
              </w:rPr>
            </w:pPr>
            <w:r w:rsidRPr="000B1106">
              <w:rPr>
                <w:b w:val="0"/>
                <w:color w:val="auto"/>
                <w:lang w:val="en-US"/>
              </w:rPr>
              <w:t xml:space="preserve">Soil moisture (0-50 cm depth) </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US"/>
              </w:rPr>
              <w:t>3</w:t>
            </w:r>
            <w:r w:rsidRPr="000B1106">
              <w:rPr>
                <w:color w:val="auto"/>
                <w:lang w:val="en-US"/>
              </w:rPr>
              <w:t>0 % (related to field capacity)</w:t>
            </w:r>
          </w:p>
        </w:tc>
      </w:tr>
      <w:tr w:rsidR="008206ED" w:rsidRPr="000B1106"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color w:val="auto"/>
                <w:lang w:val="en-GB"/>
              </w:rPr>
            </w:pPr>
            <w:r>
              <w:rPr>
                <w:b w:val="0"/>
                <w:color w:val="auto"/>
                <w:lang w:val="en-US"/>
              </w:rPr>
              <w:t>Surface</w:t>
            </w:r>
            <w:r w:rsidRPr="000B1106">
              <w:rPr>
                <w:b w:val="0"/>
                <w:color w:val="auto"/>
                <w:lang w:val="en-US"/>
              </w:rPr>
              <w:t xml:space="preserve"> temperature (2 m AGL)</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19</w:t>
            </w:r>
            <w:r w:rsidRPr="000B1106">
              <w:rPr>
                <w:color w:val="auto"/>
                <w:lang w:val="en-GB"/>
              </w:rPr>
              <w:t> °C</w:t>
            </w:r>
          </w:p>
        </w:tc>
      </w:tr>
      <w:tr w:rsidR="008206ED" w:rsidRPr="00823271"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 xml:space="preserve">Horizontal wind speed in </w:t>
            </w:r>
            <w:r>
              <w:rPr>
                <w:b w:val="0"/>
                <w:color w:val="auto"/>
                <w:lang w:val="en-US"/>
              </w:rPr>
              <w:t>2</w:t>
            </w:r>
            <w:r w:rsidRPr="000B1106">
              <w:rPr>
                <w:b w:val="0"/>
                <w:color w:val="auto"/>
                <w:lang w:val="en-US"/>
              </w:rPr>
              <w:t> </w:t>
            </w:r>
            <w:r>
              <w:rPr>
                <w:b w:val="0"/>
                <w:color w:val="auto"/>
                <w:lang w:val="en-US"/>
              </w:rPr>
              <w:t>k</w:t>
            </w:r>
            <w:r w:rsidRPr="000B1106">
              <w:rPr>
                <w:b w:val="0"/>
                <w:color w:val="auto"/>
                <w:lang w:val="en-US"/>
              </w:rPr>
              <w:t>m AGL</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US"/>
              </w:rPr>
              <w:t>6.6</w:t>
            </w:r>
            <w:r w:rsidRPr="000B1106">
              <w:rPr>
                <w:color w:val="auto"/>
                <w:lang w:val="en-US"/>
              </w:rPr>
              <w:t> m s</w:t>
            </w:r>
            <w:r w:rsidRPr="000B1106">
              <w:rPr>
                <w:color w:val="auto"/>
                <w:vertAlign w:val="superscript"/>
                <w:lang w:val="en-US"/>
              </w:rPr>
              <w:t>-1</w:t>
            </w:r>
            <w:r>
              <w:rPr>
                <w:color w:val="auto"/>
                <w:vertAlign w:val="superscript"/>
                <w:lang w:val="en-US"/>
              </w:rPr>
              <w:t xml:space="preserve"> </w:t>
            </w:r>
            <w:r w:rsidRPr="00DE6C0F">
              <w:rPr>
                <w:color w:val="auto"/>
                <w:lang w:val="en-US"/>
              </w:rPr>
              <w:t xml:space="preserve">(leads to similar </w:t>
            </w:r>
            <w:r w:rsidRPr="00ED1E2E">
              <w:rPr>
                <w:color w:val="auto"/>
                <w:lang w:val="en-GB"/>
              </w:rPr>
              <w:t>ini</w:t>
            </w:r>
            <w:r>
              <w:rPr>
                <w:color w:val="auto"/>
                <w:lang w:val="en-GB"/>
              </w:rPr>
              <w:t>tial wind speed in 10 m AGL as in ENVI-met)</w:t>
            </w:r>
          </w:p>
        </w:tc>
      </w:tr>
      <w:tr w:rsidR="008206ED" w:rsidRPr="00823271"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 xml:space="preserve">Wind direction </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vertAlign w:val="superscript"/>
                <w:lang w:val="en-GB"/>
              </w:rPr>
            </w:pPr>
            <w:r w:rsidRPr="000B1106">
              <w:rPr>
                <w:color w:val="auto"/>
                <w:lang w:val="en-US"/>
              </w:rPr>
              <w:t>150 degrees (i.e., south-east wind)</w:t>
            </w:r>
          </w:p>
        </w:tc>
      </w:tr>
      <w:tr w:rsidR="008206ED" w:rsidRPr="00906529"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sidRPr="000B1106">
              <w:rPr>
                <w:b w:val="0"/>
                <w:color w:val="auto"/>
                <w:lang w:val="en-US"/>
              </w:rPr>
              <w:t xml:space="preserve">Model (core) domain </w:t>
            </w:r>
            <w:r>
              <w:rPr>
                <w:b w:val="0"/>
                <w:color w:val="auto"/>
                <w:lang w:val="en-US"/>
              </w:rPr>
              <w:t>(</w:t>
            </w:r>
            <w:r w:rsidRPr="000B1106">
              <w:rPr>
                <w:b w:val="0"/>
                <w:color w:val="auto"/>
                <w:lang w:val="en-US"/>
              </w:rPr>
              <w:t xml:space="preserve">number of </w:t>
            </w:r>
            <w:r>
              <w:rPr>
                <w:b w:val="0"/>
                <w:color w:val="auto"/>
                <w:lang w:val="en-US"/>
              </w:rPr>
              <w:t>layers in z-direction)</w:t>
            </w:r>
          </w:p>
        </w:tc>
        <w:tc>
          <w:tcPr>
            <w:tcW w:w="4530" w:type="dxa"/>
          </w:tcPr>
          <w:p w:rsidR="008206ED" w:rsidRPr="000B1106"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US"/>
              </w:rPr>
            </w:pPr>
            <w:r>
              <w:rPr>
                <w:color w:val="auto"/>
                <w:lang w:val="en-US"/>
              </w:rPr>
              <w:t>120</w:t>
            </w:r>
          </w:p>
        </w:tc>
      </w:tr>
      <w:tr w:rsidR="008206ED" w:rsidRPr="00823271"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0B1106" w:rsidRDefault="008206ED" w:rsidP="00D823BB">
            <w:pPr>
              <w:spacing w:line="300" w:lineRule="auto"/>
              <w:rPr>
                <w:b w:val="0"/>
                <w:color w:val="auto"/>
                <w:lang w:val="en-US"/>
              </w:rPr>
            </w:pPr>
            <w:r>
              <w:rPr>
                <w:b w:val="0"/>
                <w:color w:val="auto"/>
                <w:lang w:val="en-US"/>
              </w:rPr>
              <w:lastRenderedPageBreak/>
              <w:t>Surface coverage</w:t>
            </w:r>
          </w:p>
        </w:tc>
        <w:tc>
          <w:tcPr>
            <w:tcW w:w="4530" w:type="dxa"/>
          </w:tcPr>
          <w:p w:rsidR="008206ED" w:rsidRPr="00DE6C0F"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US"/>
              </w:rPr>
            </w:pPr>
            <w:r w:rsidRPr="00DE6C0F">
              <w:rPr>
                <w:color w:val="auto"/>
                <w:lang w:val="en-US"/>
              </w:rPr>
              <w:t xml:space="preserve">Sparse tree canopy: </w:t>
            </w:r>
            <w:r>
              <w:rPr>
                <w:lang w:val="en-GB"/>
              </w:rPr>
              <w:t>Leaf Area Index: 2, crown cover: 50%, vegetation height 8 m</w:t>
            </w:r>
          </w:p>
        </w:tc>
      </w:tr>
      <w:tr w:rsidR="008206ED" w:rsidRPr="00823271" w:rsidTr="00D823BB">
        <w:tc>
          <w:tcPr>
            <w:cnfStyle w:val="001000000000" w:firstRow="0" w:lastRow="0" w:firstColumn="1" w:lastColumn="0" w:oddVBand="0" w:evenVBand="0" w:oddHBand="0" w:evenHBand="0" w:firstRowFirstColumn="0" w:firstRowLastColumn="0" w:lastRowFirstColumn="0" w:lastRowLastColumn="0"/>
            <w:tcW w:w="4530" w:type="dxa"/>
          </w:tcPr>
          <w:p w:rsidR="008206ED" w:rsidRPr="00ED1E2E" w:rsidRDefault="008206ED" w:rsidP="00D823BB">
            <w:pPr>
              <w:spacing w:line="300" w:lineRule="auto"/>
              <w:rPr>
                <w:b w:val="0"/>
                <w:color w:val="auto"/>
                <w:lang w:val="en-US"/>
              </w:rPr>
            </w:pPr>
            <w:r w:rsidRPr="00ED1E2E">
              <w:rPr>
                <w:lang w:val="en-GB"/>
              </w:rPr>
              <w:t>Start Date</w:t>
            </w:r>
          </w:p>
        </w:tc>
        <w:tc>
          <w:tcPr>
            <w:tcW w:w="4530" w:type="dxa"/>
          </w:tcPr>
          <w:p w:rsidR="008206ED" w:rsidRPr="00ED1E2E" w:rsidRDefault="008206ED" w:rsidP="00D823BB">
            <w:pPr>
              <w:spacing w:line="300" w:lineRule="auto"/>
              <w:cnfStyle w:val="000000000000" w:firstRow="0" w:lastRow="0" w:firstColumn="0" w:lastColumn="0" w:oddVBand="0" w:evenVBand="0" w:oddHBand="0" w:evenHBand="0" w:firstRowFirstColumn="0" w:firstRowLastColumn="0" w:lastRowFirstColumn="0" w:lastRowLastColumn="0"/>
              <w:rPr>
                <w:color w:val="auto"/>
                <w:lang w:val="en-US"/>
              </w:rPr>
            </w:pPr>
            <w:r>
              <w:rPr>
                <w:lang w:val="en-GB"/>
              </w:rPr>
              <w:t>same as in the ENVI-met simulation</w:t>
            </w:r>
          </w:p>
        </w:tc>
      </w:tr>
    </w:tbl>
    <w:p w:rsidR="008206ED" w:rsidRPr="00DE6C0F" w:rsidRDefault="008206ED" w:rsidP="008206ED">
      <w:pPr>
        <w:pStyle w:val="NoSpacing"/>
        <w:spacing w:line="360" w:lineRule="auto"/>
        <w:jc w:val="both"/>
      </w:pPr>
    </w:p>
    <w:p w:rsidR="008206ED" w:rsidRPr="007357EA" w:rsidRDefault="008206ED" w:rsidP="008206ED">
      <w:pPr>
        <w:pStyle w:val="Heading2"/>
        <w:spacing w:line="360" w:lineRule="auto"/>
        <w:rPr>
          <w:i/>
          <w:iCs/>
          <w:sz w:val="28"/>
          <w:szCs w:val="28"/>
          <w:lang w:val="en-GB"/>
        </w:rPr>
      </w:pPr>
      <w:r>
        <w:rPr>
          <w:b w:val="0"/>
          <w:i/>
          <w:iCs/>
          <w:sz w:val="28"/>
          <w:szCs w:val="28"/>
          <w:lang w:val="en-GB"/>
        </w:rPr>
        <w:t>Boundary Conditions for Building Performance Simulation</w:t>
      </w:r>
    </w:p>
    <w:p w:rsidR="008206ED" w:rsidRPr="002C0C82" w:rsidRDefault="008206ED" w:rsidP="008206ED">
      <w:pPr>
        <w:pStyle w:val="ListParagraph"/>
        <w:numPr>
          <w:ilvl w:val="0"/>
          <w:numId w:val="2"/>
        </w:numPr>
        <w:spacing w:after="160" w:line="360" w:lineRule="auto"/>
        <w:jc w:val="left"/>
        <w:rPr>
          <w:color w:val="auto"/>
          <w:lang w:val="en-GB"/>
        </w:rPr>
      </w:pPr>
      <w:r w:rsidRPr="6265E0C6">
        <w:rPr>
          <w:color w:val="auto"/>
          <w:lang w:val="en-GB"/>
        </w:rPr>
        <w:t xml:space="preserve">Location LPC building in </w:t>
      </w:r>
      <w:r>
        <w:rPr>
          <w:color w:val="auto"/>
          <w:lang w:val="en-GB"/>
        </w:rPr>
        <w:t>Dresden Gorbitz</w:t>
      </w:r>
      <w:r w:rsidRPr="6265E0C6">
        <w:rPr>
          <w:color w:val="auto"/>
          <w:lang w:val="en-GB"/>
        </w:rPr>
        <w:t xml:space="preserve"> and GZH building in </w:t>
      </w:r>
      <w:r>
        <w:rPr>
          <w:color w:val="auto"/>
          <w:lang w:val="en-GB"/>
        </w:rPr>
        <w:t>Erfurt Oststadt</w:t>
      </w:r>
      <w:r w:rsidRPr="6265E0C6">
        <w:rPr>
          <w:color w:val="auto"/>
          <w:lang w:val="en-GB"/>
        </w:rPr>
        <w:t xml:space="preserve"> (both Germany)</w:t>
      </w:r>
    </w:p>
    <w:p w:rsidR="008206ED" w:rsidRPr="002C0C82" w:rsidRDefault="008206ED" w:rsidP="008206ED">
      <w:pPr>
        <w:pStyle w:val="ListParagraph"/>
        <w:numPr>
          <w:ilvl w:val="0"/>
          <w:numId w:val="2"/>
        </w:numPr>
        <w:spacing w:after="160" w:line="360" w:lineRule="auto"/>
        <w:jc w:val="left"/>
        <w:rPr>
          <w:rFonts w:cs="Arial"/>
          <w:color w:val="auto"/>
          <w:lang w:val="en-GB" w:eastAsia="en-US"/>
        </w:rPr>
      </w:pPr>
      <w:r w:rsidRPr="6265E0C6">
        <w:rPr>
          <w:rFonts w:cs="Arial"/>
          <w:color w:val="auto"/>
          <w:lang w:val="en-GB" w:eastAsia="en-US"/>
        </w:rPr>
        <w:t>Orientation of the buildings similar to reality</w:t>
      </w:r>
    </w:p>
    <w:p w:rsidR="008206ED" w:rsidRDefault="008206ED" w:rsidP="008206ED">
      <w:pPr>
        <w:pStyle w:val="ListParagraph"/>
        <w:numPr>
          <w:ilvl w:val="0"/>
          <w:numId w:val="2"/>
        </w:numPr>
        <w:spacing w:after="160" w:line="360" w:lineRule="auto"/>
        <w:jc w:val="left"/>
        <w:rPr>
          <w:color w:val="auto"/>
          <w:lang w:val="en-GB"/>
        </w:rPr>
      </w:pPr>
      <w:r w:rsidRPr="6265E0C6">
        <w:rPr>
          <w:color w:val="auto"/>
          <w:lang w:val="en-GB"/>
        </w:rPr>
        <w:t>Shading objects: shading of surrounding buildings and trees as well as by balconies was taken into account for the GZH building, for the LPC such shading objects were not present</w:t>
      </w:r>
    </w:p>
    <w:p w:rsidR="008206ED" w:rsidRPr="00BB2227" w:rsidRDefault="008206ED" w:rsidP="008206ED">
      <w:pPr>
        <w:pStyle w:val="ListParagraph"/>
        <w:numPr>
          <w:ilvl w:val="0"/>
          <w:numId w:val="2"/>
        </w:numPr>
        <w:spacing w:line="360" w:lineRule="auto"/>
        <w:ind w:left="357" w:hanging="357"/>
        <w:rPr>
          <w:color w:val="auto"/>
          <w:lang w:val="en-GB"/>
        </w:rPr>
      </w:pPr>
      <w:r w:rsidRPr="6265E0C6">
        <w:rPr>
          <w:color w:val="auto"/>
          <w:lang w:val="en-GB"/>
        </w:rPr>
        <w:t>No sun protection system was applied (are not present in both buildings)</w:t>
      </w:r>
    </w:p>
    <w:p w:rsidR="008206ED" w:rsidRPr="00DD0865" w:rsidRDefault="008206ED" w:rsidP="008206ED">
      <w:pPr>
        <w:pStyle w:val="ListParagraph"/>
        <w:numPr>
          <w:ilvl w:val="0"/>
          <w:numId w:val="2"/>
        </w:numPr>
        <w:spacing w:after="160" w:line="360" w:lineRule="auto"/>
        <w:jc w:val="left"/>
        <w:rPr>
          <w:color w:val="auto"/>
          <w:lang w:val="en-GB"/>
        </w:rPr>
      </w:pPr>
      <w:r w:rsidRPr="002C0C82">
        <w:rPr>
          <w:color w:val="auto"/>
          <w:lang w:val="en-GB"/>
        </w:rPr>
        <w:t xml:space="preserve">Assumed </w:t>
      </w:r>
      <w:r w:rsidRPr="002C0C82">
        <w:rPr>
          <w:rFonts w:cs="Arial"/>
          <w:color w:val="auto"/>
          <w:lang w:val="en-GB" w:eastAsia="en-US"/>
        </w:rPr>
        <w:t xml:space="preserve">thermal bridge loss coefficient related to all </w:t>
      </w:r>
      <w:r>
        <w:rPr>
          <w:rFonts w:cs="Arial"/>
          <w:color w:val="auto"/>
          <w:lang w:val="en-GB" w:eastAsia="en-US"/>
        </w:rPr>
        <w:t xml:space="preserve">surfaces of the building envelope of </w:t>
      </w:r>
      <w:r w:rsidRPr="00DD0865">
        <w:rPr>
          <w:color w:val="auto"/>
          <w:lang w:val="en-GB"/>
        </w:rPr>
        <w:t xml:space="preserve">0.10 W/(m²K) </w:t>
      </w:r>
      <w:r>
        <w:rPr>
          <w:color w:val="auto"/>
          <w:lang w:val="en-GB"/>
        </w:rPr>
        <w:t xml:space="preserve">was applied for both buildings </w:t>
      </w:r>
      <w:r w:rsidRPr="6265E0C6">
        <w:fldChar w:fldCharType="begin"/>
      </w:r>
      <w:r w:rsidRPr="00823271">
        <w:rPr>
          <w:lang w:val="en-GB"/>
        </w:rPr>
        <w:instrText xml:space="preserve"> ADDIN EN.CITE &lt;EndNote&gt;&lt;Cite&gt;&lt;Author&gt;BMI&lt;/Author&gt;&lt;Year&gt;2020&lt;/Year&gt;&lt;RecNum&gt;140&lt;/RecNum&gt;&lt;DisplayText&gt;(BMI 2020)&lt;/DisplayText&gt;&lt;record&gt;&lt;rec-number&gt;140&lt;/rec-number&gt;&lt;foreign-keys&gt;&lt;key app="EN" db-id="wrdx59esgzt5t4ea5s1ptptsw99w2fztstvr" timestamp="1609844129" guid="3b258382-f021-4e94-b1aa-d7d25b03a791"&gt;140&lt;/key&gt;&lt;/foreign-keys&gt;&lt;ref-type name="Report"&gt;27&lt;/ref-type&gt;&lt;contributors&gt;&lt;authors&gt;&lt;author&gt;BMI&lt;/author&gt;&lt;/authors&gt;&lt;/contributors&gt;&lt;titles&gt;&lt;title&gt;Gesetz zur Einsparung von Energie und zur Nutzung erneuerbarer Energienzur Wärme- und Kälteerzeugung in Gebäuden (Gebäudeenergiegesetz–GEG)&lt;/title&gt;&lt;secondary-title&gt;Bundesgesetzblatt Jahrgang 2020 &lt;/secondary-title&gt;&lt;/titles&gt;&lt;volume&gt;Teil I &lt;/volume&gt;&lt;number&gt;Nr. 37&lt;/number&gt;&lt;dates&gt;&lt;year&gt;2020&lt;/year&gt;&lt;/dates&gt;&lt;pub-location&gt;Bonn, Germany&lt;/pub-location&gt;&lt;publisher&gt;Bundesministerium des Innern, für Bau und Heimat&lt;/publisher&gt;&lt;urls&gt;&lt;/urls&gt;&lt;/record&gt;&lt;/Cite&gt;&lt;/EndNote&gt;</w:instrText>
      </w:r>
      <w:r w:rsidRPr="6265E0C6">
        <w:rPr>
          <w:color w:val="auto"/>
          <w:lang w:val="en-GB"/>
        </w:rPr>
        <w:fldChar w:fldCharType="separate"/>
      </w:r>
      <w:r w:rsidRPr="00823271">
        <w:rPr>
          <w:noProof/>
          <w:lang w:val="en-GB"/>
        </w:rPr>
        <w:t>(</w:t>
      </w:r>
      <w:hyperlink w:anchor="_ENREF_4" w:tooltip="BMI, 2020 #140" w:history="1">
        <w:r w:rsidRPr="00823271">
          <w:rPr>
            <w:noProof/>
            <w:lang w:val="en-GB"/>
          </w:rPr>
          <w:t>BMI 2020</w:t>
        </w:r>
      </w:hyperlink>
      <w:r w:rsidRPr="00823271">
        <w:rPr>
          <w:noProof/>
          <w:lang w:val="en-GB"/>
        </w:rPr>
        <w:t>)</w:t>
      </w:r>
      <w:r w:rsidRPr="6265E0C6">
        <w:fldChar w:fldCharType="end"/>
      </w:r>
    </w:p>
    <w:p w:rsidR="008206ED" w:rsidRDefault="008206ED" w:rsidP="008206ED">
      <w:pPr>
        <w:pStyle w:val="ListParagraph"/>
        <w:numPr>
          <w:ilvl w:val="0"/>
          <w:numId w:val="2"/>
        </w:numPr>
        <w:spacing w:after="160" w:line="360" w:lineRule="auto"/>
        <w:jc w:val="left"/>
        <w:rPr>
          <w:color w:val="auto"/>
          <w:lang w:val="en-GB"/>
        </w:rPr>
      </w:pPr>
      <w:r w:rsidRPr="00DD0865">
        <w:rPr>
          <w:color w:val="auto"/>
          <w:lang w:val="en-GB"/>
        </w:rPr>
        <w:t>Building air tightness</w:t>
      </w:r>
      <w:r w:rsidRPr="00DD0865">
        <w:rPr>
          <w:rFonts w:cs="Arial"/>
          <w:color w:val="auto"/>
          <w:lang w:val="en-GB" w:eastAsia="en-US"/>
        </w:rPr>
        <w:t xml:space="preserve"> related to all component surfaces (weighted by building envelope surface) defined by </w:t>
      </w:r>
      <w:r w:rsidRPr="00DD0865">
        <w:rPr>
          <w:color w:val="auto"/>
          <w:lang w:val="en-GB"/>
        </w:rPr>
        <w:t>n</w:t>
      </w:r>
      <w:r w:rsidRPr="00DD0865">
        <w:rPr>
          <w:color w:val="auto"/>
          <w:vertAlign w:val="subscript"/>
          <w:lang w:val="en-GB"/>
        </w:rPr>
        <w:t xml:space="preserve">50 </w:t>
      </w:r>
      <w:r w:rsidRPr="00DD0865">
        <w:rPr>
          <w:color w:val="auto"/>
          <w:lang w:val="en-GB"/>
        </w:rPr>
        <w:t xml:space="preserve">value </w:t>
      </w:r>
      <w:r w:rsidRPr="00DD0865">
        <w:rPr>
          <w:lang w:val="en-GB"/>
        </w:rPr>
        <w:t xml:space="preserve">(air exchange rate coefficient at 50 Pa pressure difference) of </w:t>
      </w:r>
      <w:r w:rsidRPr="00DD0865">
        <w:rPr>
          <w:color w:val="auto"/>
          <w:lang w:val="en-GB"/>
        </w:rPr>
        <w:t>4 h</w:t>
      </w:r>
      <w:r w:rsidRPr="00DD0865">
        <w:rPr>
          <w:color w:val="auto"/>
          <w:vertAlign w:val="superscript"/>
          <w:lang w:val="en-GB"/>
        </w:rPr>
        <w:t>-1</w:t>
      </w:r>
      <w:r>
        <w:rPr>
          <w:color w:val="auto"/>
          <w:lang w:val="en-GB"/>
        </w:rPr>
        <w:t xml:space="preserve"> </w:t>
      </w:r>
      <w:r w:rsidRPr="6265E0C6">
        <w:fldChar w:fldCharType="begin"/>
      </w:r>
      <w:r w:rsidRPr="00823271">
        <w:rPr>
          <w:lang w:val="en-GB"/>
        </w:rPr>
        <w:instrText xml:space="preserve"> ADDIN EN.CITE &lt;EndNote&gt;&lt;Cite&gt;&lt;Author&gt;EN_15242&lt;/Author&gt;&lt;Year&gt;2007&lt;/Year&gt;&lt;RecNum&gt;128&lt;/RecNum&gt;&lt;DisplayText&gt;(EN_15242 2007)&lt;/DisplayText&gt;&lt;record&gt;&lt;rec-number&gt;128&lt;/rec-number&gt;&lt;foreign-keys&gt;&lt;key app="EN" db-id="wrdx59esgzt5t4ea5s1ptptsw99w2fztstvr" timestamp="1609841406" guid="20d739ab-54dc-4f03-b9d0-abc9dda4e88c"&gt;128&lt;/key&gt;&lt;/foreign-keys&gt;&lt;ref-type name="Standard"&gt;58&lt;/ref-type&gt;&lt;contributors&gt;&lt;authors&gt;&lt;author&gt;EN_15242&lt;/author&gt;&lt;/authors&gt;&lt;/contributors&gt;&lt;titles&gt;&lt;title&gt;DIN 15242 (2007) Ventilation for buildings – Calculation methods for the determination of air flow rates in buildings including infiltration&lt;/title&gt;&lt;/titles&gt;&lt;dates&gt;&lt;year&gt;2007&lt;/year&gt;&lt;/dates&gt;&lt;urls&gt;&lt;/urls&gt;&lt;/record&gt;&lt;/Cite&gt;&lt;/EndNote&gt;</w:instrText>
      </w:r>
      <w:r w:rsidRPr="6265E0C6">
        <w:rPr>
          <w:color w:val="auto"/>
          <w:lang w:val="en-GB"/>
        </w:rPr>
        <w:fldChar w:fldCharType="separate"/>
      </w:r>
      <w:r>
        <w:rPr>
          <w:noProof/>
          <w:color w:val="auto"/>
          <w:lang w:val="en-GB"/>
        </w:rPr>
        <w:t>(</w:t>
      </w:r>
      <w:hyperlink w:anchor="_ENREF_10" w:tooltip="EN_15242, 2007 #128" w:history="1">
        <w:r>
          <w:rPr>
            <w:noProof/>
            <w:color w:val="auto"/>
            <w:lang w:val="en-GB"/>
          </w:rPr>
          <w:t>EN_15242 2007</w:t>
        </w:r>
      </w:hyperlink>
      <w:r>
        <w:rPr>
          <w:noProof/>
          <w:color w:val="auto"/>
          <w:lang w:val="en-GB"/>
        </w:rPr>
        <w:t>)</w:t>
      </w:r>
      <w:r w:rsidRPr="6265E0C6">
        <w:fldChar w:fldCharType="end"/>
      </w:r>
    </w:p>
    <w:p w:rsidR="008206ED" w:rsidRDefault="008206ED" w:rsidP="008206ED">
      <w:pPr>
        <w:pStyle w:val="ListParagraph"/>
        <w:numPr>
          <w:ilvl w:val="0"/>
          <w:numId w:val="2"/>
        </w:numPr>
        <w:spacing w:after="160" w:line="360" w:lineRule="auto"/>
        <w:jc w:val="left"/>
        <w:rPr>
          <w:color w:val="auto"/>
          <w:lang w:val="en-GB"/>
        </w:rPr>
      </w:pPr>
      <w:r w:rsidRPr="6265E0C6">
        <w:rPr>
          <w:color w:val="auto"/>
          <w:lang w:val="en-GB"/>
        </w:rPr>
        <w:t>Assumed window ventilation for all rooms:</w:t>
      </w:r>
    </w:p>
    <w:p w:rsidR="008206ED" w:rsidRDefault="008206ED" w:rsidP="008206ED">
      <w:pPr>
        <w:pStyle w:val="ListParagraph"/>
        <w:numPr>
          <w:ilvl w:val="1"/>
          <w:numId w:val="2"/>
        </w:numPr>
        <w:spacing w:after="160" w:line="360" w:lineRule="auto"/>
        <w:jc w:val="left"/>
        <w:rPr>
          <w:color w:val="auto"/>
          <w:lang w:val="en-GB"/>
        </w:rPr>
      </w:pPr>
      <w:r>
        <w:rPr>
          <w:color w:val="auto"/>
          <w:lang w:val="en-GB"/>
        </w:rPr>
        <w:t xml:space="preserve">Windows tilted during night (from 10 pm to 7 am) and fully opened in the morning (7 am to 8 am) and in the evening (8 pm to 10 pm) when the room temperature is higher than 23 °C and the outdoor air temperature is cooler. This window opening behaviour is based on the window ventilation profiles derived from surveys </w:t>
      </w:r>
      <w:r w:rsidRPr="6265E0C6">
        <w:fldChar w:fldCharType="begin"/>
      </w:r>
      <w:r w:rsidRPr="00823271">
        <w:rPr>
          <w:lang w:val="en-GB"/>
        </w:rPr>
        <w:instrText xml:space="preserve"> ADDIN EN.CITE &lt;EndNote&gt;&lt;Cite&gt;&lt;Author&gt;Schiela&lt;/Author&gt;&lt;Year&gt;2021 (submitted)&lt;/Year&gt;&lt;RecNum&gt;148&lt;/RecNum&gt;&lt;DisplayText&gt;(Schiela et al. 2021 (submitted))&lt;/DisplayText&gt;&lt;record&gt;&lt;rec-number&gt;148&lt;/rec-number&gt;&lt;foreign-keys&gt;&lt;key app="EN" db-id="wrdx59esgzt5t4ea5s1ptptsw99w2fztstvr" timestamp="1611695718"&gt;148&lt;/key&gt;&lt;/foreign-keys&gt;&lt;ref-type name="Journal Article"&gt;17&lt;/ref-type&gt;&lt;contributors&gt;&lt;authors&gt;&lt;author&gt;Schiela, D.&lt;/author&gt;&lt;author&gt;Schünemann, C.&lt;/author&gt;&lt;/authors&gt;&lt;/contributors&gt;&lt;titles&gt;&lt;title&gt;Window ventilation behaviour for overheating evaluation: Residents&amp;apos; survey and derived ventilation profiles&lt;/title&gt;&lt;secondary-title&gt;German Meteorological Service&lt;/secondary-title&gt;&lt;/titles&gt;&lt;periodical&gt;&lt;full-title&gt;German Meteorological Service&lt;/full-title&gt;&lt;/periodical&gt;&lt;volume&gt;submitted&lt;/volume&gt;&lt;dates&gt;&lt;year&gt;2021 (submitted)&lt;/year&gt;&lt;/dates&gt;&lt;urls&gt;&lt;/urls&gt;&lt;/record&gt;&lt;/Cite&gt;&lt;/EndNote&gt;</w:instrText>
      </w:r>
      <w:r w:rsidRPr="6265E0C6">
        <w:rPr>
          <w:color w:val="auto"/>
          <w:lang w:val="en-GB"/>
        </w:rPr>
        <w:fldChar w:fldCharType="separate"/>
      </w:r>
      <w:r w:rsidRPr="00823271">
        <w:rPr>
          <w:noProof/>
          <w:lang w:val="en-GB"/>
        </w:rPr>
        <w:t>(</w:t>
      </w:r>
      <w:hyperlink w:anchor="_ENREF_37" w:tooltip="Schiela, 2021 (submitted) #148" w:history="1">
        <w:r w:rsidRPr="00823271">
          <w:rPr>
            <w:noProof/>
            <w:lang w:val="en-GB"/>
          </w:rPr>
          <w:t>Schiela et al. 2021 (submitted)</w:t>
        </w:r>
      </w:hyperlink>
      <w:r w:rsidRPr="00823271">
        <w:rPr>
          <w:noProof/>
          <w:lang w:val="en-GB"/>
        </w:rPr>
        <w:t>)</w:t>
      </w:r>
      <w:r w:rsidRPr="6265E0C6">
        <w:fldChar w:fldCharType="end"/>
      </w:r>
    </w:p>
    <w:p w:rsidR="008206ED" w:rsidRDefault="008206ED" w:rsidP="008206ED">
      <w:pPr>
        <w:pStyle w:val="ListParagraph"/>
        <w:numPr>
          <w:ilvl w:val="1"/>
          <w:numId w:val="2"/>
        </w:numPr>
        <w:spacing w:after="160" w:line="360" w:lineRule="auto"/>
        <w:jc w:val="left"/>
        <w:rPr>
          <w:color w:val="auto"/>
          <w:lang w:val="en-GB"/>
        </w:rPr>
      </w:pPr>
      <w:r w:rsidRPr="6265E0C6">
        <w:rPr>
          <w:color w:val="auto"/>
          <w:lang w:val="en-GB"/>
        </w:rPr>
        <w:t>During the day, the windows remain closed (from 8 am to 8 pm)</w:t>
      </w:r>
    </w:p>
    <w:p w:rsidR="008206ED" w:rsidRDefault="008206ED" w:rsidP="008206ED">
      <w:pPr>
        <w:pStyle w:val="ListParagraph"/>
        <w:numPr>
          <w:ilvl w:val="1"/>
          <w:numId w:val="2"/>
        </w:numPr>
        <w:spacing w:after="160" w:line="360" w:lineRule="auto"/>
        <w:jc w:val="left"/>
        <w:rPr>
          <w:color w:val="auto"/>
          <w:lang w:val="en-GB"/>
        </w:rPr>
      </w:pPr>
      <w:r w:rsidRPr="6265E0C6">
        <w:rPr>
          <w:color w:val="auto"/>
          <w:lang w:val="en-GB"/>
        </w:rPr>
        <w:t>Realistic window opening profile was considered in the BPS</w:t>
      </w:r>
    </w:p>
    <w:p w:rsidR="008206ED" w:rsidRDefault="008206ED" w:rsidP="008206ED">
      <w:pPr>
        <w:pStyle w:val="ListParagraph"/>
        <w:numPr>
          <w:ilvl w:val="1"/>
          <w:numId w:val="2"/>
        </w:numPr>
        <w:spacing w:after="160" w:line="360" w:lineRule="auto"/>
        <w:jc w:val="left"/>
        <w:rPr>
          <w:color w:val="auto"/>
          <w:lang w:val="en-GB"/>
        </w:rPr>
      </w:pPr>
      <w:r w:rsidRPr="6265E0C6">
        <w:rPr>
          <w:color w:val="auto"/>
          <w:lang w:val="en-GB"/>
        </w:rPr>
        <w:t>Room doors remain closed all the time</w:t>
      </w:r>
    </w:p>
    <w:p w:rsidR="008206ED" w:rsidRDefault="008206ED" w:rsidP="008206ED">
      <w:pPr>
        <w:pStyle w:val="ListParagraph"/>
        <w:numPr>
          <w:ilvl w:val="1"/>
          <w:numId w:val="2"/>
        </w:numPr>
        <w:spacing w:after="160" w:line="360" w:lineRule="auto"/>
        <w:jc w:val="left"/>
        <w:rPr>
          <w:color w:val="auto"/>
          <w:lang w:val="en-GB"/>
        </w:rPr>
      </w:pPr>
      <w:r w:rsidRPr="6265E0C6">
        <w:rPr>
          <w:color w:val="auto"/>
          <w:lang w:val="en-GB"/>
        </w:rPr>
        <w:t>Both BPS tools consider wind and temperature gradient driven air exchange through windows by simplified pressure coefficients (</w:t>
      </w:r>
      <w:r>
        <w:rPr>
          <w:color w:val="auto"/>
          <w:lang w:val="en-GB"/>
        </w:rPr>
        <w:t>more</w:t>
      </w:r>
      <w:r w:rsidRPr="6265E0C6">
        <w:rPr>
          <w:color w:val="auto"/>
          <w:lang w:val="en-GB"/>
        </w:rPr>
        <w:t xml:space="preserve"> details see </w:t>
      </w:r>
      <w:r>
        <w:rPr>
          <w:color w:val="auto"/>
          <w:lang w:val="en-GB"/>
        </w:rPr>
        <w:t>elsewhere</w:t>
      </w:r>
      <w:r w:rsidRPr="6265E0C6">
        <w:rPr>
          <w:color w:val="auto"/>
          <w:lang w:val="en-GB"/>
        </w:rPr>
        <w:t xml:space="preserve"> </w:t>
      </w:r>
      <w:r>
        <w:rPr>
          <w:color w:val="auto"/>
          <w:lang w:val="en-GB"/>
        </w:rPr>
        <w:fldChar w:fldCharType="begin"/>
      </w:r>
      <w:r>
        <w:rPr>
          <w:color w:val="auto"/>
          <w:lang w:val="en-GB"/>
        </w:rPr>
        <w:instrText xml:space="preserve"> ADDIN EN.CITE &lt;EndNote&gt;&lt;Cite&gt;&lt;Author&gt;Schünemann&lt;/Author&gt;&lt;Year&gt;2021&lt;/Year&gt;&lt;RecNum&gt;202&lt;/RecNum&gt;&lt;DisplayText&gt;(Schünemann et al. 2021)&lt;/DisplayText&gt;&lt;record&gt;&lt;rec-number&gt;202&lt;/rec-number&gt;&lt;foreign-keys&gt;&lt;key app="EN" db-id="wrdx59esgzt5t4ea5s1ptptsw99w2fztstvr" timestamp="1626362626" guid="496a5676-fc9b-4e34-9d6d-c9bd5bec1183"&gt;202&lt;/key&gt;&lt;/foreign-keys&gt;&lt;ref-type name="Journal Article"&gt;17&lt;/ref-type&gt;&lt;contributors&gt;&lt;authors&gt;&lt;author&gt;Schünemann, Christoph&lt;/author&gt;&lt;author&gt;Schiela, David&lt;/author&gt;&lt;author&gt;Ortlepp, Regine&lt;/author&gt;&lt;/authors&gt;&lt;/contributors&gt;&lt;titles&gt;&lt;title&gt;How window ventilation behaviour affects the heat resilience in multi-residential buildings&lt;/title&gt;&lt;secondary-title&gt;Building and Environment&lt;/secondary-title&gt;&lt;/titles&gt;&lt;periodical&gt;&lt;full-title&gt;Building and Environment&lt;/full-title&gt;&lt;/periodical&gt;&lt;volume&gt;202&lt;/volume&gt;&lt;section&gt;107987&lt;/section&gt;&lt;dates&gt;&lt;year&gt;2021&lt;/year&gt;&lt;/dates&gt;&lt;isbn&gt;03601323&lt;/isbn&gt;&lt;urls&gt;&lt;/urls&gt;&lt;electronic-resource-num&gt;10.1016/j.buildenv.2021.107987&lt;/electronic-resource-num&gt;&lt;/record&gt;&lt;/Cite&gt;&lt;/EndNote&gt;</w:instrText>
      </w:r>
      <w:r>
        <w:rPr>
          <w:color w:val="auto"/>
          <w:lang w:val="en-GB"/>
        </w:rPr>
        <w:fldChar w:fldCharType="separate"/>
      </w:r>
      <w:r>
        <w:rPr>
          <w:noProof/>
          <w:color w:val="auto"/>
          <w:lang w:val="en-GB"/>
        </w:rPr>
        <w:t>(</w:t>
      </w:r>
      <w:hyperlink w:anchor="_ENREF_41" w:tooltip="Schünemann, 2021 #202" w:history="1">
        <w:r>
          <w:rPr>
            <w:noProof/>
            <w:color w:val="auto"/>
            <w:lang w:val="en-GB"/>
          </w:rPr>
          <w:t>Schünemann et al. 2021</w:t>
        </w:r>
      </w:hyperlink>
      <w:r>
        <w:rPr>
          <w:noProof/>
          <w:color w:val="auto"/>
          <w:lang w:val="en-GB"/>
        </w:rPr>
        <w:t>)</w:t>
      </w:r>
      <w:r>
        <w:rPr>
          <w:color w:val="auto"/>
          <w:lang w:val="en-GB"/>
        </w:rPr>
        <w:fldChar w:fldCharType="end"/>
      </w:r>
      <w:r>
        <w:rPr>
          <w:color w:val="auto"/>
          <w:lang w:val="en-GB"/>
        </w:rPr>
        <w:t>)</w:t>
      </w:r>
    </w:p>
    <w:p w:rsidR="008206ED" w:rsidRPr="001528BE" w:rsidRDefault="008206ED" w:rsidP="008206ED">
      <w:pPr>
        <w:pStyle w:val="ListParagraph"/>
        <w:numPr>
          <w:ilvl w:val="0"/>
          <w:numId w:val="2"/>
        </w:numPr>
        <w:spacing w:after="160" w:line="360" w:lineRule="auto"/>
        <w:jc w:val="left"/>
        <w:rPr>
          <w:color w:val="auto"/>
          <w:lang w:val="en-GB"/>
        </w:rPr>
      </w:pPr>
      <w:r w:rsidRPr="6265E0C6">
        <w:rPr>
          <w:color w:val="auto"/>
          <w:lang w:val="en-GB"/>
        </w:rPr>
        <w:t xml:space="preserve">Internal heat gain profiles by occupants, lighting and electric devices derived by </w:t>
      </w:r>
      <w:r>
        <w:rPr>
          <w:color w:val="000000" w:themeColor="text1"/>
          <w:lang w:val="en-GB"/>
        </w:rPr>
        <w:t xml:space="preserve">DIN EN 16798-1 </w:t>
      </w:r>
      <w:r>
        <w:rPr>
          <w:color w:val="000000" w:themeColor="text1"/>
          <w:lang w:val="en-GB"/>
        </w:rPr>
        <w:fldChar w:fldCharType="begin"/>
      </w:r>
      <w:r>
        <w:rPr>
          <w:color w:val="000000" w:themeColor="text1"/>
          <w:lang w:val="en-GB"/>
        </w:rPr>
        <w:instrText xml:space="preserve"> ADDIN EN.CITE &lt;EndNote&gt;&lt;Cite&gt;&lt;Author&gt;DIN-EN-16798-1&lt;/Author&gt;&lt;Year&gt;2021&lt;/Year&gt;&lt;RecNum&gt;224&lt;/RecNum&gt;&lt;DisplayText&gt;(DIN-EN-16798-1 2021)&lt;/DisplayText&gt;&lt;record&gt;&lt;rec-number&gt;224&lt;/rec-number&gt;&lt;foreign-keys&gt;&lt;key app="EN" db-id="wrdx59esgzt5t4ea5s1ptptsw99w2fztstvr" timestamp="1627930082" guid="6f1754f9-baea-486b-8ce6-15eec6db9047"&gt;224&lt;/key&gt;&lt;/foreign-keys&gt;&lt;ref-type name="Standard"&gt;58&lt;/ref-type&gt;&lt;contributors&gt;&lt;authors&gt;&lt;author&gt;DIN-EN-16798-1&lt;/author&gt;&lt;/authors&gt;&lt;/contributors&gt;&lt;titles&gt;&lt;title&gt;DIN EN 16798-1:2021-04  - Energy performance of buildings - Ventilation for buildings (German Institute for Standardization)&lt;/title&gt;&lt;secondary-title&gt;Part 1: Indoor environmental input parameters for design and assessment of energy performance of buildings addressing indoor air quality, thermal environment, lighting and acoustics&lt;/secondary-title&gt;&lt;/titles&gt;&lt;dates&gt;&lt;year&gt;2021&lt;/year&gt;&lt;/dates&gt;&lt;pub-location&gt;10772 Berlin&lt;/pub-location&gt;&lt;publisher&gt;Beuth Verlag GmbH&lt;/publisher&gt;&lt;urls&gt;&lt;/urls&gt;&lt;/record&gt;&lt;/Cite&gt;&lt;/EndNote&gt;</w:instrText>
      </w:r>
      <w:r>
        <w:rPr>
          <w:color w:val="000000" w:themeColor="text1"/>
          <w:lang w:val="en-GB"/>
        </w:rPr>
        <w:fldChar w:fldCharType="separate"/>
      </w:r>
      <w:r>
        <w:rPr>
          <w:noProof/>
          <w:color w:val="000000" w:themeColor="text1"/>
          <w:lang w:val="en-GB"/>
        </w:rPr>
        <w:t>(</w:t>
      </w:r>
      <w:hyperlink w:anchor="_ENREF_7" w:tooltip="DIN-EN-16798-1, 2021 #224" w:history="1">
        <w:r>
          <w:rPr>
            <w:noProof/>
            <w:color w:val="000000" w:themeColor="text1"/>
            <w:lang w:val="en-GB"/>
          </w:rPr>
          <w:t>DIN-EN-16798-1 2021</w:t>
        </w:r>
      </w:hyperlink>
      <w:r>
        <w:rPr>
          <w:noProof/>
          <w:color w:val="000000" w:themeColor="text1"/>
          <w:lang w:val="en-GB"/>
        </w:rPr>
        <w:t>)</w:t>
      </w:r>
      <w:r>
        <w:rPr>
          <w:color w:val="000000" w:themeColor="text1"/>
          <w:lang w:val="en-GB"/>
        </w:rPr>
        <w:fldChar w:fldCharType="end"/>
      </w:r>
    </w:p>
    <w:p w:rsidR="008206ED" w:rsidRPr="00E95051" w:rsidRDefault="008206ED" w:rsidP="008206ED">
      <w:pPr>
        <w:pStyle w:val="ListParagraph"/>
        <w:numPr>
          <w:ilvl w:val="1"/>
          <w:numId w:val="2"/>
        </w:numPr>
        <w:spacing w:after="160" w:line="360" w:lineRule="auto"/>
        <w:jc w:val="left"/>
        <w:rPr>
          <w:color w:val="auto"/>
          <w:lang w:val="en-US"/>
        </w:rPr>
      </w:pPr>
      <w:r w:rsidRPr="00E95051">
        <w:rPr>
          <w:color w:val="000000" w:themeColor="text1"/>
          <w:lang w:val="en-US"/>
        </w:rPr>
        <w:t>No differentiation of the days of the week and the usage of the rooms</w:t>
      </w:r>
    </w:p>
    <w:p w:rsidR="008206ED" w:rsidRPr="00E95051" w:rsidRDefault="008206ED" w:rsidP="008206ED">
      <w:pPr>
        <w:pStyle w:val="ListParagraph"/>
        <w:numPr>
          <w:ilvl w:val="1"/>
          <w:numId w:val="2"/>
        </w:numPr>
        <w:spacing w:after="160" w:line="360" w:lineRule="auto"/>
        <w:jc w:val="left"/>
        <w:rPr>
          <w:color w:val="auto"/>
          <w:lang w:val="en-US"/>
        </w:rPr>
      </w:pPr>
      <w:r w:rsidRPr="00E95051">
        <w:rPr>
          <w:color w:val="auto"/>
          <w:lang w:val="en-US"/>
        </w:rPr>
        <w:t xml:space="preserve">Staircase and basement contain no internal heat </w:t>
      </w:r>
      <w:r>
        <w:rPr>
          <w:color w:val="auto"/>
          <w:lang w:val="en-US"/>
        </w:rPr>
        <w:t>gains</w:t>
      </w:r>
    </w:p>
    <w:p w:rsidR="008206ED" w:rsidRDefault="008206ED" w:rsidP="008206ED">
      <w:pPr>
        <w:pStyle w:val="ListParagraph"/>
        <w:numPr>
          <w:ilvl w:val="1"/>
          <w:numId w:val="2"/>
        </w:numPr>
        <w:spacing w:after="160" w:line="360" w:lineRule="auto"/>
        <w:jc w:val="left"/>
        <w:rPr>
          <w:color w:val="auto"/>
          <w:lang w:val="en-US"/>
        </w:rPr>
      </w:pPr>
      <w:r w:rsidRPr="00E95051">
        <w:rPr>
          <w:color w:val="auto"/>
          <w:lang w:val="en-US"/>
        </w:rPr>
        <w:lastRenderedPageBreak/>
        <w:t>Internal heat gains related t</w:t>
      </w:r>
      <w:r>
        <w:rPr>
          <w:color w:val="auto"/>
          <w:lang w:val="en-US"/>
        </w:rPr>
        <w:t>o the floor area:</w:t>
      </w:r>
    </w:p>
    <w:p w:rsidR="008206ED" w:rsidRDefault="008206ED" w:rsidP="008206ED">
      <w:pPr>
        <w:spacing w:after="160" w:line="360" w:lineRule="auto"/>
        <w:ind w:left="720"/>
        <w:jc w:val="left"/>
        <w:rPr>
          <w:color w:val="auto"/>
          <w:lang w:val="en-US"/>
        </w:rPr>
      </w:pPr>
      <w:r>
        <w:rPr>
          <w:noProof/>
          <w:color w:val="auto"/>
          <w:lang w:val="en-US" w:eastAsia="en-US"/>
        </w:rPr>
        <w:drawing>
          <wp:inline distT="0" distB="0" distL="0" distR="0" wp14:anchorId="4F05E15D" wp14:editId="2FA38CC5">
            <wp:extent cx="5220000" cy="1189367"/>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20000" cy="1189367"/>
                    </a:xfrm>
                    <a:prstGeom prst="rect">
                      <a:avLst/>
                    </a:prstGeom>
                    <a:noFill/>
                  </pic:spPr>
                </pic:pic>
              </a:graphicData>
            </a:graphic>
          </wp:inline>
        </w:drawing>
      </w:r>
    </w:p>
    <w:p w:rsidR="008206ED" w:rsidRDefault="008206ED" w:rsidP="008206ED">
      <w:pPr>
        <w:pStyle w:val="ListParagraph"/>
        <w:numPr>
          <w:ilvl w:val="1"/>
          <w:numId w:val="2"/>
        </w:numPr>
        <w:spacing w:after="160" w:line="360" w:lineRule="auto"/>
        <w:jc w:val="left"/>
        <w:rPr>
          <w:color w:val="auto"/>
          <w:lang w:val="en-US"/>
        </w:rPr>
      </w:pPr>
      <w:r>
        <w:rPr>
          <w:color w:val="auto"/>
          <w:lang w:val="en-US"/>
        </w:rPr>
        <w:t xml:space="preserve">The assumed occupants are not </w:t>
      </w:r>
      <w:r w:rsidRPr="00BB320A">
        <w:rPr>
          <w:color w:val="auto"/>
          <w:lang w:val="en-US"/>
        </w:rPr>
        <w:t>senior citizens</w:t>
      </w:r>
      <w:r>
        <w:rPr>
          <w:color w:val="auto"/>
          <w:lang w:val="en-US"/>
        </w:rPr>
        <w:t xml:space="preserve"> </w:t>
      </w:r>
    </w:p>
    <w:p w:rsidR="008206ED" w:rsidRPr="001528BE" w:rsidRDefault="008206ED" w:rsidP="008206ED">
      <w:pPr>
        <w:pStyle w:val="ListParagraph"/>
        <w:numPr>
          <w:ilvl w:val="1"/>
          <w:numId w:val="2"/>
        </w:numPr>
        <w:spacing w:after="160" w:line="360" w:lineRule="auto"/>
        <w:jc w:val="left"/>
        <w:rPr>
          <w:color w:val="auto"/>
          <w:lang w:val="en-US"/>
        </w:rPr>
      </w:pPr>
      <w:r>
        <w:rPr>
          <w:color w:val="auto"/>
          <w:lang w:val="en-US"/>
        </w:rPr>
        <w:t>Sum of the daily internal heat gains is 87 Wh/m²d</w:t>
      </w:r>
    </w:p>
    <w:p w:rsidR="008206ED" w:rsidRPr="003F1DF6" w:rsidRDefault="008206ED" w:rsidP="008206ED">
      <w:pPr>
        <w:pStyle w:val="ListParagraph"/>
        <w:spacing w:after="160" w:line="360" w:lineRule="auto"/>
        <w:jc w:val="left"/>
        <w:rPr>
          <w:color w:val="000000" w:themeColor="text1"/>
          <w:lang w:val="en-US"/>
        </w:rPr>
      </w:pPr>
      <w:r w:rsidRPr="003F1DF6">
        <w:rPr>
          <w:color w:val="000000" w:themeColor="text1"/>
          <w:lang w:val="en-US"/>
        </w:rPr>
        <w:br/>
      </w:r>
    </w:p>
    <w:p w:rsidR="008206ED" w:rsidRPr="00C35165" w:rsidRDefault="008206ED" w:rsidP="008206ED">
      <w:pPr>
        <w:pStyle w:val="Heading2"/>
        <w:spacing w:line="360" w:lineRule="auto"/>
        <w:rPr>
          <w:i/>
          <w:iCs/>
          <w:sz w:val="28"/>
          <w:szCs w:val="28"/>
          <w:lang w:val="en-GB"/>
        </w:rPr>
      </w:pPr>
      <w:r w:rsidRPr="00C35165">
        <w:rPr>
          <w:b w:val="0"/>
          <w:i/>
          <w:iCs/>
          <w:sz w:val="28"/>
          <w:szCs w:val="28"/>
          <w:lang w:val="en-GB"/>
        </w:rPr>
        <w:t>Statistical evaluation of daily temperature range for summer periods</w:t>
      </w:r>
    </w:p>
    <w:p w:rsidR="008206ED" w:rsidRPr="009B6193" w:rsidRDefault="008206ED" w:rsidP="008206ED">
      <w:pPr>
        <w:spacing w:line="360" w:lineRule="auto"/>
        <w:rPr>
          <w:lang w:val="en-GB"/>
        </w:rPr>
      </w:pPr>
      <w:r>
        <w:rPr>
          <w:lang w:val="en-GB"/>
        </w:rPr>
        <w:fldChar w:fldCharType="begin"/>
      </w:r>
      <w:r>
        <w:rPr>
          <w:lang w:val="en-GB"/>
        </w:rPr>
        <w:instrText xml:space="preserve"> REF _Ref78560623 \h </w:instrText>
      </w:r>
      <w:r>
        <w:rPr>
          <w:lang w:val="en-GB"/>
        </w:rPr>
      </w:r>
      <w:r>
        <w:rPr>
          <w:lang w:val="en-GB"/>
        </w:rPr>
        <w:fldChar w:fldCharType="separate"/>
      </w:r>
      <w:r w:rsidRPr="006339C7">
        <w:rPr>
          <w:sz w:val="20"/>
          <w:szCs w:val="20"/>
          <w:lang w:val="en-US"/>
        </w:rPr>
        <w:t xml:space="preserve">Figure </w:t>
      </w:r>
      <w:r>
        <w:rPr>
          <w:noProof/>
          <w:sz w:val="20"/>
          <w:szCs w:val="20"/>
          <w:lang w:val="en-US"/>
        </w:rPr>
        <w:t>8</w:t>
      </w:r>
      <w:r>
        <w:rPr>
          <w:lang w:val="en-GB"/>
        </w:rPr>
        <w:fldChar w:fldCharType="end"/>
      </w:r>
      <w:r>
        <w:rPr>
          <w:lang w:val="en-GB"/>
        </w:rPr>
        <w:t xml:space="preserve"> </w:t>
      </w:r>
      <w:r w:rsidRPr="009B6193">
        <w:rPr>
          <w:lang w:val="en-GB"/>
        </w:rPr>
        <w:t xml:space="preserve">illustrates the statistical distribution of daily temperature range for “hot summers” and “very hot summer months” in the climate reference period 1991-2020 for the climate station </w:t>
      </w:r>
      <w:r>
        <w:rPr>
          <w:lang w:val="en-GB"/>
        </w:rPr>
        <w:t>Dresden Klotzsche</w:t>
      </w:r>
      <w:r w:rsidRPr="009B6193">
        <w:rPr>
          <w:lang w:val="en-GB"/>
        </w:rPr>
        <w:t>. The category “hot summer” was applied for all summers with a climatological heat sum (cumulative sum of all days with a mean temperature above 20 °C in the summer half year at which 20 °C is subtracted) over the 75 percentile threshold of the related distribution for the last reference period. Following this definition eight summers were detected as “hot summers” in the last reference period from 1991-2020. The category “very hot summer months” summarizes all months with a mean that is higher as the 95% percentile of the statistical distribution of this month in the reference period. A comparable result with a slight shift of +0.5 K was found for the distribution of daily temperature range in hot summers at the climate station Erfurt-Weimar. For it, the same simulation period for both investigation areas can be used as input for the model chain.</w:t>
      </w:r>
    </w:p>
    <w:p w:rsidR="008206ED" w:rsidRPr="009B6193" w:rsidRDefault="008206ED" w:rsidP="008206ED">
      <w:pPr>
        <w:spacing w:line="360" w:lineRule="auto"/>
        <w:rPr>
          <w:lang w:val="en-GB"/>
        </w:rPr>
      </w:pPr>
      <w:r>
        <w:rPr>
          <w:lang w:val="en-GB"/>
        </w:rPr>
        <w:fldChar w:fldCharType="begin"/>
      </w:r>
      <w:r>
        <w:rPr>
          <w:lang w:val="en-GB"/>
        </w:rPr>
        <w:instrText xml:space="preserve"> REF _Ref78562243 \h </w:instrText>
      </w:r>
      <w:r>
        <w:rPr>
          <w:lang w:val="en-GB"/>
        </w:rPr>
      </w:r>
      <w:r>
        <w:rPr>
          <w:lang w:val="en-GB"/>
        </w:rPr>
        <w:fldChar w:fldCharType="separate"/>
      </w:r>
      <w:r w:rsidRPr="001C5211">
        <w:rPr>
          <w:sz w:val="20"/>
          <w:szCs w:val="20"/>
          <w:lang w:val="en-US"/>
        </w:rPr>
        <w:t xml:space="preserve">Figure </w:t>
      </w:r>
      <w:r>
        <w:rPr>
          <w:noProof/>
          <w:sz w:val="20"/>
          <w:szCs w:val="20"/>
          <w:lang w:val="en-US"/>
        </w:rPr>
        <w:t>11</w:t>
      </w:r>
      <w:r>
        <w:rPr>
          <w:lang w:val="en-GB"/>
        </w:rPr>
        <w:fldChar w:fldCharType="end"/>
      </w:r>
      <w:r w:rsidRPr="00E550D1" w:rsidDel="00E550D1">
        <w:rPr>
          <w:color w:val="FF0000"/>
          <w:lang w:val="en-GB"/>
        </w:rPr>
        <w:t xml:space="preserve"> </w:t>
      </w:r>
      <w:r w:rsidRPr="005E131B">
        <w:rPr>
          <w:color w:val="auto"/>
          <w:lang w:val="en-GB"/>
        </w:rPr>
        <w:t xml:space="preserve">(left side) shows </w:t>
      </w:r>
      <w:r w:rsidRPr="009B6193">
        <w:rPr>
          <w:lang w:val="en-GB"/>
        </w:rPr>
        <w:t>that the average and median of daily temperature range are around 11 K for hot summers and 12 K for hot summer months that is comparable with the result from the HIRVAC-beech simulation. The statistical expectancy range (from 25 to 75 percentile) is between 8 and 14 K (hot summers) and 9 and 14</w:t>
      </w:r>
      <w:r>
        <w:rPr>
          <w:lang w:val="en-GB"/>
        </w:rPr>
        <w:t> </w:t>
      </w:r>
      <w:r w:rsidRPr="009B6193">
        <w:rPr>
          <w:lang w:val="en-GB"/>
        </w:rPr>
        <w:t>K (hot summer months) which is comparable with the temperature amplitude of the measurements for the chosen heat wave in summer 2018 (</w:t>
      </w:r>
      <w:r>
        <w:rPr>
          <w:lang w:val="en-GB"/>
        </w:rPr>
        <w:fldChar w:fldCharType="begin"/>
      </w:r>
      <w:r>
        <w:rPr>
          <w:lang w:val="en-GB"/>
        </w:rPr>
        <w:instrText xml:space="preserve"> REF _Ref78560623 \h </w:instrText>
      </w:r>
      <w:r>
        <w:rPr>
          <w:lang w:val="en-GB"/>
        </w:rPr>
      </w:r>
      <w:r>
        <w:rPr>
          <w:lang w:val="en-GB"/>
        </w:rPr>
        <w:fldChar w:fldCharType="separate"/>
      </w:r>
      <w:r w:rsidRPr="006339C7">
        <w:rPr>
          <w:sz w:val="20"/>
          <w:szCs w:val="20"/>
          <w:lang w:val="en-US"/>
        </w:rPr>
        <w:t xml:space="preserve">Figure </w:t>
      </w:r>
      <w:r>
        <w:rPr>
          <w:noProof/>
          <w:sz w:val="20"/>
          <w:szCs w:val="20"/>
          <w:lang w:val="en-US"/>
        </w:rPr>
        <w:t>8</w:t>
      </w:r>
      <w:r>
        <w:rPr>
          <w:lang w:val="en-GB"/>
        </w:rPr>
        <w:fldChar w:fldCharType="end"/>
      </w:r>
      <w:r w:rsidRPr="009B6193">
        <w:rPr>
          <w:lang w:val="en-GB"/>
        </w:rPr>
        <w:t>).</w:t>
      </w:r>
    </w:p>
    <w:p w:rsidR="008206ED" w:rsidRDefault="008206ED" w:rsidP="008206ED">
      <w:pPr>
        <w:pStyle w:val="Caption"/>
        <w:rPr>
          <w:sz w:val="20"/>
          <w:szCs w:val="20"/>
          <w:lang w:val="en-GB"/>
        </w:rPr>
      </w:pPr>
      <w:r w:rsidRPr="009B6193">
        <w:rPr>
          <w:noProof/>
          <w:lang w:val="en-US" w:eastAsia="en-US"/>
        </w:rPr>
        <w:lastRenderedPageBreak/>
        <w:drawing>
          <wp:inline distT="0" distB="0" distL="0" distR="0" wp14:anchorId="305C2F32" wp14:editId="5B8B4B88">
            <wp:extent cx="1510376" cy="200622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t-hot_summers.jpg"/>
                    <pic:cNvPicPr/>
                  </pic:nvPicPr>
                  <pic:blipFill rotWithShape="1">
                    <a:blip r:embed="rId6" cstate="print">
                      <a:extLst>
                        <a:ext uri="{28A0092B-C50C-407E-A947-70E740481C1C}">
                          <a14:useLocalDpi xmlns:a14="http://schemas.microsoft.com/office/drawing/2010/main" val="0"/>
                        </a:ext>
                      </a:extLst>
                    </a:blip>
                    <a:srcRect t="15171" r="6513" b="7376"/>
                    <a:stretch/>
                  </pic:blipFill>
                  <pic:spPr bwMode="auto">
                    <a:xfrm>
                      <a:off x="0" y="0"/>
                      <a:ext cx="1515047" cy="2012426"/>
                    </a:xfrm>
                    <a:prstGeom prst="rect">
                      <a:avLst/>
                    </a:prstGeom>
                    <a:ln>
                      <a:noFill/>
                    </a:ln>
                    <a:extLst>
                      <a:ext uri="{53640926-AAD7-44D8-BBD7-CCE9431645EC}">
                        <a14:shadowObscured xmlns:a14="http://schemas.microsoft.com/office/drawing/2010/main"/>
                      </a:ext>
                    </a:extLst>
                  </pic:spPr>
                </pic:pic>
              </a:graphicData>
            </a:graphic>
          </wp:inline>
        </w:drawing>
      </w:r>
      <w:r w:rsidRPr="009B6193">
        <w:rPr>
          <w:noProof/>
          <w:lang w:val="en-US" w:eastAsia="en-US"/>
        </w:rPr>
        <w:drawing>
          <wp:inline distT="0" distB="0" distL="0" distR="0" wp14:anchorId="09DD8D5B" wp14:editId="13849395">
            <wp:extent cx="1477001" cy="1992573"/>
            <wp:effectExtent l="0" t="0" r="9525"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t-very hot summer months.jpg"/>
                    <pic:cNvPicPr/>
                  </pic:nvPicPr>
                  <pic:blipFill rotWithShape="1">
                    <a:blip r:embed="rId7" cstate="print">
                      <a:extLst>
                        <a:ext uri="{28A0092B-C50C-407E-A947-70E740481C1C}">
                          <a14:useLocalDpi xmlns:a14="http://schemas.microsoft.com/office/drawing/2010/main" val="0"/>
                        </a:ext>
                      </a:extLst>
                    </a:blip>
                    <a:srcRect t="15120" r="6670" b="6346"/>
                    <a:stretch/>
                  </pic:blipFill>
                  <pic:spPr bwMode="auto">
                    <a:xfrm>
                      <a:off x="0" y="0"/>
                      <a:ext cx="1486203" cy="2004987"/>
                    </a:xfrm>
                    <a:prstGeom prst="rect">
                      <a:avLst/>
                    </a:prstGeom>
                    <a:ln>
                      <a:noFill/>
                    </a:ln>
                    <a:extLst>
                      <a:ext uri="{53640926-AAD7-44D8-BBD7-CCE9431645EC}">
                        <a14:shadowObscured xmlns:a14="http://schemas.microsoft.com/office/drawing/2010/main"/>
                      </a:ext>
                    </a:extLst>
                  </pic:spPr>
                </pic:pic>
              </a:graphicData>
            </a:graphic>
          </wp:inline>
        </w:drawing>
      </w:r>
    </w:p>
    <w:p w:rsidR="008206ED" w:rsidRDefault="008206ED" w:rsidP="008206ED">
      <w:pPr>
        <w:pStyle w:val="Caption"/>
        <w:spacing w:line="360" w:lineRule="auto"/>
        <w:rPr>
          <w:lang w:val="en-GB"/>
        </w:rPr>
      </w:pPr>
      <w:bookmarkStart w:id="5" w:name="_Ref78562243"/>
      <w:r w:rsidRPr="001C5211">
        <w:rPr>
          <w:sz w:val="20"/>
          <w:szCs w:val="20"/>
          <w:lang w:val="en-US"/>
        </w:rPr>
        <w:t xml:space="preserve">Figure </w:t>
      </w:r>
      <w:r w:rsidRPr="001C5211">
        <w:rPr>
          <w:sz w:val="20"/>
          <w:szCs w:val="20"/>
        </w:rPr>
        <w:fldChar w:fldCharType="begin"/>
      </w:r>
      <w:r w:rsidRPr="001C5211">
        <w:rPr>
          <w:sz w:val="20"/>
          <w:szCs w:val="20"/>
          <w:lang w:val="en-US"/>
        </w:rPr>
        <w:instrText xml:space="preserve"> SEQ Figure \* ARABIC </w:instrText>
      </w:r>
      <w:r w:rsidRPr="001C5211">
        <w:rPr>
          <w:sz w:val="20"/>
          <w:szCs w:val="20"/>
        </w:rPr>
        <w:fldChar w:fldCharType="separate"/>
      </w:r>
      <w:r>
        <w:rPr>
          <w:noProof/>
          <w:sz w:val="20"/>
          <w:szCs w:val="20"/>
          <w:lang w:val="en-US"/>
        </w:rPr>
        <w:t>11</w:t>
      </w:r>
      <w:r w:rsidRPr="001C5211">
        <w:rPr>
          <w:sz w:val="20"/>
          <w:szCs w:val="20"/>
        </w:rPr>
        <w:fldChar w:fldCharType="end"/>
      </w:r>
      <w:bookmarkEnd w:id="5"/>
      <w:r w:rsidRPr="001C5211">
        <w:rPr>
          <w:sz w:val="20"/>
          <w:szCs w:val="20"/>
          <w:lang w:val="en-GB"/>
        </w:rPr>
        <w:t>: Boxplots (including</w:t>
      </w:r>
      <w:r w:rsidRPr="009B6193">
        <w:rPr>
          <w:sz w:val="20"/>
          <w:szCs w:val="20"/>
          <w:lang w:val="en-GB"/>
        </w:rPr>
        <w:t xml:space="preserve"> mean, median, 1, 5, 25, 75, 95 and 99 percentiles) of the daily temperature amplitude for hot summers (left) and very hot summer months (right) of the last climate period 1991-2020 for the climate station </w:t>
      </w:r>
      <w:r>
        <w:rPr>
          <w:sz w:val="20"/>
          <w:szCs w:val="20"/>
          <w:lang w:val="en-GB"/>
        </w:rPr>
        <w:t>Dresden Klotzsche.</w:t>
      </w:r>
    </w:p>
    <w:p w:rsidR="00000F57" w:rsidRDefault="008206ED">
      <w:bookmarkStart w:id="6" w:name="_GoBack"/>
      <w:bookmarkEnd w:id="6"/>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87F7B"/>
    <w:multiLevelType w:val="hybridMultilevel"/>
    <w:tmpl w:val="EEBAE6D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0870E89"/>
    <w:multiLevelType w:val="multilevel"/>
    <w:tmpl w:val="04070025"/>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1146"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6ED"/>
    <w:rsid w:val="0007695B"/>
    <w:rsid w:val="005615C6"/>
    <w:rsid w:val="005E078B"/>
    <w:rsid w:val="007D4061"/>
    <w:rsid w:val="008206ED"/>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A59674-66B1-4A1F-B0C0-2D293DD57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06ED"/>
    <w:pPr>
      <w:spacing w:after="120" w:line="240" w:lineRule="auto"/>
      <w:jc w:val="both"/>
    </w:pPr>
    <w:rPr>
      <w:rFonts w:ascii="Arial" w:eastAsia="Times New Roman" w:hAnsi="Arial" w:cs="Times New Roman"/>
      <w:color w:val="000000"/>
      <w:lang w:val="de-DE" w:eastAsia="de-DE"/>
    </w:rPr>
  </w:style>
  <w:style w:type="paragraph" w:styleId="Heading1">
    <w:name w:val="heading 1"/>
    <w:next w:val="Normal"/>
    <w:link w:val="Heading1Char"/>
    <w:uiPriority w:val="9"/>
    <w:unhideWhenUsed/>
    <w:qFormat/>
    <w:rsid w:val="008206ED"/>
    <w:pPr>
      <w:keepNext/>
      <w:keepLines/>
      <w:numPr>
        <w:numId w:val="1"/>
      </w:numPr>
      <w:spacing w:before="240" w:after="240" w:line="240" w:lineRule="auto"/>
      <w:ind w:left="567" w:hanging="567"/>
      <w:outlineLvl w:val="0"/>
    </w:pPr>
    <w:rPr>
      <w:rFonts w:ascii="Arial" w:eastAsia="Times New Roman" w:hAnsi="Arial" w:cs="Times New Roman"/>
      <w:b/>
      <w:color w:val="000000"/>
      <w:sz w:val="24"/>
      <w:lang w:val="de-DE" w:eastAsia="de-DE"/>
    </w:rPr>
  </w:style>
  <w:style w:type="paragraph" w:styleId="Heading2">
    <w:name w:val="heading 2"/>
    <w:basedOn w:val="Normal"/>
    <w:next w:val="Normal"/>
    <w:link w:val="Heading2Char"/>
    <w:uiPriority w:val="9"/>
    <w:unhideWhenUsed/>
    <w:qFormat/>
    <w:rsid w:val="008206ED"/>
    <w:pPr>
      <w:keepNext/>
      <w:keepLines/>
      <w:spacing w:before="120"/>
      <w:outlineLvl w:val="1"/>
    </w:pPr>
    <w:rPr>
      <w:rFonts w:eastAsiaTheme="majorEastAsia" w:cstheme="majorBidi"/>
      <w:b/>
      <w:color w:val="auto"/>
      <w:szCs w:val="26"/>
    </w:rPr>
  </w:style>
  <w:style w:type="paragraph" w:styleId="Heading3">
    <w:name w:val="heading 3"/>
    <w:basedOn w:val="Normal"/>
    <w:next w:val="Normal"/>
    <w:link w:val="Heading3Char"/>
    <w:uiPriority w:val="9"/>
    <w:unhideWhenUsed/>
    <w:qFormat/>
    <w:rsid w:val="008206ED"/>
    <w:pPr>
      <w:keepNext/>
      <w:keepLines/>
      <w:numPr>
        <w:ilvl w:val="2"/>
        <w:numId w:val="1"/>
      </w:numPr>
      <w:spacing w:before="40"/>
      <w:outlineLvl w:val="2"/>
    </w:pPr>
    <w:rPr>
      <w:rFonts w:eastAsiaTheme="majorEastAsia" w:cstheme="majorBidi"/>
      <w:color w:val="auto"/>
      <w:szCs w:val="24"/>
    </w:rPr>
  </w:style>
  <w:style w:type="paragraph" w:styleId="Heading4">
    <w:name w:val="heading 4"/>
    <w:basedOn w:val="Normal"/>
    <w:next w:val="Normal"/>
    <w:link w:val="Heading4Char"/>
    <w:uiPriority w:val="9"/>
    <w:semiHidden/>
    <w:unhideWhenUsed/>
    <w:qFormat/>
    <w:rsid w:val="008206ED"/>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206ED"/>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206ED"/>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8206ED"/>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8206ED"/>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206ED"/>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6ED"/>
    <w:rPr>
      <w:rFonts w:ascii="Arial" w:eastAsia="Times New Roman" w:hAnsi="Arial" w:cs="Times New Roman"/>
      <w:b/>
      <w:color w:val="000000"/>
      <w:sz w:val="24"/>
      <w:lang w:val="de-DE" w:eastAsia="de-DE"/>
    </w:rPr>
  </w:style>
  <w:style w:type="character" w:customStyle="1" w:styleId="Heading2Char">
    <w:name w:val="Heading 2 Char"/>
    <w:basedOn w:val="DefaultParagraphFont"/>
    <w:link w:val="Heading2"/>
    <w:uiPriority w:val="9"/>
    <w:rsid w:val="008206ED"/>
    <w:rPr>
      <w:rFonts w:ascii="Arial" w:eastAsiaTheme="majorEastAsia" w:hAnsi="Arial" w:cstheme="majorBidi"/>
      <w:b/>
      <w:szCs w:val="26"/>
      <w:lang w:val="de-DE" w:eastAsia="de-DE"/>
    </w:rPr>
  </w:style>
  <w:style w:type="character" w:customStyle="1" w:styleId="Heading3Char">
    <w:name w:val="Heading 3 Char"/>
    <w:basedOn w:val="DefaultParagraphFont"/>
    <w:link w:val="Heading3"/>
    <w:uiPriority w:val="9"/>
    <w:rsid w:val="008206ED"/>
    <w:rPr>
      <w:rFonts w:ascii="Arial" w:eastAsiaTheme="majorEastAsia" w:hAnsi="Arial" w:cstheme="majorBidi"/>
      <w:szCs w:val="24"/>
      <w:lang w:val="de-DE" w:eastAsia="de-DE"/>
    </w:rPr>
  </w:style>
  <w:style w:type="character" w:customStyle="1" w:styleId="Heading4Char">
    <w:name w:val="Heading 4 Char"/>
    <w:basedOn w:val="DefaultParagraphFont"/>
    <w:link w:val="Heading4"/>
    <w:uiPriority w:val="9"/>
    <w:semiHidden/>
    <w:rsid w:val="008206ED"/>
    <w:rPr>
      <w:rFonts w:asciiTheme="majorHAnsi" w:eastAsiaTheme="majorEastAsia" w:hAnsiTheme="majorHAnsi" w:cstheme="majorBidi"/>
      <w:i/>
      <w:iCs/>
      <w:color w:val="2E74B5" w:themeColor="accent1" w:themeShade="BF"/>
      <w:lang w:val="de-DE" w:eastAsia="de-DE"/>
    </w:rPr>
  </w:style>
  <w:style w:type="character" w:customStyle="1" w:styleId="Heading5Char">
    <w:name w:val="Heading 5 Char"/>
    <w:basedOn w:val="DefaultParagraphFont"/>
    <w:link w:val="Heading5"/>
    <w:uiPriority w:val="9"/>
    <w:semiHidden/>
    <w:rsid w:val="008206ED"/>
    <w:rPr>
      <w:rFonts w:asciiTheme="majorHAnsi" w:eastAsiaTheme="majorEastAsia" w:hAnsiTheme="majorHAnsi" w:cstheme="majorBidi"/>
      <w:color w:val="2E74B5" w:themeColor="accent1" w:themeShade="BF"/>
      <w:lang w:val="de-DE" w:eastAsia="de-DE"/>
    </w:rPr>
  </w:style>
  <w:style w:type="character" w:customStyle="1" w:styleId="Heading6Char">
    <w:name w:val="Heading 6 Char"/>
    <w:basedOn w:val="DefaultParagraphFont"/>
    <w:link w:val="Heading6"/>
    <w:uiPriority w:val="9"/>
    <w:semiHidden/>
    <w:rsid w:val="008206ED"/>
    <w:rPr>
      <w:rFonts w:asciiTheme="majorHAnsi" w:eastAsiaTheme="majorEastAsia" w:hAnsiTheme="majorHAnsi" w:cstheme="majorBidi"/>
      <w:color w:val="1F4D78" w:themeColor="accent1" w:themeShade="7F"/>
      <w:lang w:val="de-DE" w:eastAsia="de-DE"/>
    </w:rPr>
  </w:style>
  <w:style w:type="character" w:customStyle="1" w:styleId="Heading7Char">
    <w:name w:val="Heading 7 Char"/>
    <w:basedOn w:val="DefaultParagraphFont"/>
    <w:link w:val="Heading7"/>
    <w:uiPriority w:val="9"/>
    <w:semiHidden/>
    <w:rsid w:val="008206ED"/>
    <w:rPr>
      <w:rFonts w:asciiTheme="majorHAnsi" w:eastAsiaTheme="majorEastAsia" w:hAnsiTheme="majorHAnsi" w:cstheme="majorBidi"/>
      <w:i/>
      <w:iCs/>
      <w:color w:val="1F4D78" w:themeColor="accent1" w:themeShade="7F"/>
      <w:lang w:val="de-DE" w:eastAsia="de-DE"/>
    </w:rPr>
  </w:style>
  <w:style w:type="character" w:customStyle="1" w:styleId="Heading8Char">
    <w:name w:val="Heading 8 Char"/>
    <w:basedOn w:val="DefaultParagraphFont"/>
    <w:link w:val="Heading8"/>
    <w:uiPriority w:val="9"/>
    <w:semiHidden/>
    <w:rsid w:val="008206ED"/>
    <w:rPr>
      <w:rFonts w:asciiTheme="majorHAnsi" w:eastAsiaTheme="majorEastAsia" w:hAnsiTheme="majorHAnsi" w:cstheme="majorBidi"/>
      <w:color w:val="272727" w:themeColor="text1" w:themeTint="D8"/>
      <w:sz w:val="21"/>
      <w:szCs w:val="21"/>
      <w:lang w:val="de-DE" w:eastAsia="de-DE"/>
    </w:rPr>
  </w:style>
  <w:style w:type="character" w:customStyle="1" w:styleId="Heading9Char">
    <w:name w:val="Heading 9 Char"/>
    <w:basedOn w:val="DefaultParagraphFont"/>
    <w:link w:val="Heading9"/>
    <w:uiPriority w:val="9"/>
    <w:semiHidden/>
    <w:rsid w:val="008206ED"/>
    <w:rPr>
      <w:rFonts w:asciiTheme="majorHAnsi" w:eastAsiaTheme="majorEastAsia" w:hAnsiTheme="majorHAnsi" w:cstheme="majorBidi"/>
      <w:i/>
      <w:iCs/>
      <w:color w:val="272727" w:themeColor="text1" w:themeTint="D8"/>
      <w:sz w:val="21"/>
      <w:szCs w:val="21"/>
      <w:lang w:val="de-DE" w:eastAsia="de-DE"/>
    </w:rPr>
  </w:style>
  <w:style w:type="paragraph" w:styleId="ListParagraph">
    <w:name w:val="List Paragraph"/>
    <w:aliases w:val="List1,Punktliste"/>
    <w:basedOn w:val="Normal"/>
    <w:link w:val="ListParagraphChar"/>
    <w:uiPriority w:val="34"/>
    <w:qFormat/>
    <w:rsid w:val="008206ED"/>
    <w:pPr>
      <w:ind w:left="720"/>
      <w:contextualSpacing/>
    </w:pPr>
  </w:style>
  <w:style w:type="paragraph" w:styleId="Caption">
    <w:name w:val="caption"/>
    <w:basedOn w:val="Normal"/>
    <w:next w:val="Normal"/>
    <w:unhideWhenUsed/>
    <w:qFormat/>
    <w:rsid w:val="008206ED"/>
    <w:pPr>
      <w:tabs>
        <w:tab w:val="left" w:pos="709"/>
      </w:tabs>
      <w:spacing w:after="200"/>
      <w:ind w:left="709" w:hanging="709"/>
    </w:pPr>
    <w:rPr>
      <w:iCs/>
      <w:color w:val="auto"/>
      <w:szCs w:val="18"/>
    </w:rPr>
  </w:style>
  <w:style w:type="character" w:customStyle="1" w:styleId="ListParagraphChar">
    <w:name w:val="List Paragraph Char"/>
    <w:aliases w:val="List1 Char,Punktliste Char"/>
    <w:basedOn w:val="DefaultParagraphFont"/>
    <w:link w:val="ListParagraph"/>
    <w:uiPriority w:val="34"/>
    <w:locked/>
    <w:rsid w:val="008206ED"/>
    <w:rPr>
      <w:rFonts w:ascii="Arial" w:eastAsia="Times New Roman" w:hAnsi="Arial" w:cs="Times New Roman"/>
      <w:color w:val="000000"/>
      <w:lang w:val="de-DE" w:eastAsia="de-DE"/>
    </w:rPr>
  </w:style>
  <w:style w:type="paragraph" w:styleId="NoSpacing">
    <w:name w:val="No Spacing"/>
    <w:uiPriority w:val="1"/>
    <w:qFormat/>
    <w:rsid w:val="008206ED"/>
    <w:pPr>
      <w:spacing w:before="120" w:after="240" w:line="240" w:lineRule="auto"/>
      <w:jc w:val="center"/>
    </w:pPr>
    <w:rPr>
      <w:rFonts w:ascii="Arial" w:eastAsia="Times New Roman" w:hAnsi="Arial" w:cs="Times New Roman"/>
      <w:color w:val="000000"/>
      <w:sz w:val="20"/>
      <w:lang w:val="en-GB" w:eastAsia="de-DE"/>
    </w:rPr>
  </w:style>
  <w:style w:type="table" w:styleId="GridTable1Light">
    <w:name w:val="Grid Table 1 Light"/>
    <w:basedOn w:val="TableNormal"/>
    <w:uiPriority w:val="46"/>
    <w:rsid w:val="008206ED"/>
    <w:pPr>
      <w:spacing w:after="0" w:line="240" w:lineRule="auto"/>
    </w:pPr>
    <w:rPr>
      <w:rFonts w:eastAsiaTheme="minorEastAsia"/>
      <w:lang w:val="de-DE" w:eastAsia="de-D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1734</Words>
  <Characters>9884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2022-04-08T06:34:00Z</dcterms:created>
  <dcterms:modified xsi:type="dcterms:W3CDTF">2022-04-08T06:34:00Z</dcterms:modified>
</cp:coreProperties>
</file>