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E14252" w14:textId="593144FF" w:rsidR="00CD55E1" w:rsidRPr="00BA1BB9" w:rsidRDefault="00CD55E1" w:rsidP="00CD55E1">
      <w:pPr>
        <w:spacing w:line="480" w:lineRule="auto"/>
        <w:rPr>
          <w:rFonts w:ascii="Calibri" w:hAnsi="Calibri"/>
          <w:b/>
          <w:sz w:val="22"/>
          <w:szCs w:val="22"/>
          <w:u w:val="single"/>
        </w:rPr>
      </w:pPr>
      <w:r w:rsidRPr="00BA1BB9">
        <w:rPr>
          <w:rFonts w:ascii="Calibri" w:hAnsi="Calibri"/>
          <w:b/>
          <w:sz w:val="22"/>
          <w:szCs w:val="22"/>
          <w:u w:val="single"/>
        </w:rPr>
        <w:t>Online supplement 1</w:t>
      </w:r>
    </w:p>
    <w:p w14:paraId="0608EBD2" w14:textId="6BA47831" w:rsidR="00BA1BB9" w:rsidRPr="00BA1BB9" w:rsidRDefault="00CD55E1" w:rsidP="00CD55E1">
      <w:pPr>
        <w:spacing w:line="480" w:lineRule="auto"/>
        <w:rPr>
          <w:rFonts w:ascii="Calibri" w:hAnsi="Calibri"/>
          <w:sz w:val="22"/>
          <w:szCs w:val="22"/>
        </w:rPr>
      </w:pPr>
      <w:r w:rsidRPr="00BA1BB9">
        <w:rPr>
          <w:rFonts w:ascii="Calibri" w:hAnsi="Calibri"/>
          <w:b/>
          <w:sz w:val="22"/>
          <w:szCs w:val="22"/>
          <w:u w:val="single"/>
        </w:rPr>
        <w:t>Patient management</w:t>
      </w:r>
      <w:r w:rsidRPr="00BA1BB9">
        <w:rPr>
          <w:rFonts w:ascii="Calibri" w:hAnsi="Calibri"/>
          <w:b/>
          <w:sz w:val="22"/>
          <w:szCs w:val="22"/>
        </w:rPr>
        <w:t xml:space="preserve">  </w:t>
      </w:r>
      <w:r w:rsidRPr="00BA1BB9">
        <w:rPr>
          <w:rFonts w:ascii="Calibri" w:hAnsi="Calibri"/>
          <w:b/>
          <w:sz w:val="22"/>
          <w:szCs w:val="22"/>
        </w:rPr>
        <w:br/>
      </w:r>
      <w:r w:rsidRPr="00F41839">
        <w:rPr>
          <w:rFonts w:ascii="Calibri" w:hAnsi="Calibri"/>
          <w:sz w:val="22"/>
          <w:szCs w:val="22"/>
        </w:rPr>
        <w:t xml:space="preserve">Patients were admitted and treated initially according to British Thoracic Society (BTS) guidelines for COVID19 community acquired pneumonia with antibiotics, fluids and controlled oxygen where appropriate. Trust infection prevention measures were followed. </w:t>
      </w:r>
      <w:r w:rsidRPr="00F41839">
        <w:rPr>
          <w:rFonts w:ascii="Calibri" w:hAnsi="Calibri" w:cs="Calibri"/>
          <w:color w:val="000000"/>
          <w:sz w:val="22"/>
          <w:szCs w:val="22"/>
        </w:rPr>
        <w:t xml:space="preserve">No experimental agents were administered to these patients outside of clinical trials. A limited number of patients were enrolled in the UK RECOVERY trial and a trial of inhaled IFN-beta1a in COVID19 disease. No patients received ward-based continuous positive airway pressure non-invasive ventilation. Ward based bi-level non-invasive ventilation was only used if patients with pre-existing causes for chronic type-two respiratory failure were admitted with acute respiratory acidosis, with no evidence of infiltrates on their chest x-ray. </w:t>
      </w:r>
      <w:r w:rsidRPr="00F41839">
        <w:rPr>
          <w:rFonts w:ascii="Calibri" w:hAnsi="Calibri"/>
          <w:sz w:val="22"/>
          <w:szCs w:val="22"/>
        </w:rPr>
        <w:t xml:space="preserve">At the beginning of the pandemic, the trust introduced a rapid review Chest X-ray reporting service staffed by Consultant radiologists to ensure Chest X-rays were reported within 12 hours of being undertaken. All suspected COVID19 infected patients had a decision about escalation to critical care and discussion in relation to resuscitation status at their first review after admission (typically in less than 4 hours due to the introduction of resident consultants during the pandemic). </w:t>
      </w:r>
      <w:r w:rsidRPr="00F41839">
        <w:rPr>
          <w:rFonts w:ascii="Calibri" w:hAnsi="Calibri" w:cstheme="minorHAnsi"/>
          <w:color w:val="000000"/>
          <w:sz w:val="22"/>
          <w:szCs w:val="22"/>
        </w:rPr>
        <w:t>Patients who were for critical care escalation were reviewed by the critical care assessment  team if they had an altered GCS, persistently low systolic blood pressure (&lt;90mmgHg), respiratory acidosis (pH&lt;7.2) or were unable to maintain their target saturations or had a respiratory rate &gt;30 breaths per minute despite receiving a fractional inspired oxygen (FiO</w:t>
      </w:r>
      <w:r w:rsidRPr="00F41839">
        <w:rPr>
          <w:rFonts w:ascii="Calibri" w:hAnsi="Calibri" w:cstheme="minorHAnsi"/>
          <w:color w:val="000000"/>
          <w:sz w:val="22"/>
          <w:szCs w:val="22"/>
          <w:vertAlign w:val="subscript"/>
        </w:rPr>
        <w:t>2</w:t>
      </w:r>
      <w:r w:rsidRPr="00F41839">
        <w:rPr>
          <w:rFonts w:ascii="Calibri" w:hAnsi="Calibri" w:cstheme="minorHAnsi"/>
          <w:color w:val="000000"/>
          <w:sz w:val="22"/>
          <w:szCs w:val="22"/>
        </w:rPr>
        <w:t xml:space="preserve">) of </w:t>
      </w:r>
      <w:r w:rsidRPr="00F41839">
        <w:rPr>
          <w:rFonts w:ascii="Calibri" w:hAnsi="Calibri" w:cs="Arial"/>
          <w:color w:val="222222"/>
          <w:sz w:val="22"/>
          <w:szCs w:val="22"/>
          <w:shd w:val="clear" w:color="auto" w:fill="FFFFFF"/>
        </w:rPr>
        <w:t>≥</w:t>
      </w:r>
      <w:r w:rsidRPr="00F41839">
        <w:rPr>
          <w:rFonts w:ascii="Calibri" w:hAnsi="Calibri"/>
          <w:sz w:val="22"/>
          <w:szCs w:val="22"/>
        </w:rPr>
        <w:t xml:space="preserve"> </w:t>
      </w:r>
      <w:r w:rsidRPr="00F41839">
        <w:rPr>
          <w:rFonts w:ascii="Calibri" w:hAnsi="Calibri" w:cstheme="minorHAnsi"/>
          <w:color w:val="000000"/>
          <w:sz w:val="22"/>
          <w:szCs w:val="22"/>
        </w:rPr>
        <w:t xml:space="preserve">0.5. If deemed appropriate, patients were intubated and transferred to critical care subsequently. </w:t>
      </w:r>
      <w:r w:rsidRPr="00F41839">
        <w:rPr>
          <w:rFonts w:ascii="Calibri" w:hAnsi="Calibri" w:cs="Calibri"/>
          <w:color w:val="000000"/>
          <w:sz w:val="22"/>
          <w:szCs w:val="22"/>
        </w:rPr>
        <w:t>All patients were prescribed their regular medications for existing medical conditions whilst in hospital unless a medication was contraindicated for clinical reasons in which case it was paused temporarily until safe to resume. All patients received 40 mg subcutaneous enoxaparin as venous thromboembolic disease prophylaxis daily, unless it was contraindicated, as per our hospital policy.</w:t>
      </w:r>
    </w:p>
    <w:p w14:paraId="56B1D86B" w14:textId="4491C808" w:rsidR="00BA1BB9" w:rsidRDefault="00BA1BB9" w:rsidP="00CD55E1">
      <w:pPr>
        <w:spacing w:line="480" w:lineRule="auto"/>
        <w:rPr>
          <w:rFonts w:ascii="Calibri" w:hAnsi="Calibri"/>
          <w:sz w:val="22"/>
          <w:szCs w:val="22"/>
        </w:rPr>
      </w:pPr>
    </w:p>
    <w:p w14:paraId="792B5945" w14:textId="77777777" w:rsidR="00ED6A99" w:rsidRPr="00BA1BB9" w:rsidRDefault="00ED6A99" w:rsidP="00CD55E1">
      <w:pPr>
        <w:spacing w:line="480" w:lineRule="auto"/>
        <w:rPr>
          <w:rFonts w:ascii="Calibri" w:hAnsi="Calibri"/>
          <w:sz w:val="22"/>
          <w:szCs w:val="22"/>
        </w:rPr>
      </w:pPr>
    </w:p>
    <w:p w14:paraId="27FDB3F8" w14:textId="0EACBF5B" w:rsidR="00620763" w:rsidRDefault="00CD55E1" w:rsidP="00CD55E1">
      <w:pPr>
        <w:spacing w:line="480" w:lineRule="auto"/>
        <w:rPr>
          <w:rFonts w:ascii="Calibri" w:hAnsi="Calibri"/>
          <w:b/>
          <w:sz w:val="22"/>
          <w:szCs w:val="22"/>
          <w:u w:val="single"/>
        </w:rPr>
      </w:pPr>
      <w:r w:rsidRPr="00BA1BB9">
        <w:rPr>
          <w:rFonts w:ascii="Calibri" w:hAnsi="Calibri"/>
          <w:b/>
          <w:sz w:val="22"/>
          <w:szCs w:val="22"/>
          <w:u w:val="single"/>
        </w:rPr>
        <w:lastRenderedPageBreak/>
        <w:t>Online supplement 2</w:t>
      </w:r>
    </w:p>
    <w:p w14:paraId="1435B0C5" w14:textId="77777777" w:rsidR="00D671E7" w:rsidRPr="00D671E7" w:rsidRDefault="00D671E7" w:rsidP="00CD55E1">
      <w:pPr>
        <w:spacing w:line="480" w:lineRule="auto"/>
        <w:rPr>
          <w:rFonts w:ascii="Calibri" w:hAnsi="Calibri"/>
          <w:b/>
          <w:sz w:val="22"/>
          <w:szCs w:val="22"/>
          <w:u w:val="single"/>
        </w:rPr>
      </w:pPr>
    </w:p>
    <w:tbl>
      <w:tblPr>
        <w:tblStyle w:val="TableGrid"/>
        <w:tblW w:w="10915" w:type="dxa"/>
        <w:tblInd w:w="-957" w:type="dxa"/>
        <w:tblLook w:val="04A0" w:firstRow="1" w:lastRow="0" w:firstColumn="1" w:lastColumn="0" w:noHBand="0" w:noVBand="1"/>
      </w:tblPr>
      <w:tblGrid>
        <w:gridCol w:w="1082"/>
        <w:gridCol w:w="969"/>
        <w:gridCol w:w="1056"/>
        <w:gridCol w:w="1132"/>
        <w:gridCol w:w="1211"/>
        <w:gridCol w:w="911"/>
        <w:gridCol w:w="1889"/>
        <w:gridCol w:w="1263"/>
        <w:gridCol w:w="1402"/>
      </w:tblGrid>
      <w:tr w:rsidR="00D671E7" w:rsidRPr="004729A3" w14:paraId="3C18B0EA" w14:textId="77777777" w:rsidTr="00834BE2">
        <w:tc>
          <w:tcPr>
            <w:tcW w:w="1082" w:type="dxa"/>
          </w:tcPr>
          <w:p w14:paraId="4BDE5154" w14:textId="77777777" w:rsidR="00081540" w:rsidRPr="004729A3" w:rsidRDefault="00081540" w:rsidP="00761722">
            <w:pPr>
              <w:spacing w:line="480" w:lineRule="auto"/>
              <w:rPr>
                <w:rFonts w:ascii="Calibri" w:hAnsi="Calibri" w:cs="Calibri"/>
                <w:b/>
                <w:color w:val="000000" w:themeColor="text1"/>
                <w:sz w:val="16"/>
                <w:szCs w:val="16"/>
              </w:rPr>
            </w:pPr>
            <w:r w:rsidRPr="004729A3">
              <w:rPr>
                <w:rFonts w:ascii="Calibri" w:hAnsi="Calibri" w:cs="Calibri"/>
                <w:b/>
                <w:color w:val="000000" w:themeColor="text1"/>
                <w:sz w:val="16"/>
                <w:szCs w:val="16"/>
              </w:rPr>
              <w:t>Authors</w:t>
            </w:r>
          </w:p>
        </w:tc>
        <w:tc>
          <w:tcPr>
            <w:tcW w:w="969" w:type="dxa"/>
          </w:tcPr>
          <w:p w14:paraId="2AE2E91F" w14:textId="77777777" w:rsidR="00081540" w:rsidRPr="004729A3" w:rsidRDefault="00081540" w:rsidP="00761722">
            <w:pPr>
              <w:spacing w:line="480" w:lineRule="auto"/>
              <w:rPr>
                <w:rFonts w:ascii="Calibri" w:hAnsi="Calibri" w:cs="Calibri"/>
                <w:b/>
                <w:color w:val="000000" w:themeColor="text1"/>
                <w:sz w:val="16"/>
                <w:szCs w:val="16"/>
              </w:rPr>
            </w:pPr>
            <w:r w:rsidRPr="004729A3">
              <w:rPr>
                <w:rFonts w:ascii="Calibri" w:hAnsi="Calibri" w:cs="Calibri"/>
                <w:b/>
                <w:color w:val="000000" w:themeColor="text1"/>
                <w:sz w:val="16"/>
                <w:szCs w:val="16"/>
              </w:rPr>
              <w:t>Score name</w:t>
            </w:r>
          </w:p>
        </w:tc>
        <w:tc>
          <w:tcPr>
            <w:tcW w:w="1056" w:type="dxa"/>
          </w:tcPr>
          <w:p w14:paraId="5E16096D" w14:textId="77777777" w:rsidR="00081540" w:rsidRPr="004729A3" w:rsidRDefault="00081540" w:rsidP="00761722">
            <w:pPr>
              <w:spacing w:line="480" w:lineRule="auto"/>
              <w:rPr>
                <w:rFonts w:ascii="Calibri" w:hAnsi="Calibri" w:cs="Calibri"/>
                <w:b/>
                <w:color w:val="000000" w:themeColor="text1"/>
                <w:sz w:val="16"/>
                <w:szCs w:val="16"/>
              </w:rPr>
            </w:pPr>
            <w:r w:rsidRPr="004729A3">
              <w:rPr>
                <w:rFonts w:ascii="Calibri" w:hAnsi="Calibri" w:cs="Calibri"/>
                <w:b/>
                <w:color w:val="000000" w:themeColor="text1"/>
                <w:sz w:val="16"/>
                <w:szCs w:val="16"/>
              </w:rPr>
              <w:t>Country of derivation</w:t>
            </w:r>
          </w:p>
        </w:tc>
        <w:tc>
          <w:tcPr>
            <w:tcW w:w="1132" w:type="dxa"/>
          </w:tcPr>
          <w:p w14:paraId="0E747929" w14:textId="77777777" w:rsidR="00081540" w:rsidRPr="004729A3" w:rsidRDefault="00081540" w:rsidP="00761722">
            <w:pPr>
              <w:spacing w:line="480" w:lineRule="auto"/>
              <w:rPr>
                <w:rFonts w:ascii="Calibri" w:hAnsi="Calibri" w:cs="Calibri"/>
                <w:b/>
                <w:color w:val="000000" w:themeColor="text1"/>
                <w:sz w:val="16"/>
                <w:szCs w:val="16"/>
              </w:rPr>
            </w:pPr>
            <w:r w:rsidRPr="004729A3">
              <w:rPr>
                <w:rFonts w:ascii="Calibri" w:hAnsi="Calibri" w:cs="Calibri"/>
                <w:b/>
                <w:color w:val="000000" w:themeColor="text1"/>
                <w:sz w:val="16"/>
                <w:szCs w:val="16"/>
              </w:rPr>
              <w:t>Development population</w:t>
            </w:r>
          </w:p>
        </w:tc>
        <w:tc>
          <w:tcPr>
            <w:tcW w:w="1211" w:type="dxa"/>
          </w:tcPr>
          <w:p w14:paraId="2558D637" w14:textId="77777777" w:rsidR="00081540" w:rsidRPr="004729A3" w:rsidRDefault="00081540" w:rsidP="00761722">
            <w:pPr>
              <w:spacing w:line="480" w:lineRule="auto"/>
              <w:rPr>
                <w:rFonts w:ascii="Calibri" w:hAnsi="Calibri" w:cs="Calibri"/>
                <w:b/>
                <w:color w:val="000000" w:themeColor="text1"/>
                <w:sz w:val="16"/>
                <w:szCs w:val="16"/>
              </w:rPr>
            </w:pPr>
            <w:r w:rsidRPr="004729A3">
              <w:rPr>
                <w:rFonts w:ascii="Calibri" w:hAnsi="Calibri" w:cs="Calibri"/>
                <w:b/>
                <w:color w:val="000000" w:themeColor="text1"/>
                <w:sz w:val="16"/>
                <w:szCs w:val="16"/>
              </w:rPr>
              <w:t>Pre-existing or COVID specific</w:t>
            </w:r>
          </w:p>
        </w:tc>
        <w:tc>
          <w:tcPr>
            <w:tcW w:w="911" w:type="dxa"/>
          </w:tcPr>
          <w:p w14:paraId="5C1EB7EC" w14:textId="77777777" w:rsidR="00081540" w:rsidRPr="004729A3" w:rsidRDefault="00081540" w:rsidP="00761722">
            <w:pPr>
              <w:spacing w:line="480" w:lineRule="auto"/>
              <w:rPr>
                <w:rFonts w:ascii="Calibri" w:hAnsi="Calibri" w:cs="Calibri"/>
                <w:b/>
                <w:color w:val="000000" w:themeColor="text1"/>
                <w:sz w:val="16"/>
                <w:szCs w:val="16"/>
              </w:rPr>
            </w:pPr>
            <w:r w:rsidRPr="004729A3">
              <w:rPr>
                <w:rFonts w:ascii="Calibri" w:hAnsi="Calibri" w:cs="Calibri"/>
                <w:b/>
                <w:color w:val="000000" w:themeColor="text1"/>
                <w:sz w:val="16"/>
                <w:szCs w:val="16"/>
              </w:rPr>
              <w:t>Model outcome</w:t>
            </w:r>
          </w:p>
        </w:tc>
        <w:tc>
          <w:tcPr>
            <w:tcW w:w="1889" w:type="dxa"/>
          </w:tcPr>
          <w:p w14:paraId="2182BE90" w14:textId="77777777" w:rsidR="00081540" w:rsidRPr="004729A3" w:rsidRDefault="00081540" w:rsidP="00761722">
            <w:pPr>
              <w:spacing w:line="480" w:lineRule="auto"/>
              <w:rPr>
                <w:rFonts w:ascii="Calibri" w:hAnsi="Calibri" w:cs="Calibri"/>
                <w:b/>
                <w:color w:val="000000" w:themeColor="text1"/>
                <w:sz w:val="16"/>
                <w:szCs w:val="16"/>
              </w:rPr>
            </w:pPr>
            <w:r w:rsidRPr="004729A3">
              <w:rPr>
                <w:rFonts w:ascii="Calibri" w:hAnsi="Calibri" w:cs="Calibri"/>
                <w:b/>
                <w:color w:val="000000" w:themeColor="text1"/>
                <w:sz w:val="16"/>
                <w:szCs w:val="16"/>
              </w:rPr>
              <w:t>Predictors</w:t>
            </w:r>
          </w:p>
        </w:tc>
        <w:tc>
          <w:tcPr>
            <w:tcW w:w="1263" w:type="dxa"/>
          </w:tcPr>
          <w:p w14:paraId="2FD56E62" w14:textId="77777777" w:rsidR="00081540" w:rsidRPr="004729A3" w:rsidRDefault="00081540" w:rsidP="00761722">
            <w:pPr>
              <w:spacing w:line="480" w:lineRule="auto"/>
              <w:rPr>
                <w:rFonts w:ascii="Calibri" w:hAnsi="Calibri" w:cs="Calibri"/>
                <w:b/>
                <w:color w:val="000000" w:themeColor="text1"/>
                <w:sz w:val="16"/>
                <w:szCs w:val="16"/>
              </w:rPr>
            </w:pPr>
            <w:r w:rsidRPr="004729A3">
              <w:rPr>
                <w:rFonts w:ascii="Calibri" w:hAnsi="Calibri" w:cs="Calibri"/>
                <w:b/>
                <w:color w:val="000000" w:themeColor="text1"/>
                <w:sz w:val="16"/>
                <w:szCs w:val="16"/>
              </w:rPr>
              <w:t>Original modelling approach</w:t>
            </w:r>
          </w:p>
        </w:tc>
        <w:tc>
          <w:tcPr>
            <w:tcW w:w="1402" w:type="dxa"/>
          </w:tcPr>
          <w:p w14:paraId="29F877CD" w14:textId="77777777" w:rsidR="00081540" w:rsidRPr="004729A3" w:rsidRDefault="00081540" w:rsidP="00761722">
            <w:pPr>
              <w:spacing w:line="480" w:lineRule="auto"/>
              <w:rPr>
                <w:rFonts w:ascii="Calibri" w:hAnsi="Calibri" w:cs="Calibri"/>
                <w:b/>
                <w:color w:val="000000" w:themeColor="text1"/>
                <w:sz w:val="16"/>
                <w:szCs w:val="16"/>
              </w:rPr>
            </w:pPr>
            <w:r>
              <w:rPr>
                <w:rFonts w:ascii="Calibri" w:hAnsi="Calibri" w:cs="Calibri"/>
                <w:b/>
                <w:color w:val="000000" w:themeColor="text1"/>
                <w:sz w:val="16"/>
                <w:szCs w:val="16"/>
              </w:rPr>
              <w:t>How are predictors combined?</w:t>
            </w:r>
          </w:p>
        </w:tc>
      </w:tr>
      <w:tr w:rsidR="00D671E7" w:rsidRPr="004729A3" w14:paraId="1C2DAB53" w14:textId="77777777" w:rsidTr="00834BE2">
        <w:tc>
          <w:tcPr>
            <w:tcW w:w="1082" w:type="dxa"/>
          </w:tcPr>
          <w:p w14:paraId="1A47D8C0" w14:textId="77777777" w:rsidR="00081540" w:rsidRPr="009E1182" w:rsidRDefault="00081540" w:rsidP="00761722">
            <w:pPr>
              <w:spacing w:line="480" w:lineRule="auto"/>
              <w:rPr>
                <w:rFonts w:ascii="Calibri" w:hAnsi="Calibri" w:cs="Calibri"/>
                <w:color w:val="000000" w:themeColor="text1"/>
                <w:sz w:val="16"/>
                <w:szCs w:val="16"/>
              </w:rPr>
            </w:pPr>
            <w:r w:rsidRPr="009E1182">
              <w:rPr>
                <w:rFonts w:ascii="Calibri" w:hAnsi="Calibri" w:cs="Calibri"/>
                <w:color w:val="000000" w:themeColor="text1"/>
                <w:sz w:val="16"/>
                <w:szCs w:val="16"/>
              </w:rPr>
              <w:t>Lim et al.</w:t>
            </w:r>
          </w:p>
        </w:tc>
        <w:tc>
          <w:tcPr>
            <w:tcW w:w="969" w:type="dxa"/>
          </w:tcPr>
          <w:p w14:paraId="51530C20" w14:textId="77777777" w:rsidR="00081540" w:rsidRPr="00834BE2" w:rsidRDefault="00081540" w:rsidP="00761722">
            <w:pPr>
              <w:spacing w:line="480" w:lineRule="auto"/>
              <w:rPr>
                <w:rFonts w:ascii="Calibri" w:hAnsi="Calibri" w:cs="Calibri"/>
                <w:color w:val="000000" w:themeColor="text1"/>
                <w:sz w:val="16"/>
                <w:szCs w:val="16"/>
              </w:rPr>
            </w:pPr>
            <w:r w:rsidRPr="00834BE2">
              <w:rPr>
                <w:rFonts w:ascii="Calibri" w:hAnsi="Calibri" w:cs="Calibri"/>
                <w:color w:val="000000" w:themeColor="text1"/>
                <w:sz w:val="16"/>
                <w:szCs w:val="16"/>
              </w:rPr>
              <w:t>CURB65</w:t>
            </w:r>
          </w:p>
        </w:tc>
        <w:tc>
          <w:tcPr>
            <w:tcW w:w="1056" w:type="dxa"/>
          </w:tcPr>
          <w:p w14:paraId="26C6B605" w14:textId="77777777" w:rsidR="009E1182" w:rsidRPr="00BA1BB9" w:rsidRDefault="009E1182" w:rsidP="009E1182">
            <w:pPr>
              <w:rPr>
                <w:rFonts w:ascii="Calibri" w:hAnsi="Calibri"/>
                <w:sz w:val="22"/>
                <w:szCs w:val="22"/>
              </w:rPr>
            </w:pPr>
            <w:r w:rsidRPr="009E1182">
              <w:rPr>
                <w:rFonts w:ascii="Calibri" w:hAnsi="Calibri" w:cs="Calibri"/>
                <w:color w:val="000000" w:themeColor="text1"/>
                <w:sz w:val="16"/>
                <w:szCs w:val="16"/>
              </w:rPr>
              <w:t>UK, Netherlands, New Zealand</w:t>
            </w:r>
          </w:p>
          <w:p w14:paraId="7A050150" w14:textId="2E2D9C02" w:rsidR="00081540" w:rsidRPr="009E1182" w:rsidRDefault="00081540" w:rsidP="00761722">
            <w:pPr>
              <w:spacing w:line="480" w:lineRule="auto"/>
              <w:rPr>
                <w:rFonts w:ascii="Calibri" w:hAnsi="Calibri" w:cs="Calibri"/>
                <w:color w:val="000000" w:themeColor="text1"/>
                <w:sz w:val="16"/>
                <w:szCs w:val="16"/>
              </w:rPr>
            </w:pPr>
          </w:p>
        </w:tc>
        <w:tc>
          <w:tcPr>
            <w:tcW w:w="1132" w:type="dxa"/>
          </w:tcPr>
          <w:p w14:paraId="464C799C" w14:textId="77777777" w:rsidR="009E1182" w:rsidRPr="009E1182" w:rsidRDefault="009E1182" w:rsidP="009E1182">
            <w:pPr>
              <w:rPr>
                <w:rFonts w:ascii="Calibri" w:hAnsi="Calibri"/>
                <w:sz w:val="22"/>
                <w:szCs w:val="22"/>
              </w:rPr>
            </w:pPr>
            <w:r w:rsidRPr="009E1182">
              <w:rPr>
                <w:rFonts w:ascii="Calibri" w:hAnsi="Calibri" w:cs="Calibri"/>
                <w:color w:val="000000" w:themeColor="text1"/>
                <w:sz w:val="16"/>
                <w:szCs w:val="16"/>
              </w:rPr>
              <w:t>Patients with community acquired pneumonia</w:t>
            </w:r>
          </w:p>
          <w:p w14:paraId="2D10442A" w14:textId="194A31F2" w:rsidR="00081540" w:rsidRPr="009E1182" w:rsidRDefault="00081540" w:rsidP="00761722">
            <w:pPr>
              <w:spacing w:line="480" w:lineRule="auto"/>
              <w:rPr>
                <w:rFonts w:ascii="Calibri" w:hAnsi="Calibri" w:cs="Calibri"/>
                <w:color w:val="000000" w:themeColor="text1"/>
                <w:sz w:val="16"/>
                <w:szCs w:val="16"/>
              </w:rPr>
            </w:pPr>
          </w:p>
        </w:tc>
        <w:tc>
          <w:tcPr>
            <w:tcW w:w="1211" w:type="dxa"/>
          </w:tcPr>
          <w:p w14:paraId="76F3F201" w14:textId="77777777" w:rsidR="009E1182" w:rsidRPr="009E1182" w:rsidRDefault="009E1182" w:rsidP="009E1182">
            <w:pPr>
              <w:rPr>
                <w:rFonts w:ascii="Calibri" w:hAnsi="Calibri"/>
                <w:sz w:val="16"/>
                <w:szCs w:val="16"/>
              </w:rPr>
            </w:pPr>
            <w:r w:rsidRPr="009E1182">
              <w:rPr>
                <w:rFonts w:ascii="Calibri" w:hAnsi="Calibri"/>
                <w:sz w:val="16"/>
                <w:szCs w:val="16"/>
              </w:rPr>
              <w:t>Pre-existing community acquired pneumonia</w:t>
            </w:r>
          </w:p>
          <w:p w14:paraId="6413BA86" w14:textId="70299CE2" w:rsidR="00081540" w:rsidRPr="009E1182" w:rsidRDefault="00081540" w:rsidP="00761722">
            <w:pPr>
              <w:spacing w:line="480" w:lineRule="auto"/>
              <w:rPr>
                <w:rFonts w:ascii="Calibri" w:hAnsi="Calibri" w:cs="Calibri"/>
                <w:color w:val="000000" w:themeColor="text1"/>
                <w:sz w:val="16"/>
                <w:szCs w:val="16"/>
              </w:rPr>
            </w:pPr>
          </w:p>
        </w:tc>
        <w:tc>
          <w:tcPr>
            <w:tcW w:w="911" w:type="dxa"/>
          </w:tcPr>
          <w:p w14:paraId="3CA77EF6" w14:textId="77777777" w:rsidR="009D756A" w:rsidRDefault="009D756A" w:rsidP="009D756A">
            <w:pPr>
              <w:rPr>
                <w:rFonts w:ascii="Calibri" w:hAnsi="Calibri"/>
                <w:sz w:val="22"/>
                <w:szCs w:val="22"/>
              </w:rPr>
            </w:pPr>
            <w:r w:rsidRPr="009E1182">
              <w:rPr>
                <w:rFonts w:ascii="Calibri" w:hAnsi="Calibri" w:cs="Calibri"/>
                <w:color w:val="000000" w:themeColor="text1"/>
                <w:sz w:val="16"/>
                <w:szCs w:val="16"/>
              </w:rPr>
              <w:t>30 day mortality</w:t>
            </w:r>
          </w:p>
          <w:p w14:paraId="63E79A84" w14:textId="2E65D699" w:rsidR="00081540" w:rsidRPr="009E1182" w:rsidRDefault="00081540" w:rsidP="00761722">
            <w:pPr>
              <w:spacing w:line="480" w:lineRule="auto"/>
              <w:rPr>
                <w:rFonts w:ascii="Calibri" w:hAnsi="Calibri" w:cs="Calibri"/>
                <w:color w:val="000000" w:themeColor="text1"/>
                <w:sz w:val="16"/>
                <w:szCs w:val="16"/>
              </w:rPr>
            </w:pPr>
          </w:p>
        </w:tc>
        <w:tc>
          <w:tcPr>
            <w:tcW w:w="1889" w:type="dxa"/>
          </w:tcPr>
          <w:p w14:paraId="471FB31D" w14:textId="2B7A056B" w:rsidR="00081540" w:rsidRPr="009E1182" w:rsidRDefault="00081540" w:rsidP="00081540">
            <w:pPr>
              <w:rPr>
                <w:rFonts w:ascii="Calibri" w:hAnsi="Calibri" w:cs="Calibri"/>
                <w:color w:val="000000" w:themeColor="text1"/>
                <w:sz w:val="16"/>
                <w:szCs w:val="16"/>
              </w:rPr>
            </w:pPr>
            <w:r w:rsidRPr="009E1182">
              <w:rPr>
                <w:rFonts w:ascii="Calibri" w:hAnsi="Calibri" w:cs="Segoe UI"/>
                <w:color w:val="242C35"/>
                <w:spacing w:val="5"/>
                <w:sz w:val="16"/>
                <w:szCs w:val="16"/>
                <w:shd w:val="clear" w:color="auto" w:fill="FFFFFF"/>
              </w:rPr>
              <w:t>N</w:t>
            </w:r>
            <w:r w:rsidRPr="009E1182">
              <w:rPr>
                <w:rFonts w:ascii="Calibri" w:hAnsi="Calibri" w:cs="Segoe UI"/>
                <w:color w:val="242C35"/>
                <w:spacing w:val="5"/>
                <w:sz w:val="16"/>
                <w:szCs w:val="16"/>
                <w:shd w:val="clear" w:color="auto" w:fill="FFFFFF"/>
              </w:rPr>
              <w:t>ew onset confusion, urea (&gt;7mmol/L), respiratory rate (</w:t>
            </w:r>
            <w:r w:rsidRPr="009E1182">
              <w:rPr>
                <w:rFonts w:ascii="Calibri" w:hAnsi="Calibri"/>
                <w:bCs/>
                <w:sz w:val="16"/>
                <w:szCs w:val="16"/>
              </w:rPr>
              <w:sym w:font="Symbol" w:char="F0B3"/>
            </w:r>
            <w:r w:rsidRPr="009E1182">
              <w:rPr>
                <w:rFonts w:ascii="Calibri" w:hAnsi="Calibri" w:cs="Segoe UI"/>
                <w:color w:val="242C35"/>
                <w:spacing w:val="5"/>
                <w:sz w:val="16"/>
                <w:szCs w:val="16"/>
                <w:shd w:val="clear" w:color="auto" w:fill="FFFFFF"/>
              </w:rPr>
              <w:t xml:space="preserve">30 breaths/minute), blood pressure (&lt;90mmHg systolic or </w:t>
            </w:r>
            <w:r w:rsidRPr="009E1182">
              <w:rPr>
                <w:rFonts w:ascii="Calibri" w:hAnsi="Calibri"/>
                <w:bCs/>
                <w:sz w:val="16"/>
                <w:szCs w:val="16"/>
              </w:rPr>
              <w:sym w:font="Symbol" w:char="F0A3"/>
            </w:r>
            <w:r w:rsidRPr="009E1182">
              <w:rPr>
                <w:rFonts w:ascii="Calibri" w:hAnsi="Calibri" w:cs="Segoe UI"/>
                <w:color w:val="242C35"/>
                <w:spacing w:val="5"/>
                <w:sz w:val="16"/>
                <w:szCs w:val="16"/>
                <w:shd w:val="clear" w:color="auto" w:fill="FFFFFF"/>
              </w:rPr>
              <w:t>60mmHg diastolic) and age (</w:t>
            </w:r>
            <w:r w:rsidRPr="009E1182">
              <w:rPr>
                <w:rFonts w:ascii="Calibri" w:hAnsi="Calibri"/>
                <w:bCs/>
                <w:sz w:val="16"/>
                <w:szCs w:val="16"/>
              </w:rPr>
              <w:sym w:font="Symbol" w:char="F0B3"/>
            </w:r>
            <w:r w:rsidRPr="009E1182">
              <w:rPr>
                <w:rFonts w:ascii="Calibri" w:hAnsi="Calibri" w:cs="Segoe UI"/>
                <w:color w:val="242C35"/>
                <w:spacing w:val="5"/>
                <w:sz w:val="16"/>
                <w:szCs w:val="16"/>
                <w:shd w:val="clear" w:color="auto" w:fill="FFFFFF"/>
              </w:rPr>
              <w:t>65 years).</w:t>
            </w:r>
          </w:p>
        </w:tc>
        <w:tc>
          <w:tcPr>
            <w:tcW w:w="1263" w:type="dxa"/>
          </w:tcPr>
          <w:p w14:paraId="17954290" w14:textId="77777777" w:rsidR="009D756A" w:rsidRDefault="009D756A" w:rsidP="009D756A">
            <w:pPr>
              <w:rPr>
                <w:rFonts w:ascii="Calibri" w:hAnsi="Calibri" w:cs="Calibri"/>
                <w:color w:val="000000" w:themeColor="text1"/>
                <w:sz w:val="16"/>
                <w:szCs w:val="16"/>
              </w:rPr>
            </w:pPr>
            <w:r>
              <w:rPr>
                <w:rFonts w:ascii="Calibri" w:hAnsi="Calibri" w:cs="Calibri"/>
                <w:color w:val="000000" w:themeColor="text1"/>
                <w:sz w:val="16"/>
                <w:szCs w:val="16"/>
              </w:rPr>
              <w:t>Logistic regression</w:t>
            </w:r>
          </w:p>
          <w:p w14:paraId="26272E5D" w14:textId="0BA8F075" w:rsidR="009D756A" w:rsidRPr="009E1182" w:rsidRDefault="009D756A" w:rsidP="009D756A">
            <w:pPr>
              <w:spacing w:line="480" w:lineRule="auto"/>
              <w:rPr>
                <w:rFonts w:ascii="Calibri" w:hAnsi="Calibri" w:cs="Calibri"/>
                <w:color w:val="000000" w:themeColor="text1"/>
                <w:sz w:val="16"/>
                <w:szCs w:val="16"/>
              </w:rPr>
            </w:pPr>
          </w:p>
        </w:tc>
        <w:tc>
          <w:tcPr>
            <w:tcW w:w="1402" w:type="dxa"/>
          </w:tcPr>
          <w:p w14:paraId="482A5C8F" w14:textId="6B1D70C6" w:rsidR="00081540" w:rsidRPr="009E1182" w:rsidRDefault="009D756A" w:rsidP="009D756A">
            <w:pPr>
              <w:rPr>
                <w:rFonts w:ascii="Calibri" w:hAnsi="Calibri" w:cs="Calibri"/>
                <w:color w:val="000000" w:themeColor="text1"/>
                <w:sz w:val="16"/>
                <w:szCs w:val="16"/>
              </w:rPr>
            </w:pPr>
            <w:r>
              <w:rPr>
                <w:rFonts w:ascii="Calibri" w:hAnsi="Calibri" w:cs="Calibri"/>
                <w:color w:val="000000" w:themeColor="text1"/>
                <w:sz w:val="16"/>
                <w:szCs w:val="16"/>
              </w:rPr>
              <w:t>Points based score</w:t>
            </w:r>
          </w:p>
        </w:tc>
      </w:tr>
      <w:tr w:rsidR="00D671E7" w:rsidRPr="004729A3" w14:paraId="25507D12" w14:textId="77777777" w:rsidTr="00834BE2">
        <w:tc>
          <w:tcPr>
            <w:tcW w:w="1082" w:type="dxa"/>
          </w:tcPr>
          <w:p w14:paraId="1F124CAC" w14:textId="77777777" w:rsidR="00D671E7" w:rsidRPr="009D756A" w:rsidRDefault="00D671E7" w:rsidP="00D671E7">
            <w:pPr>
              <w:spacing w:line="480" w:lineRule="auto"/>
              <w:rPr>
                <w:rFonts w:ascii="Calibri" w:hAnsi="Calibri" w:cs="Calibri"/>
                <w:color w:val="000000" w:themeColor="text1"/>
                <w:sz w:val="16"/>
                <w:szCs w:val="16"/>
              </w:rPr>
            </w:pPr>
            <w:r w:rsidRPr="009D756A">
              <w:rPr>
                <w:rFonts w:ascii="Calibri" w:hAnsi="Calibri" w:cs="Calibri"/>
                <w:color w:val="000000" w:themeColor="text1"/>
                <w:sz w:val="16"/>
                <w:szCs w:val="16"/>
              </w:rPr>
              <w:t>Gupta et al.</w:t>
            </w:r>
          </w:p>
        </w:tc>
        <w:tc>
          <w:tcPr>
            <w:tcW w:w="969" w:type="dxa"/>
          </w:tcPr>
          <w:p w14:paraId="0F7BDC79" w14:textId="77777777" w:rsidR="00834BE2" w:rsidRPr="00834BE2" w:rsidRDefault="00834BE2" w:rsidP="00834BE2">
            <w:pPr>
              <w:rPr>
                <w:rFonts w:ascii="Calibri" w:hAnsi="Calibri"/>
                <w:sz w:val="16"/>
                <w:szCs w:val="16"/>
              </w:rPr>
            </w:pPr>
            <w:r w:rsidRPr="00834BE2">
              <w:rPr>
                <w:rFonts w:ascii="Calibri" w:hAnsi="Calibri"/>
                <w:sz w:val="16"/>
                <w:szCs w:val="16"/>
              </w:rPr>
              <w:t>ISARIC4C mortality score</w:t>
            </w:r>
          </w:p>
          <w:p w14:paraId="1C141AD5" w14:textId="3944624C" w:rsidR="00D671E7" w:rsidRPr="00834BE2" w:rsidRDefault="00D671E7" w:rsidP="00D671E7">
            <w:pPr>
              <w:spacing w:line="480" w:lineRule="auto"/>
              <w:rPr>
                <w:rFonts w:ascii="Calibri" w:hAnsi="Calibri" w:cs="Calibri"/>
                <w:color w:val="000000" w:themeColor="text1"/>
                <w:sz w:val="16"/>
                <w:szCs w:val="16"/>
              </w:rPr>
            </w:pPr>
          </w:p>
        </w:tc>
        <w:tc>
          <w:tcPr>
            <w:tcW w:w="1056" w:type="dxa"/>
          </w:tcPr>
          <w:p w14:paraId="3BF6E7ED" w14:textId="43B203E1" w:rsidR="00D671E7" w:rsidRPr="00BA1BB9" w:rsidRDefault="00D671E7" w:rsidP="00D671E7">
            <w:pPr>
              <w:rPr>
                <w:rFonts w:ascii="Calibri" w:hAnsi="Calibri"/>
                <w:sz w:val="22"/>
                <w:szCs w:val="22"/>
              </w:rPr>
            </w:pPr>
            <w:r w:rsidRPr="009E1182">
              <w:rPr>
                <w:rFonts w:ascii="Calibri" w:hAnsi="Calibri" w:cs="Calibri"/>
                <w:color w:val="000000" w:themeColor="text1"/>
                <w:sz w:val="16"/>
                <w:szCs w:val="16"/>
              </w:rPr>
              <w:t xml:space="preserve">UK, </w:t>
            </w:r>
            <w:r>
              <w:rPr>
                <w:rFonts w:ascii="Calibri" w:hAnsi="Calibri" w:cs="Calibri"/>
                <w:color w:val="000000" w:themeColor="text1"/>
                <w:sz w:val="16"/>
                <w:szCs w:val="16"/>
              </w:rPr>
              <w:t xml:space="preserve">France, </w:t>
            </w:r>
            <w:r w:rsidRPr="009E1182">
              <w:rPr>
                <w:rFonts w:ascii="Calibri" w:hAnsi="Calibri" w:cs="Calibri"/>
                <w:color w:val="000000" w:themeColor="text1"/>
                <w:sz w:val="16"/>
                <w:szCs w:val="16"/>
              </w:rPr>
              <w:t xml:space="preserve">Netherlands, </w:t>
            </w:r>
            <w:r>
              <w:rPr>
                <w:rFonts w:ascii="Calibri" w:hAnsi="Calibri" w:cs="Calibri"/>
                <w:color w:val="000000" w:themeColor="text1"/>
                <w:sz w:val="16"/>
                <w:szCs w:val="16"/>
              </w:rPr>
              <w:t>Italy, Pakistan, Turkey, Canada</w:t>
            </w:r>
          </w:p>
          <w:p w14:paraId="4A5627A2" w14:textId="3B109D54" w:rsidR="00D671E7" w:rsidRPr="004729A3" w:rsidRDefault="00D671E7" w:rsidP="00D671E7">
            <w:pPr>
              <w:spacing w:line="480" w:lineRule="auto"/>
              <w:rPr>
                <w:rFonts w:ascii="Calibri" w:hAnsi="Calibri" w:cs="Calibri"/>
                <w:b/>
                <w:color w:val="000000" w:themeColor="text1"/>
                <w:sz w:val="16"/>
                <w:szCs w:val="16"/>
              </w:rPr>
            </w:pPr>
          </w:p>
        </w:tc>
        <w:tc>
          <w:tcPr>
            <w:tcW w:w="1132" w:type="dxa"/>
          </w:tcPr>
          <w:p w14:paraId="4458DE67" w14:textId="0B9581B4" w:rsidR="00D671E7" w:rsidRPr="009E1182" w:rsidRDefault="00D671E7" w:rsidP="00D671E7">
            <w:pPr>
              <w:rPr>
                <w:rFonts w:ascii="Calibri" w:hAnsi="Calibri"/>
                <w:sz w:val="22"/>
                <w:szCs w:val="22"/>
              </w:rPr>
            </w:pPr>
            <w:r w:rsidRPr="009E1182">
              <w:rPr>
                <w:rFonts w:ascii="Calibri" w:hAnsi="Calibri" w:cs="Calibri"/>
                <w:color w:val="000000" w:themeColor="text1"/>
                <w:sz w:val="16"/>
                <w:szCs w:val="16"/>
              </w:rPr>
              <w:t xml:space="preserve">Patients </w:t>
            </w:r>
            <w:r>
              <w:rPr>
                <w:rFonts w:ascii="Calibri" w:hAnsi="Calibri" w:cs="Calibri"/>
                <w:color w:val="000000" w:themeColor="text1"/>
                <w:sz w:val="16"/>
                <w:szCs w:val="16"/>
              </w:rPr>
              <w:t>admitted with COVID19</w:t>
            </w:r>
          </w:p>
          <w:p w14:paraId="663B4BEA" w14:textId="364A9712" w:rsidR="00D671E7" w:rsidRPr="004729A3" w:rsidRDefault="00D671E7" w:rsidP="00D671E7">
            <w:pPr>
              <w:spacing w:line="480" w:lineRule="auto"/>
              <w:rPr>
                <w:rFonts w:ascii="Calibri" w:hAnsi="Calibri" w:cs="Calibri"/>
                <w:b/>
                <w:color w:val="000000" w:themeColor="text1"/>
                <w:sz w:val="16"/>
                <w:szCs w:val="16"/>
              </w:rPr>
            </w:pPr>
          </w:p>
        </w:tc>
        <w:tc>
          <w:tcPr>
            <w:tcW w:w="1211" w:type="dxa"/>
          </w:tcPr>
          <w:p w14:paraId="0BDC3697" w14:textId="77777777" w:rsidR="00D671E7" w:rsidRPr="00BB64D7" w:rsidRDefault="00D671E7" w:rsidP="00D671E7">
            <w:pPr>
              <w:spacing w:line="480" w:lineRule="auto"/>
              <w:rPr>
                <w:rFonts w:ascii="Calibri" w:hAnsi="Calibri" w:cs="Calibri"/>
                <w:color w:val="000000" w:themeColor="text1"/>
                <w:sz w:val="16"/>
                <w:szCs w:val="16"/>
              </w:rPr>
            </w:pPr>
            <w:r w:rsidRPr="00BB64D7">
              <w:rPr>
                <w:rFonts w:ascii="Calibri" w:hAnsi="Calibri" w:cs="Calibri"/>
                <w:color w:val="000000" w:themeColor="text1"/>
                <w:sz w:val="16"/>
                <w:szCs w:val="16"/>
              </w:rPr>
              <w:t>COVID specific</w:t>
            </w:r>
          </w:p>
        </w:tc>
        <w:tc>
          <w:tcPr>
            <w:tcW w:w="911" w:type="dxa"/>
          </w:tcPr>
          <w:p w14:paraId="1A26E585" w14:textId="0BDA957F" w:rsidR="00D671E7" w:rsidRPr="009D756A" w:rsidRDefault="00D671E7" w:rsidP="00D671E7">
            <w:pPr>
              <w:rPr>
                <w:rFonts w:ascii="Calibri" w:hAnsi="Calibri"/>
                <w:sz w:val="22"/>
                <w:szCs w:val="22"/>
              </w:rPr>
            </w:pPr>
            <w:r w:rsidRPr="009D756A">
              <w:rPr>
                <w:rFonts w:ascii="Calibri" w:hAnsi="Calibri" w:cs="Calibri"/>
                <w:color w:val="000000" w:themeColor="text1"/>
                <w:sz w:val="16"/>
                <w:szCs w:val="16"/>
              </w:rPr>
              <w:t>In hospital mortality</w:t>
            </w:r>
          </w:p>
        </w:tc>
        <w:tc>
          <w:tcPr>
            <w:tcW w:w="1889" w:type="dxa"/>
          </w:tcPr>
          <w:p w14:paraId="4B33846C" w14:textId="77777777" w:rsidR="00834BE2" w:rsidRDefault="00834BE2" w:rsidP="00834BE2">
            <w:pPr>
              <w:rPr>
                <w:rFonts w:ascii="Calibri" w:hAnsi="Calibri" w:cs="Segoe UI"/>
                <w:color w:val="242C35"/>
                <w:spacing w:val="5"/>
                <w:sz w:val="16"/>
                <w:szCs w:val="16"/>
                <w:shd w:val="clear" w:color="auto" w:fill="FFFFFF"/>
              </w:rPr>
            </w:pPr>
            <w:r>
              <w:rPr>
                <w:rFonts w:ascii="Calibri" w:hAnsi="Calibri" w:cs="Segoe UI"/>
                <w:color w:val="242C35"/>
                <w:spacing w:val="5"/>
                <w:sz w:val="16"/>
                <w:szCs w:val="16"/>
                <w:shd w:val="clear" w:color="auto" w:fill="FFFFFF"/>
              </w:rPr>
              <w:t xml:space="preserve">Age, Gender, Number of comorbidities, Respiratory Rate, Oxygen Saturations on room air, GCS, Urea, CRP </w:t>
            </w:r>
          </w:p>
          <w:p w14:paraId="613FEEAA" w14:textId="213FECAE" w:rsidR="00D671E7" w:rsidRPr="004729A3" w:rsidRDefault="00D671E7" w:rsidP="00D671E7">
            <w:pPr>
              <w:spacing w:line="480" w:lineRule="auto"/>
              <w:rPr>
                <w:rFonts w:ascii="Calibri" w:hAnsi="Calibri" w:cs="Calibri"/>
                <w:b/>
                <w:color w:val="000000" w:themeColor="text1"/>
                <w:sz w:val="16"/>
                <w:szCs w:val="16"/>
              </w:rPr>
            </w:pPr>
          </w:p>
        </w:tc>
        <w:tc>
          <w:tcPr>
            <w:tcW w:w="1263" w:type="dxa"/>
          </w:tcPr>
          <w:p w14:paraId="0C4A325F" w14:textId="77777777" w:rsidR="00D671E7" w:rsidRDefault="00D671E7" w:rsidP="00D671E7">
            <w:pPr>
              <w:rPr>
                <w:rFonts w:ascii="Calibri" w:hAnsi="Calibri" w:cs="Calibri"/>
                <w:color w:val="000000" w:themeColor="text1"/>
                <w:sz w:val="16"/>
                <w:szCs w:val="16"/>
              </w:rPr>
            </w:pPr>
            <w:r>
              <w:rPr>
                <w:rFonts w:ascii="Calibri" w:hAnsi="Calibri" w:cs="Calibri"/>
                <w:color w:val="000000" w:themeColor="text1"/>
                <w:sz w:val="16"/>
                <w:szCs w:val="16"/>
              </w:rPr>
              <w:t>Logistic regression</w:t>
            </w:r>
          </w:p>
          <w:p w14:paraId="6CB3D74E" w14:textId="20FE57B1" w:rsidR="00D671E7" w:rsidRPr="004729A3" w:rsidRDefault="00D671E7" w:rsidP="00D671E7">
            <w:pPr>
              <w:spacing w:line="480" w:lineRule="auto"/>
              <w:rPr>
                <w:rFonts w:ascii="Calibri" w:hAnsi="Calibri" w:cs="Calibri"/>
                <w:b/>
                <w:color w:val="000000" w:themeColor="text1"/>
                <w:sz w:val="16"/>
                <w:szCs w:val="16"/>
              </w:rPr>
            </w:pPr>
          </w:p>
        </w:tc>
        <w:tc>
          <w:tcPr>
            <w:tcW w:w="1402" w:type="dxa"/>
          </w:tcPr>
          <w:p w14:paraId="3C42D0E3" w14:textId="77777777" w:rsidR="00D671E7" w:rsidRDefault="00D671E7" w:rsidP="00D671E7">
            <w:pPr>
              <w:rPr>
                <w:rFonts w:ascii="Calibri" w:hAnsi="Calibri"/>
              </w:rPr>
            </w:pPr>
            <w:r>
              <w:rPr>
                <w:rFonts w:ascii="Calibri" w:hAnsi="Calibri" w:cs="Calibri"/>
                <w:color w:val="000000" w:themeColor="text1"/>
                <w:sz w:val="16"/>
                <w:szCs w:val="16"/>
              </w:rPr>
              <w:t>Points based score</w:t>
            </w:r>
          </w:p>
          <w:p w14:paraId="4A57CC96" w14:textId="7C53F74A" w:rsidR="00D671E7" w:rsidRPr="004729A3" w:rsidRDefault="00D671E7" w:rsidP="00D671E7">
            <w:pPr>
              <w:spacing w:line="480" w:lineRule="auto"/>
              <w:rPr>
                <w:rFonts w:ascii="Calibri" w:hAnsi="Calibri" w:cs="Calibri"/>
                <w:b/>
                <w:color w:val="000000" w:themeColor="text1"/>
                <w:sz w:val="16"/>
                <w:szCs w:val="16"/>
              </w:rPr>
            </w:pPr>
          </w:p>
        </w:tc>
      </w:tr>
    </w:tbl>
    <w:p w14:paraId="7C91C896" w14:textId="77777777" w:rsidR="00D95F97" w:rsidRDefault="00D95F97" w:rsidP="00CD55E1">
      <w:pPr>
        <w:spacing w:line="480" w:lineRule="auto"/>
        <w:rPr>
          <w:rFonts w:ascii="Calibri" w:hAnsi="Calibri"/>
          <w:color w:val="000000"/>
          <w:sz w:val="22"/>
          <w:szCs w:val="22"/>
          <w:shd w:val="clear" w:color="auto" w:fill="FFFFFF"/>
        </w:rPr>
      </w:pPr>
    </w:p>
    <w:p w14:paraId="50B61454" w14:textId="4222E268" w:rsidR="00D95F97" w:rsidRDefault="00D95F97" w:rsidP="00CD55E1">
      <w:pPr>
        <w:spacing w:line="480" w:lineRule="auto"/>
        <w:rPr>
          <w:rFonts w:ascii="Calibri" w:hAnsi="Calibri"/>
          <w:b/>
          <w:u w:val="single"/>
        </w:rPr>
        <w:sectPr w:rsidR="00D95F97" w:rsidSect="00834BE2">
          <w:pgSz w:w="11900" w:h="16840"/>
          <w:pgMar w:top="1440" w:right="1440" w:bottom="1440" w:left="1440" w:header="708" w:footer="708" w:gutter="0"/>
          <w:cols w:space="708"/>
          <w:docGrid w:linePitch="360"/>
        </w:sectPr>
      </w:pPr>
      <w:r>
        <w:rPr>
          <w:rFonts w:ascii="Calibri" w:hAnsi="Calibri" w:cstheme="minorHAnsi"/>
          <w:color w:val="000000"/>
          <w:sz w:val="22"/>
          <w:szCs w:val="22"/>
          <w:shd w:val="clear" w:color="auto" w:fill="FFFFFF"/>
        </w:rPr>
        <w:t>C</w:t>
      </w:r>
      <w:r>
        <w:rPr>
          <w:rFonts w:ascii="Calibri" w:hAnsi="Calibri" w:cstheme="minorHAnsi"/>
          <w:color w:val="000000"/>
          <w:sz w:val="22"/>
          <w:szCs w:val="22"/>
          <w:shd w:val="clear" w:color="auto" w:fill="FFFFFF"/>
        </w:rPr>
        <w:t xml:space="preserve">haracteristics of studies describing </w:t>
      </w:r>
      <w:r w:rsidRPr="005D4C0E">
        <w:rPr>
          <w:rFonts w:ascii="Calibri" w:hAnsi="Calibri" w:cstheme="minorHAnsi"/>
          <w:color w:val="000000"/>
          <w:sz w:val="22"/>
          <w:szCs w:val="22"/>
          <w:shd w:val="clear" w:color="auto" w:fill="FFFFFF"/>
        </w:rPr>
        <w:t>CURB65 and</w:t>
      </w:r>
      <w:r>
        <w:rPr>
          <w:rFonts w:ascii="Calibri" w:hAnsi="Calibri" w:cstheme="minorHAnsi"/>
          <w:color w:val="000000"/>
          <w:sz w:val="22"/>
          <w:szCs w:val="22"/>
          <w:shd w:val="clear" w:color="auto" w:fill="FFFFFF"/>
        </w:rPr>
        <w:t xml:space="preserve"> ISARIC4C mortality models</w:t>
      </w:r>
    </w:p>
    <w:p w14:paraId="64652557" w14:textId="5FDD87F8" w:rsidR="008A33ED" w:rsidRPr="00676148" w:rsidRDefault="00BA1BB9" w:rsidP="00CD55E1">
      <w:pPr>
        <w:spacing w:line="480" w:lineRule="auto"/>
        <w:rPr>
          <w:rFonts w:ascii="Calibri" w:hAnsi="Calibri"/>
        </w:rPr>
        <w:sectPr w:rsidR="008A33ED" w:rsidRPr="00676148" w:rsidSect="00D8632F">
          <w:pgSz w:w="16840" w:h="11900" w:orient="landscape"/>
          <w:pgMar w:top="1440" w:right="1440" w:bottom="1440" w:left="1440" w:header="708" w:footer="708" w:gutter="0"/>
          <w:cols w:space="708"/>
          <w:docGrid w:linePitch="360"/>
        </w:sectPr>
      </w:pPr>
      <w:r>
        <w:rPr>
          <w:noProof/>
        </w:rPr>
        <w:lastRenderedPageBreak/>
        <w:drawing>
          <wp:anchor distT="0" distB="0" distL="114300" distR="114300" simplePos="0" relativeHeight="251658240" behindDoc="1" locked="0" layoutInCell="1" allowOverlap="1" wp14:anchorId="2AF2FDFC" wp14:editId="0E5F5544">
            <wp:simplePos x="0" y="0"/>
            <wp:positionH relativeFrom="column">
              <wp:posOffset>-654685</wp:posOffset>
            </wp:positionH>
            <wp:positionV relativeFrom="paragraph">
              <wp:posOffset>587022</wp:posOffset>
            </wp:positionV>
            <wp:extent cx="9674578" cy="4804410"/>
            <wp:effectExtent l="0" t="0" r="15875" b="8890"/>
            <wp:wrapTight wrapText="bothSides">
              <wp:wrapPolygon edited="0">
                <wp:start x="0" y="0"/>
                <wp:lineTo x="0" y="21583"/>
                <wp:lineTo x="21607" y="21583"/>
                <wp:lineTo x="21607" y="0"/>
                <wp:lineTo x="0" y="0"/>
              </wp:wrapPolygon>
            </wp:wrapTight>
            <wp:docPr id="3" name="Chart 3">
              <a:extLst xmlns:a="http://schemas.openxmlformats.org/drawingml/2006/main">
                <a:ext uri="{FF2B5EF4-FFF2-40B4-BE49-F238E27FC236}">
                  <a16:creationId xmlns:a16="http://schemas.microsoft.com/office/drawing/2014/main" id="{42A20366-D2C7-F64D-9F2A-CC0069FF6AD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14:sizeRelH relativeFrom="page">
              <wp14:pctWidth>0</wp14:pctWidth>
            </wp14:sizeRelH>
            <wp14:sizeRelV relativeFrom="page">
              <wp14:pctHeight>0</wp14:pctHeight>
            </wp14:sizeRelV>
          </wp:anchor>
        </w:drawing>
      </w:r>
      <w:r w:rsidR="00676148" w:rsidRPr="00676148">
        <w:rPr>
          <w:rFonts w:ascii="Calibri" w:hAnsi="Calibri"/>
          <w:b/>
          <w:u w:val="single"/>
        </w:rPr>
        <w:t>Online supplemen</w:t>
      </w:r>
      <w:r w:rsidR="00D8466F">
        <w:rPr>
          <w:rFonts w:ascii="Calibri" w:hAnsi="Calibri"/>
          <w:b/>
          <w:u w:val="single"/>
        </w:rPr>
        <w:t xml:space="preserve">t </w:t>
      </w:r>
      <w:r w:rsidR="00C73B19">
        <w:rPr>
          <w:rFonts w:ascii="Calibri" w:hAnsi="Calibri"/>
          <w:b/>
          <w:u w:val="single"/>
        </w:rPr>
        <w:t>3</w:t>
      </w:r>
    </w:p>
    <w:p w14:paraId="4158B32C" w14:textId="1B0E9E28" w:rsidR="00C73B19" w:rsidRPr="00C73B19" w:rsidRDefault="00C73B19" w:rsidP="00C73B19">
      <w:pPr>
        <w:spacing w:line="480" w:lineRule="auto"/>
        <w:rPr>
          <w:rFonts w:ascii="Calibri" w:hAnsi="Calibri"/>
          <w:b/>
          <w:color w:val="000000" w:themeColor="text1"/>
          <w:u w:val="single"/>
        </w:rPr>
      </w:pPr>
      <w:r w:rsidRPr="00C73B19">
        <w:rPr>
          <w:rFonts w:ascii="Calibri" w:hAnsi="Calibri"/>
          <w:b/>
          <w:color w:val="000000" w:themeColor="text1"/>
          <w:u w:val="single"/>
        </w:rPr>
        <w:lastRenderedPageBreak/>
        <w:t>Online supplement 4</w:t>
      </w:r>
    </w:p>
    <w:p w14:paraId="77F4D871" w14:textId="03E7B892" w:rsidR="00C73B19" w:rsidRPr="00BA1BB9" w:rsidRDefault="001F49C6" w:rsidP="00C73B19">
      <w:pPr>
        <w:spacing w:line="480" w:lineRule="auto"/>
        <w:rPr>
          <w:rFonts w:ascii="Calibri" w:hAnsi="Calibri" w:cs="Calibri"/>
          <w:color w:val="000000" w:themeColor="text1"/>
          <w:sz w:val="22"/>
          <w:szCs w:val="22"/>
        </w:rPr>
      </w:pPr>
      <w:r>
        <w:rPr>
          <w:rFonts w:ascii="Calibri" w:hAnsi="Calibri"/>
          <w:color w:val="000000" w:themeColor="text1"/>
          <w:sz w:val="22"/>
          <w:szCs w:val="22"/>
        </w:rPr>
        <w:t xml:space="preserve">Univariate analyses revealed that </w:t>
      </w:r>
      <w:r w:rsidR="00C73B19" w:rsidRPr="00BA1BB9">
        <w:rPr>
          <w:rFonts w:ascii="Calibri" w:hAnsi="Calibri"/>
          <w:color w:val="000000" w:themeColor="text1"/>
          <w:sz w:val="22"/>
          <w:szCs w:val="22"/>
        </w:rPr>
        <w:t xml:space="preserve">COVID19 positive patients of BAME ethnicity </w:t>
      </w:r>
      <w:r w:rsidR="00C73B19" w:rsidRPr="00BA1BB9">
        <w:rPr>
          <w:rFonts w:ascii="Calibri" w:hAnsi="Calibri" w:cs="Calibri"/>
          <w:color w:val="000000" w:themeColor="text1"/>
          <w:sz w:val="22"/>
          <w:szCs w:val="22"/>
          <w:shd w:val="clear" w:color="auto" w:fill="FFFFFF"/>
        </w:rPr>
        <w:t xml:space="preserve">were more likely to be </w:t>
      </w:r>
      <w:r w:rsidR="00C73B19" w:rsidRPr="00BA1BB9">
        <w:rPr>
          <w:rFonts w:ascii="Calibri" w:hAnsi="Calibri"/>
          <w:color w:val="000000" w:themeColor="text1"/>
          <w:sz w:val="22"/>
          <w:szCs w:val="22"/>
        </w:rPr>
        <w:t>admitted from regions of</w:t>
      </w:r>
      <w:r w:rsidR="00C73B19" w:rsidRPr="00BA1BB9">
        <w:rPr>
          <w:rFonts w:ascii="Calibri" w:hAnsi="Calibri" w:cs="Calibri"/>
          <w:color w:val="000000" w:themeColor="text1"/>
          <w:sz w:val="22"/>
          <w:szCs w:val="22"/>
        </w:rPr>
        <w:t xml:space="preserve"> highest wider BHS</w:t>
      </w:r>
      <w:r w:rsidR="00C73B19" w:rsidRPr="00BA1BB9">
        <w:rPr>
          <w:rFonts w:ascii="Calibri" w:hAnsi="Calibri"/>
          <w:color w:val="000000" w:themeColor="text1"/>
          <w:sz w:val="22"/>
          <w:szCs w:val="22"/>
        </w:rPr>
        <w:t xml:space="preserve"> deprivation which contains an indicator for household overcrowding [OR </w:t>
      </w:r>
      <w:r w:rsidR="00C73B19" w:rsidRPr="00BA1BB9">
        <w:rPr>
          <w:rFonts w:ascii="Calibri" w:hAnsi="Calibri" w:cs="Arial"/>
          <w:color w:val="000000"/>
          <w:sz w:val="22"/>
          <w:szCs w:val="22"/>
          <w:shd w:val="clear" w:color="auto" w:fill="FFFFFF"/>
        </w:rPr>
        <w:t>4.4</w:t>
      </w:r>
      <w:r w:rsidR="00C73B19">
        <w:rPr>
          <w:rFonts w:ascii="Calibri" w:hAnsi="Calibri" w:cs="Arial"/>
          <w:color w:val="000000"/>
          <w:sz w:val="22"/>
          <w:szCs w:val="22"/>
          <w:shd w:val="clear" w:color="auto" w:fill="FFFFFF"/>
        </w:rPr>
        <w:t xml:space="preserve">2 </w:t>
      </w:r>
      <w:r w:rsidR="00C73B19" w:rsidRPr="00BA1BB9">
        <w:rPr>
          <w:rFonts w:ascii="Calibri" w:hAnsi="Calibri" w:cs="Calibri"/>
          <w:color w:val="000000" w:themeColor="text1"/>
          <w:sz w:val="22"/>
          <w:szCs w:val="22"/>
        </w:rPr>
        <w:t>(</w:t>
      </w:r>
      <w:r w:rsidR="00C73B19" w:rsidRPr="00BA1BB9">
        <w:rPr>
          <w:rFonts w:ascii="Calibri" w:hAnsi="Calibri" w:cs="Arial"/>
          <w:color w:val="000000"/>
          <w:sz w:val="22"/>
          <w:szCs w:val="22"/>
          <w:shd w:val="clear" w:color="auto" w:fill="FFFFFF"/>
        </w:rPr>
        <w:t>3.</w:t>
      </w:r>
      <w:r w:rsidR="00C73B19">
        <w:rPr>
          <w:rFonts w:ascii="Calibri" w:hAnsi="Calibri" w:cs="Arial"/>
          <w:color w:val="000000"/>
          <w:sz w:val="22"/>
          <w:szCs w:val="22"/>
          <w:shd w:val="clear" w:color="auto" w:fill="FFFFFF"/>
        </w:rPr>
        <w:t>59</w:t>
      </w:r>
      <w:r w:rsidR="00C73B19" w:rsidRPr="00BA1BB9">
        <w:rPr>
          <w:rFonts w:ascii="Calibri" w:hAnsi="Calibri" w:cs="Arial"/>
          <w:color w:val="000000"/>
          <w:sz w:val="22"/>
          <w:szCs w:val="22"/>
          <w:shd w:val="clear" w:color="auto" w:fill="FFFFFF"/>
        </w:rPr>
        <w:t>-5.</w:t>
      </w:r>
      <w:r w:rsidR="00C73B19">
        <w:rPr>
          <w:rFonts w:ascii="Calibri" w:hAnsi="Calibri" w:cs="Arial"/>
          <w:color w:val="000000"/>
          <w:sz w:val="22"/>
          <w:szCs w:val="22"/>
          <w:shd w:val="clear" w:color="auto" w:fill="FFFFFF"/>
        </w:rPr>
        <w:t>46</w:t>
      </w:r>
      <w:r w:rsidR="00C73B19" w:rsidRPr="00BA1BB9">
        <w:rPr>
          <w:rFonts w:ascii="Calibri" w:hAnsi="Calibri"/>
          <w:color w:val="000000" w:themeColor="text1"/>
          <w:sz w:val="22"/>
          <w:szCs w:val="22"/>
        </w:rPr>
        <w:t>)</w:t>
      </w:r>
      <w:r w:rsidR="00C73B19">
        <w:rPr>
          <w:rFonts w:ascii="Calibri" w:hAnsi="Calibri"/>
          <w:color w:val="000000" w:themeColor="text1"/>
          <w:sz w:val="22"/>
          <w:szCs w:val="22"/>
        </w:rPr>
        <w:t>;</w:t>
      </w:r>
      <w:r w:rsidR="00C73B19" w:rsidRPr="00BA1BB9">
        <w:rPr>
          <w:rFonts w:ascii="Calibri" w:hAnsi="Calibri"/>
          <w:color w:val="000000" w:themeColor="text1"/>
          <w:sz w:val="22"/>
          <w:szCs w:val="22"/>
        </w:rPr>
        <w:t xml:space="preserve"> </w:t>
      </w:r>
      <w:r w:rsidR="00C73B19" w:rsidRPr="00BA1BB9">
        <w:rPr>
          <w:rFonts w:ascii="Calibri" w:hAnsi="Calibri" w:cs="Calibri"/>
          <w:color w:val="000000" w:themeColor="text1"/>
          <w:sz w:val="22"/>
          <w:szCs w:val="22"/>
        </w:rPr>
        <w:t xml:space="preserve">p&lt;0.001], </w:t>
      </w:r>
      <w:r w:rsidR="00C73B19" w:rsidRPr="00BA1BB9">
        <w:rPr>
          <w:rFonts w:ascii="Calibri" w:hAnsi="Calibri"/>
          <w:color w:val="000000" w:themeColor="text1"/>
          <w:sz w:val="22"/>
          <w:szCs w:val="22"/>
        </w:rPr>
        <w:t xml:space="preserve">housing quality (indoor LE) deprivation [OR </w:t>
      </w:r>
      <w:r w:rsidR="00C73B19" w:rsidRPr="00BA1BB9">
        <w:rPr>
          <w:rFonts w:ascii="Calibri" w:hAnsi="Calibri" w:cs="Arial"/>
          <w:color w:val="000000"/>
          <w:sz w:val="22"/>
          <w:szCs w:val="22"/>
          <w:shd w:val="clear" w:color="auto" w:fill="FFFFFF"/>
        </w:rPr>
        <w:t>2.</w:t>
      </w:r>
      <w:r w:rsidR="00C73B19">
        <w:rPr>
          <w:rFonts w:ascii="Calibri" w:hAnsi="Calibri" w:cs="Arial"/>
          <w:color w:val="000000"/>
          <w:sz w:val="22"/>
          <w:szCs w:val="22"/>
          <w:shd w:val="clear" w:color="auto" w:fill="FFFFFF"/>
        </w:rPr>
        <w:t>01</w:t>
      </w:r>
      <w:r w:rsidR="00C73B19" w:rsidRPr="00BA1BB9">
        <w:rPr>
          <w:rFonts w:ascii="Calibri" w:hAnsi="Calibri" w:cs="Calibri"/>
          <w:color w:val="000000" w:themeColor="text1"/>
          <w:sz w:val="22"/>
          <w:szCs w:val="22"/>
        </w:rPr>
        <w:t>(</w:t>
      </w:r>
      <w:r w:rsidR="00C73B19" w:rsidRPr="00BA1BB9">
        <w:rPr>
          <w:rFonts w:ascii="Calibri" w:hAnsi="Calibri" w:cs="Arial"/>
          <w:color w:val="000000"/>
          <w:sz w:val="22"/>
          <w:szCs w:val="22"/>
          <w:shd w:val="clear" w:color="auto" w:fill="FFFFFF"/>
        </w:rPr>
        <w:t>1.</w:t>
      </w:r>
      <w:r w:rsidR="00C73B19">
        <w:rPr>
          <w:rFonts w:ascii="Calibri" w:hAnsi="Calibri" w:cs="Arial"/>
          <w:color w:val="000000"/>
          <w:sz w:val="22"/>
          <w:szCs w:val="22"/>
          <w:shd w:val="clear" w:color="auto" w:fill="FFFFFF"/>
        </w:rPr>
        <w:t>69</w:t>
      </w:r>
      <w:r w:rsidR="00C73B19" w:rsidRPr="00BA1BB9">
        <w:rPr>
          <w:rFonts w:ascii="Calibri" w:hAnsi="Calibri" w:cs="Arial"/>
          <w:color w:val="000000"/>
          <w:sz w:val="22"/>
          <w:szCs w:val="22"/>
          <w:shd w:val="clear" w:color="auto" w:fill="FFFFFF"/>
        </w:rPr>
        <w:t>-2.</w:t>
      </w:r>
      <w:r w:rsidR="00C73B19">
        <w:rPr>
          <w:rFonts w:ascii="Calibri" w:hAnsi="Calibri" w:cs="Arial"/>
          <w:color w:val="000000"/>
          <w:sz w:val="22"/>
          <w:szCs w:val="22"/>
          <w:shd w:val="clear" w:color="auto" w:fill="FFFFFF"/>
        </w:rPr>
        <w:t>39</w:t>
      </w:r>
      <w:r w:rsidR="00C73B19" w:rsidRPr="00BA1BB9">
        <w:rPr>
          <w:rFonts w:ascii="Calibri" w:hAnsi="Calibri" w:cs="Calibri"/>
          <w:color w:val="000000" w:themeColor="text1"/>
          <w:sz w:val="22"/>
          <w:szCs w:val="22"/>
        </w:rPr>
        <w:t>)</w:t>
      </w:r>
      <w:r w:rsidR="00C73B19">
        <w:rPr>
          <w:rFonts w:ascii="Calibri" w:hAnsi="Calibri" w:cs="Calibri"/>
          <w:color w:val="000000" w:themeColor="text1"/>
          <w:sz w:val="22"/>
          <w:szCs w:val="22"/>
        </w:rPr>
        <w:t>;</w:t>
      </w:r>
      <w:r w:rsidR="00C73B19" w:rsidRPr="00BA1BB9">
        <w:rPr>
          <w:rFonts w:ascii="Calibri" w:hAnsi="Calibri" w:cs="Calibri"/>
          <w:color w:val="000000" w:themeColor="text1"/>
          <w:sz w:val="22"/>
          <w:szCs w:val="22"/>
        </w:rPr>
        <w:t xml:space="preserve"> p&lt;0.001], air pollution (Outdoor LE) deprivation [OR </w:t>
      </w:r>
      <w:r w:rsidR="00C73B19">
        <w:rPr>
          <w:rFonts w:ascii="Calibri" w:hAnsi="Calibri" w:cs="Arial"/>
          <w:color w:val="000000"/>
          <w:sz w:val="22"/>
          <w:szCs w:val="22"/>
          <w:shd w:val="clear" w:color="auto" w:fill="FFFFFF"/>
        </w:rPr>
        <w:t>4.99</w:t>
      </w:r>
      <w:r w:rsidR="00C73B19" w:rsidRPr="00BA1BB9">
        <w:rPr>
          <w:rFonts w:ascii="Calibri" w:hAnsi="Calibri" w:cs="Calibri"/>
          <w:color w:val="000000" w:themeColor="text1"/>
          <w:sz w:val="22"/>
          <w:szCs w:val="22"/>
        </w:rPr>
        <w:t>(</w:t>
      </w:r>
      <w:r w:rsidR="00C73B19" w:rsidRPr="00BA1BB9">
        <w:rPr>
          <w:rFonts w:ascii="Calibri" w:hAnsi="Calibri" w:cs="Arial"/>
          <w:color w:val="000000"/>
          <w:sz w:val="22"/>
          <w:szCs w:val="22"/>
          <w:shd w:val="clear" w:color="auto" w:fill="FFFFFF"/>
        </w:rPr>
        <w:t>4.</w:t>
      </w:r>
      <w:r w:rsidR="00C73B19">
        <w:rPr>
          <w:rFonts w:ascii="Calibri" w:hAnsi="Calibri" w:cs="Arial"/>
          <w:color w:val="000000"/>
          <w:sz w:val="22"/>
          <w:szCs w:val="22"/>
          <w:shd w:val="clear" w:color="auto" w:fill="FFFFFF"/>
        </w:rPr>
        <w:t>05</w:t>
      </w:r>
      <w:r w:rsidR="00C73B19" w:rsidRPr="00BA1BB9">
        <w:rPr>
          <w:rFonts w:ascii="Calibri" w:hAnsi="Calibri" w:cs="Arial"/>
          <w:color w:val="000000"/>
          <w:sz w:val="22"/>
          <w:szCs w:val="22"/>
          <w:shd w:val="clear" w:color="auto" w:fill="FFFFFF"/>
        </w:rPr>
        <w:t>-6.</w:t>
      </w:r>
      <w:r w:rsidR="00C73B19">
        <w:rPr>
          <w:rFonts w:ascii="Calibri" w:hAnsi="Calibri" w:cs="Arial"/>
          <w:color w:val="000000"/>
          <w:sz w:val="22"/>
          <w:szCs w:val="22"/>
          <w:shd w:val="clear" w:color="auto" w:fill="FFFFFF"/>
        </w:rPr>
        <w:t>16</w:t>
      </w:r>
      <w:r w:rsidR="00C73B19" w:rsidRPr="00BA1BB9">
        <w:rPr>
          <w:rFonts w:ascii="Calibri" w:hAnsi="Calibri" w:cs="Calibri"/>
          <w:color w:val="000000" w:themeColor="text1"/>
          <w:sz w:val="22"/>
          <w:szCs w:val="22"/>
        </w:rPr>
        <w:t>)</w:t>
      </w:r>
      <w:r w:rsidR="00C73B19">
        <w:rPr>
          <w:rFonts w:ascii="Calibri" w:hAnsi="Calibri" w:cs="Calibri"/>
          <w:color w:val="000000" w:themeColor="text1"/>
          <w:sz w:val="22"/>
          <w:szCs w:val="22"/>
        </w:rPr>
        <w:t>;</w:t>
      </w:r>
      <w:r w:rsidR="00C73B19" w:rsidRPr="00BA1BB9">
        <w:rPr>
          <w:rFonts w:ascii="Calibri" w:hAnsi="Calibri" w:cs="Calibri"/>
          <w:color w:val="000000" w:themeColor="text1"/>
          <w:sz w:val="22"/>
          <w:szCs w:val="22"/>
        </w:rPr>
        <w:t xml:space="preserve"> </w:t>
      </w:r>
      <w:r w:rsidR="00C73B19">
        <w:rPr>
          <w:rFonts w:ascii="Calibri" w:hAnsi="Calibri" w:cs="Calibri"/>
          <w:color w:val="000000" w:themeColor="text1"/>
          <w:sz w:val="22"/>
          <w:szCs w:val="22"/>
        </w:rPr>
        <w:t>p</w:t>
      </w:r>
      <w:r w:rsidR="00C73B19" w:rsidRPr="00BA1BB9">
        <w:rPr>
          <w:rFonts w:ascii="Calibri" w:hAnsi="Calibri" w:cs="Calibri"/>
          <w:color w:val="000000" w:themeColor="text1"/>
          <w:sz w:val="22"/>
          <w:szCs w:val="22"/>
        </w:rPr>
        <w:t>&lt;0.001], Adult Skills</w:t>
      </w:r>
      <w:r w:rsidR="00C73B19">
        <w:rPr>
          <w:rFonts w:ascii="Calibri" w:hAnsi="Calibri" w:cs="Calibri"/>
          <w:color w:val="000000" w:themeColor="text1"/>
          <w:sz w:val="22"/>
          <w:szCs w:val="22"/>
        </w:rPr>
        <w:t xml:space="preserve"> </w:t>
      </w:r>
      <w:r w:rsidR="00C73B19" w:rsidRPr="00BA1BB9">
        <w:rPr>
          <w:rFonts w:ascii="Calibri" w:hAnsi="Calibri" w:cs="Calibri"/>
          <w:color w:val="000000" w:themeColor="text1"/>
          <w:sz w:val="22"/>
          <w:szCs w:val="22"/>
        </w:rPr>
        <w:t>deprivation [OR 3.</w:t>
      </w:r>
      <w:r w:rsidR="00C73B19">
        <w:rPr>
          <w:rFonts w:ascii="Calibri" w:hAnsi="Calibri" w:cs="Calibri"/>
          <w:color w:val="000000" w:themeColor="text1"/>
          <w:sz w:val="22"/>
          <w:szCs w:val="22"/>
        </w:rPr>
        <w:t>55</w:t>
      </w:r>
      <w:r w:rsidR="00C73B19" w:rsidRPr="00BA1BB9">
        <w:rPr>
          <w:rFonts w:ascii="Calibri" w:hAnsi="Calibri" w:cs="Calibri"/>
          <w:color w:val="000000" w:themeColor="text1"/>
          <w:sz w:val="22"/>
          <w:szCs w:val="22"/>
        </w:rPr>
        <w:t>(2.9</w:t>
      </w:r>
      <w:r w:rsidR="00C73B19">
        <w:rPr>
          <w:rFonts w:ascii="Calibri" w:hAnsi="Calibri" w:cs="Calibri"/>
          <w:color w:val="000000" w:themeColor="text1"/>
          <w:sz w:val="22"/>
          <w:szCs w:val="22"/>
        </w:rPr>
        <w:t>6</w:t>
      </w:r>
      <w:r w:rsidR="00C73B19" w:rsidRPr="00BA1BB9">
        <w:rPr>
          <w:rFonts w:ascii="Calibri" w:hAnsi="Calibri" w:cs="Calibri"/>
          <w:color w:val="000000" w:themeColor="text1"/>
          <w:sz w:val="22"/>
          <w:szCs w:val="22"/>
        </w:rPr>
        <w:t>-4.2</w:t>
      </w:r>
      <w:r w:rsidR="00C73B19">
        <w:rPr>
          <w:rFonts w:ascii="Calibri" w:hAnsi="Calibri" w:cs="Calibri"/>
          <w:color w:val="000000" w:themeColor="text1"/>
          <w:sz w:val="22"/>
          <w:szCs w:val="22"/>
        </w:rPr>
        <w:t>6</w:t>
      </w:r>
      <w:r w:rsidR="00C73B19" w:rsidRPr="00BA1BB9">
        <w:rPr>
          <w:rFonts w:ascii="Calibri" w:hAnsi="Calibri" w:cs="Calibri"/>
          <w:color w:val="000000" w:themeColor="text1"/>
          <w:sz w:val="22"/>
          <w:szCs w:val="22"/>
        </w:rPr>
        <w:t>)</w:t>
      </w:r>
      <w:r w:rsidR="00C73B19">
        <w:rPr>
          <w:rFonts w:ascii="Calibri" w:hAnsi="Calibri" w:cs="Calibri"/>
          <w:color w:val="000000" w:themeColor="text1"/>
          <w:sz w:val="22"/>
          <w:szCs w:val="22"/>
        </w:rPr>
        <w:t>;</w:t>
      </w:r>
      <w:r w:rsidR="00C73B19" w:rsidRPr="00BA1BB9">
        <w:rPr>
          <w:rFonts w:ascii="Calibri" w:hAnsi="Calibri" w:cs="Calibri"/>
          <w:color w:val="000000" w:themeColor="text1"/>
          <w:sz w:val="22"/>
          <w:szCs w:val="22"/>
        </w:rPr>
        <w:t xml:space="preserve"> p&lt;0.001], present with multi-lobar pneumonia [OR </w:t>
      </w:r>
      <w:r w:rsidR="00C73B19" w:rsidRPr="00BA1BB9">
        <w:rPr>
          <w:rFonts w:ascii="Calibri" w:hAnsi="Calibri" w:cs="Arial"/>
          <w:color w:val="000000"/>
          <w:sz w:val="22"/>
          <w:szCs w:val="22"/>
          <w:shd w:val="clear" w:color="auto" w:fill="FFFFFF"/>
        </w:rPr>
        <w:t>2.</w:t>
      </w:r>
      <w:r w:rsidR="00C73B19">
        <w:rPr>
          <w:rFonts w:ascii="Calibri" w:hAnsi="Calibri" w:cs="Arial"/>
          <w:color w:val="000000"/>
          <w:sz w:val="22"/>
          <w:szCs w:val="22"/>
          <w:shd w:val="clear" w:color="auto" w:fill="FFFFFF"/>
        </w:rPr>
        <w:t>47</w:t>
      </w:r>
      <w:r w:rsidR="00C73B19" w:rsidRPr="00BA1BB9">
        <w:rPr>
          <w:rFonts w:ascii="Calibri" w:hAnsi="Calibri" w:cs="Calibri"/>
          <w:color w:val="000000" w:themeColor="text1"/>
          <w:sz w:val="22"/>
          <w:szCs w:val="22"/>
        </w:rPr>
        <w:t>(</w:t>
      </w:r>
      <w:r w:rsidR="00C73B19" w:rsidRPr="00BA1BB9">
        <w:rPr>
          <w:rFonts w:ascii="Calibri" w:hAnsi="Calibri" w:cs="Arial"/>
          <w:color w:val="000000"/>
          <w:sz w:val="22"/>
          <w:szCs w:val="22"/>
          <w:shd w:val="clear" w:color="auto" w:fill="FFFFFF"/>
        </w:rPr>
        <w:t>2.</w:t>
      </w:r>
      <w:r w:rsidR="00C73B19">
        <w:rPr>
          <w:rFonts w:ascii="Calibri" w:hAnsi="Calibri" w:cs="Arial"/>
          <w:color w:val="000000"/>
          <w:sz w:val="22"/>
          <w:szCs w:val="22"/>
          <w:shd w:val="clear" w:color="auto" w:fill="FFFFFF"/>
        </w:rPr>
        <w:t>06</w:t>
      </w:r>
      <w:r w:rsidR="00C73B19" w:rsidRPr="00BA1BB9">
        <w:rPr>
          <w:rFonts w:ascii="Calibri" w:hAnsi="Calibri" w:cs="Arial"/>
          <w:color w:val="000000"/>
          <w:sz w:val="22"/>
          <w:szCs w:val="22"/>
          <w:shd w:val="clear" w:color="auto" w:fill="FFFFFF"/>
        </w:rPr>
        <w:t>-</w:t>
      </w:r>
      <w:r w:rsidR="00C73B19">
        <w:rPr>
          <w:rFonts w:ascii="Calibri" w:hAnsi="Calibri" w:cs="Arial"/>
          <w:color w:val="000000"/>
          <w:sz w:val="22"/>
          <w:szCs w:val="22"/>
          <w:shd w:val="clear" w:color="auto" w:fill="FFFFFF"/>
        </w:rPr>
        <w:t>2.95</w:t>
      </w:r>
      <w:r w:rsidR="00C73B19" w:rsidRPr="00BA1BB9">
        <w:rPr>
          <w:rFonts w:ascii="Calibri" w:hAnsi="Calibri" w:cs="Calibri"/>
          <w:color w:val="000000" w:themeColor="text1"/>
          <w:sz w:val="22"/>
          <w:szCs w:val="22"/>
        </w:rPr>
        <w:t>)</w:t>
      </w:r>
      <w:r w:rsidR="00C73B19">
        <w:rPr>
          <w:rFonts w:ascii="Calibri" w:hAnsi="Calibri" w:cs="Calibri"/>
          <w:color w:val="000000" w:themeColor="text1"/>
          <w:sz w:val="22"/>
          <w:szCs w:val="22"/>
        </w:rPr>
        <w:t>;</w:t>
      </w:r>
      <w:r w:rsidR="00C73B19" w:rsidRPr="00BA1BB9">
        <w:rPr>
          <w:rFonts w:ascii="Calibri" w:hAnsi="Calibri" w:cs="Calibri"/>
          <w:color w:val="000000" w:themeColor="text1"/>
          <w:sz w:val="22"/>
          <w:szCs w:val="22"/>
        </w:rPr>
        <w:t xml:space="preserve"> p&lt;0.001] and be admitted to ITU [OR </w:t>
      </w:r>
      <w:r w:rsidR="00C73B19" w:rsidRPr="00BA1BB9">
        <w:rPr>
          <w:rFonts w:ascii="Calibri" w:hAnsi="Calibri" w:cs="Arial"/>
          <w:color w:val="000000"/>
          <w:sz w:val="22"/>
          <w:szCs w:val="22"/>
          <w:shd w:val="clear" w:color="auto" w:fill="FFFFFF"/>
        </w:rPr>
        <w:t>2.8</w:t>
      </w:r>
      <w:r w:rsidR="00C73B19">
        <w:rPr>
          <w:rFonts w:ascii="Calibri" w:hAnsi="Calibri" w:cs="Arial"/>
          <w:color w:val="000000"/>
          <w:sz w:val="22"/>
          <w:szCs w:val="22"/>
          <w:shd w:val="clear" w:color="auto" w:fill="FFFFFF"/>
        </w:rPr>
        <w:t>2</w:t>
      </w:r>
      <w:r w:rsidR="00C73B19" w:rsidRPr="00BA1BB9">
        <w:rPr>
          <w:rFonts w:ascii="Calibri" w:hAnsi="Calibri" w:cs="Calibri"/>
          <w:color w:val="000000" w:themeColor="text1"/>
          <w:sz w:val="22"/>
          <w:szCs w:val="22"/>
        </w:rPr>
        <w:t>(</w:t>
      </w:r>
      <w:r w:rsidR="00C73B19" w:rsidRPr="00BA1BB9">
        <w:rPr>
          <w:rFonts w:ascii="Calibri" w:hAnsi="Calibri" w:cs="Arial"/>
          <w:color w:val="000000"/>
          <w:sz w:val="22"/>
          <w:szCs w:val="22"/>
          <w:shd w:val="clear" w:color="auto" w:fill="FFFFFF"/>
        </w:rPr>
        <w:t>2.2</w:t>
      </w:r>
      <w:r w:rsidR="00C73B19">
        <w:rPr>
          <w:rFonts w:ascii="Calibri" w:hAnsi="Calibri" w:cs="Arial"/>
          <w:color w:val="000000"/>
          <w:sz w:val="22"/>
          <w:szCs w:val="22"/>
          <w:shd w:val="clear" w:color="auto" w:fill="FFFFFF"/>
        </w:rPr>
        <w:t>2</w:t>
      </w:r>
      <w:r w:rsidR="00C73B19" w:rsidRPr="00BA1BB9">
        <w:rPr>
          <w:rFonts w:ascii="Calibri" w:hAnsi="Calibri" w:cs="Arial"/>
          <w:color w:val="000000"/>
          <w:sz w:val="22"/>
          <w:szCs w:val="22"/>
          <w:shd w:val="clear" w:color="auto" w:fill="FFFFFF"/>
        </w:rPr>
        <w:t>-3.6</w:t>
      </w:r>
      <w:r w:rsidR="00C73B19">
        <w:rPr>
          <w:rFonts w:ascii="Calibri" w:hAnsi="Calibri" w:cs="Arial"/>
          <w:color w:val="000000"/>
          <w:sz w:val="22"/>
          <w:szCs w:val="22"/>
          <w:shd w:val="clear" w:color="auto" w:fill="FFFFFF"/>
        </w:rPr>
        <w:t>1</w:t>
      </w:r>
      <w:r w:rsidR="00C73B19" w:rsidRPr="00BA1BB9">
        <w:rPr>
          <w:rFonts w:ascii="Calibri" w:hAnsi="Calibri" w:cs="Calibri"/>
          <w:color w:val="000000" w:themeColor="text1"/>
          <w:sz w:val="22"/>
          <w:szCs w:val="22"/>
        </w:rPr>
        <w:t>)</w:t>
      </w:r>
      <w:r w:rsidR="00C73B19">
        <w:rPr>
          <w:rFonts w:ascii="Calibri" w:hAnsi="Calibri" w:cs="Calibri"/>
          <w:color w:val="000000" w:themeColor="text1"/>
          <w:sz w:val="22"/>
          <w:szCs w:val="22"/>
        </w:rPr>
        <w:t>; p</w:t>
      </w:r>
      <w:r w:rsidR="00C73B19" w:rsidRPr="00BA1BB9">
        <w:rPr>
          <w:rFonts w:ascii="Calibri" w:hAnsi="Calibri" w:cs="Calibri"/>
          <w:color w:val="000000" w:themeColor="text1"/>
          <w:sz w:val="22"/>
          <w:szCs w:val="22"/>
        </w:rPr>
        <w:t xml:space="preserve">&lt;0.001] in comparison with Caucasian patients. </w:t>
      </w:r>
    </w:p>
    <w:p w14:paraId="01373997" w14:textId="77777777" w:rsidR="00C73B19" w:rsidRDefault="00C73B19">
      <w:pPr>
        <w:rPr>
          <w:rFonts w:ascii="Calibri" w:hAnsi="Calibri"/>
          <w:b/>
          <w:u w:val="single"/>
        </w:rPr>
      </w:pPr>
    </w:p>
    <w:p w14:paraId="731D52FA" w14:textId="77777777" w:rsidR="00C73B19" w:rsidRDefault="00C73B19">
      <w:pPr>
        <w:rPr>
          <w:rFonts w:ascii="Calibri" w:hAnsi="Calibri"/>
          <w:b/>
          <w:u w:val="single"/>
        </w:rPr>
      </w:pPr>
    </w:p>
    <w:p w14:paraId="2C1B7D47" w14:textId="77777777" w:rsidR="00C73B19" w:rsidRDefault="00C73B19">
      <w:pPr>
        <w:rPr>
          <w:rFonts w:ascii="Calibri" w:hAnsi="Calibri"/>
          <w:b/>
          <w:u w:val="single"/>
        </w:rPr>
      </w:pPr>
    </w:p>
    <w:p w14:paraId="1D4ADB59" w14:textId="77777777" w:rsidR="00C73B19" w:rsidRDefault="00C73B19">
      <w:pPr>
        <w:rPr>
          <w:rFonts w:ascii="Calibri" w:hAnsi="Calibri"/>
          <w:b/>
          <w:u w:val="single"/>
        </w:rPr>
      </w:pPr>
    </w:p>
    <w:p w14:paraId="7B0CDC1E" w14:textId="77777777" w:rsidR="00C73B19" w:rsidRDefault="00C73B19">
      <w:pPr>
        <w:rPr>
          <w:rFonts w:ascii="Calibri" w:hAnsi="Calibri"/>
          <w:b/>
          <w:u w:val="single"/>
        </w:rPr>
      </w:pPr>
    </w:p>
    <w:p w14:paraId="45695D32" w14:textId="77777777" w:rsidR="00C73B19" w:rsidRDefault="00C73B19">
      <w:pPr>
        <w:rPr>
          <w:rFonts w:ascii="Calibri" w:hAnsi="Calibri"/>
          <w:b/>
          <w:u w:val="single"/>
        </w:rPr>
      </w:pPr>
    </w:p>
    <w:p w14:paraId="211529DC" w14:textId="77777777" w:rsidR="00C73B19" w:rsidRDefault="00C73B19">
      <w:pPr>
        <w:rPr>
          <w:rFonts w:ascii="Calibri" w:hAnsi="Calibri"/>
          <w:b/>
          <w:u w:val="single"/>
        </w:rPr>
      </w:pPr>
    </w:p>
    <w:p w14:paraId="739B17D8" w14:textId="77777777" w:rsidR="00C73B19" w:rsidRDefault="00C73B19">
      <w:pPr>
        <w:rPr>
          <w:rFonts w:ascii="Calibri" w:hAnsi="Calibri"/>
          <w:b/>
          <w:u w:val="single"/>
        </w:rPr>
      </w:pPr>
    </w:p>
    <w:p w14:paraId="20567B46" w14:textId="77777777" w:rsidR="00C73B19" w:rsidRDefault="00C73B19">
      <w:pPr>
        <w:rPr>
          <w:rFonts w:ascii="Calibri" w:hAnsi="Calibri"/>
          <w:b/>
          <w:u w:val="single"/>
        </w:rPr>
      </w:pPr>
    </w:p>
    <w:p w14:paraId="67D01DAA" w14:textId="77777777" w:rsidR="00C73B19" w:rsidRDefault="00C73B19">
      <w:pPr>
        <w:rPr>
          <w:rFonts w:ascii="Calibri" w:hAnsi="Calibri"/>
          <w:b/>
          <w:u w:val="single"/>
        </w:rPr>
      </w:pPr>
    </w:p>
    <w:p w14:paraId="750BF5EA" w14:textId="77777777" w:rsidR="00C73B19" w:rsidRDefault="00C73B19">
      <w:pPr>
        <w:rPr>
          <w:rFonts w:ascii="Calibri" w:hAnsi="Calibri"/>
          <w:b/>
          <w:u w:val="single"/>
        </w:rPr>
      </w:pPr>
    </w:p>
    <w:p w14:paraId="1F19C432" w14:textId="77777777" w:rsidR="00C73B19" w:rsidRDefault="00C73B19">
      <w:pPr>
        <w:rPr>
          <w:rFonts w:ascii="Calibri" w:hAnsi="Calibri"/>
          <w:b/>
          <w:u w:val="single"/>
        </w:rPr>
      </w:pPr>
    </w:p>
    <w:p w14:paraId="22927DFF" w14:textId="77777777" w:rsidR="00C73B19" w:rsidRDefault="00C73B19">
      <w:pPr>
        <w:rPr>
          <w:rFonts w:ascii="Calibri" w:hAnsi="Calibri"/>
          <w:b/>
          <w:u w:val="single"/>
        </w:rPr>
      </w:pPr>
    </w:p>
    <w:p w14:paraId="1B17A002" w14:textId="77777777" w:rsidR="00C73B19" w:rsidRDefault="00C73B19">
      <w:pPr>
        <w:rPr>
          <w:rFonts w:ascii="Calibri" w:hAnsi="Calibri"/>
          <w:b/>
          <w:u w:val="single"/>
        </w:rPr>
      </w:pPr>
    </w:p>
    <w:p w14:paraId="77822E22" w14:textId="77777777" w:rsidR="00C73B19" w:rsidRDefault="00C73B19">
      <w:pPr>
        <w:rPr>
          <w:rFonts w:ascii="Calibri" w:hAnsi="Calibri"/>
          <w:b/>
          <w:u w:val="single"/>
        </w:rPr>
      </w:pPr>
    </w:p>
    <w:p w14:paraId="6023D55A" w14:textId="77777777" w:rsidR="00C73B19" w:rsidRDefault="00C73B19">
      <w:pPr>
        <w:rPr>
          <w:rFonts w:ascii="Calibri" w:hAnsi="Calibri"/>
          <w:b/>
          <w:u w:val="single"/>
        </w:rPr>
      </w:pPr>
    </w:p>
    <w:p w14:paraId="3C2C82A7" w14:textId="77777777" w:rsidR="00C73B19" w:rsidRDefault="00C73B19">
      <w:pPr>
        <w:rPr>
          <w:rFonts w:ascii="Calibri" w:hAnsi="Calibri"/>
          <w:b/>
          <w:u w:val="single"/>
        </w:rPr>
      </w:pPr>
    </w:p>
    <w:p w14:paraId="2DEF7758" w14:textId="77777777" w:rsidR="00C73B19" w:rsidRDefault="00C73B19">
      <w:pPr>
        <w:rPr>
          <w:rFonts w:ascii="Calibri" w:hAnsi="Calibri"/>
          <w:b/>
          <w:u w:val="single"/>
        </w:rPr>
      </w:pPr>
    </w:p>
    <w:p w14:paraId="71C319D0" w14:textId="77777777" w:rsidR="00C73B19" w:rsidRDefault="00C73B19">
      <w:pPr>
        <w:rPr>
          <w:rFonts w:ascii="Calibri" w:hAnsi="Calibri"/>
          <w:b/>
          <w:u w:val="single"/>
        </w:rPr>
      </w:pPr>
    </w:p>
    <w:p w14:paraId="0B219231" w14:textId="77777777" w:rsidR="00C73B19" w:rsidRDefault="00C73B19">
      <w:pPr>
        <w:rPr>
          <w:rFonts w:ascii="Calibri" w:hAnsi="Calibri"/>
          <w:b/>
          <w:u w:val="single"/>
        </w:rPr>
      </w:pPr>
    </w:p>
    <w:p w14:paraId="60FBA162" w14:textId="77777777" w:rsidR="00C73B19" w:rsidRDefault="00C73B19">
      <w:pPr>
        <w:rPr>
          <w:rFonts w:ascii="Calibri" w:hAnsi="Calibri"/>
          <w:b/>
          <w:u w:val="single"/>
        </w:rPr>
      </w:pPr>
    </w:p>
    <w:p w14:paraId="17A32F0A" w14:textId="42E8E810" w:rsidR="00C73B19" w:rsidRDefault="00C73B19">
      <w:pPr>
        <w:rPr>
          <w:rFonts w:ascii="Calibri" w:hAnsi="Calibri"/>
          <w:b/>
          <w:u w:val="single"/>
        </w:rPr>
      </w:pPr>
    </w:p>
    <w:p w14:paraId="7C1B784A" w14:textId="44E29DDA" w:rsidR="00C73B19" w:rsidRDefault="00C73B19">
      <w:pPr>
        <w:rPr>
          <w:rFonts w:ascii="Calibri" w:hAnsi="Calibri"/>
          <w:b/>
          <w:u w:val="single"/>
        </w:rPr>
      </w:pPr>
    </w:p>
    <w:p w14:paraId="44CE8E7C" w14:textId="433D002A" w:rsidR="00C73B19" w:rsidRDefault="00C73B19">
      <w:pPr>
        <w:rPr>
          <w:rFonts w:ascii="Calibri" w:hAnsi="Calibri"/>
          <w:b/>
          <w:u w:val="single"/>
        </w:rPr>
      </w:pPr>
    </w:p>
    <w:p w14:paraId="163C3249" w14:textId="1E61EAFF" w:rsidR="00C73B19" w:rsidRDefault="00C73B19">
      <w:pPr>
        <w:rPr>
          <w:rFonts w:ascii="Calibri" w:hAnsi="Calibri"/>
          <w:b/>
          <w:u w:val="single"/>
        </w:rPr>
      </w:pPr>
    </w:p>
    <w:p w14:paraId="2D80EF43" w14:textId="4667A0C6" w:rsidR="00C73B19" w:rsidRDefault="00C73B19">
      <w:pPr>
        <w:rPr>
          <w:rFonts w:ascii="Calibri" w:hAnsi="Calibri"/>
          <w:b/>
          <w:u w:val="single"/>
        </w:rPr>
      </w:pPr>
    </w:p>
    <w:p w14:paraId="108FB80E" w14:textId="7494A8AE" w:rsidR="00C73B19" w:rsidRDefault="00C73B19">
      <w:pPr>
        <w:rPr>
          <w:rFonts w:ascii="Calibri" w:hAnsi="Calibri"/>
          <w:b/>
          <w:u w:val="single"/>
        </w:rPr>
      </w:pPr>
    </w:p>
    <w:p w14:paraId="061812E0" w14:textId="6498D1FF" w:rsidR="00C73B19" w:rsidRDefault="00C73B19">
      <w:pPr>
        <w:rPr>
          <w:rFonts w:ascii="Calibri" w:hAnsi="Calibri"/>
          <w:b/>
          <w:u w:val="single"/>
        </w:rPr>
      </w:pPr>
    </w:p>
    <w:p w14:paraId="55BD0D6F" w14:textId="50B94772" w:rsidR="00C73B19" w:rsidRDefault="00C73B19">
      <w:pPr>
        <w:rPr>
          <w:rFonts w:ascii="Calibri" w:hAnsi="Calibri"/>
          <w:b/>
          <w:u w:val="single"/>
        </w:rPr>
      </w:pPr>
    </w:p>
    <w:p w14:paraId="6EF6BE5F" w14:textId="0AF23A2D" w:rsidR="00C73B19" w:rsidRDefault="00C73B19">
      <w:pPr>
        <w:rPr>
          <w:rFonts w:ascii="Calibri" w:hAnsi="Calibri"/>
          <w:b/>
          <w:u w:val="single"/>
        </w:rPr>
      </w:pPr>
    </w:p>
    <w:p w14:paraId="09AE86F9" w14:textId="077CC1E5" w:rsidR="00C73B19" w:rsidRDefault="00C73B19">
      <w:pPr>
        <w:rPr>
          <w:rFonts w:ascii="Calibri" w:hAnsi="Calibri"/>
          <w:b/>
          <w:u w:val="single"/>
        </w:rPr>
      </w:pPr>
    </w:p>
    <w:p w14:paraId="582733F3" w14:textId="7300CF3C" w:rsidR="00C73B19" w:rsidRDefault="00C73B19">
      <w:pPr>
        <w:rPr>
          <w:rFonts w:ascii="Calibri" w:hAnsi="Calibri"/>
          <w:b/>
          <w:u w:val="single"/>
        </w:rPr>
      </w:pPr>
    </w:p>
    <w:p w14:paraId="011B2876" w14:textId="77777777" w:rsidR="00C73B19" w:rsidRDefault="00C73B19">
      <w:pPr>
        <w:rPr>
          <w:rFonts w:ascii="Calibri" w:hAnsi="Calibri"/>
          <w:b/>
          <w:u w:val="single"/>
        </w:rPr>
      </w:pPr>
    </w:p>
    <w:p w14:paraId="2878657D" w14:textId="77777777" w:rsidR="00C73B19" w:rsidRDefault="00C73B19">
      <w:pPr>
        <w:rPr>
          <w:rFonts w:ascii="Calibri" w:hAnsi="Calibri"/>
          <w:b/>
          <w:u w:val="single"/>
        </w:rPr>
      </w:pPr>
    </w:p>
    <w:p w14:paraId="6E8F2FEA" w14:textId="16EBAD4A" w:rsidR="005A29EE" w:rsidRDefault="00C73B19">
      <w:pPr>
        <w:rPr>
          <w:rFonts w:ascii="Calibri" w:hAnsi="Calibri"/>
          <w:b/>
          <w:u w:val="single"/>
        </w:rPr>
      </w:pPr>
      <w:r w:rsidRPr="00676148">
        <w:rPr>
          <w:rFonts w:ascii="Calibri" w:hAnsi="Calibri"/>
          <w:b/>
          <w:u w:val="single"/>
        </w:rPr>
        <w:t>Online supplemen</w:t>
      </w:r>
      <w:r>
        <w:rPr>
          <w:rFonts w:ascii="Calibri" w:hAnsi="Calibri"/>
          <w:b/>
          <w:u w:val="single"/>
        </w:rPr>
        <w:t>t</w:t>
      </w:r>
      <w:r>
        <w:rPr>
          <w:rFonts w:ascii="Calibri" w:hAnsi="Calibri"/>
          <w:b/>
          <w:u w:val="single"/>
        </w:rPr>
        <w:t xml:space="preserve"> 5</w:t>
      </w:r>
    </w:p>
    <w:p w14:paraId="40ADC7C1" w14:textId="1457BA8E" w:rsidR="004729A3" w:rsidRDefault="004729A3">
      <w:pPr>
        <w:rPr>
          <w:rFonts w:ascii="Calibri" w:hAnsi="Calibri"/>
          <w:b/>
          <w:u w:val="single"/>
        </w:rPr>
      </w:pPr>
    </w:p>
    <w:p w14:paraId="049CA857" w14:textId="77777777" w:rsidR="00081540" w:rsidRDefault="00081540">
      <w:pPr>
        <w:rPr>
          <w:rFonts w:ascii="Calibri" w:hAnsi="Calibri"/>
          <w:b/>
          <w:u w:val="single"/>
        </w:rPr>
      </w:pPr>
    </w:p>
    <w:tbl>
      <w:tblPr>
        <w:tblStyle w:val="TableGrid"/>
        <w:tblpPr w:leftFromText="180" w:rightFromText="180" w:vertAnchor="text" w:horzAnchor="page" w:tblpX="1319" w:tblpY="68"/>
        <w:tblW w:w="7655" w:type="dxa"/>
        <w:tblLook w:val="04A0" w:firstRow="1" w:lastRow="0" w:firstColumn="1" w:lastColumn="0" w:noHBand="0" w:noVBand="1"/>
      </w:tblPr>
      <w:tblGrid>
        <w:gridCol w:w="2268"/>
        <w:gridCol w:w="2694"/>
        <w:gridCol w:w="2693"/>
      </w:tblGrid>
      <w:tr w:rsidR="00081540" w14:paraId="2A99E9EF" w14:textId="77777777" w:rsidTr="00081540">
        <w:tc>
          <w:tcPr>
            <w:tcW w:w="2268" w:type="dxa"/>
          </w:tcPr>
          <w:p w14:paraId="0854FC4B" w14:textId="77777777" w:rsidR="00081540" w:rsidRDefault="00081540" w:rsidP="00081540">
            <w:pPr>
              <w:spacing w:line="480" w:lineRule="auto"/>
              <w:rPr>
                <w:rFonts w:ascii="Calibri" w:hAnsi="Calibri" w:cs="Calibri"/>
                <w:bCs/>
                <w:color w:val="000000" w:themeColor="text1"/>
                <w:sz w:val="22"/>
                <w:szCs w:val="22"/>
              </w:rPr>
            </w:pPr>
          </w:p>
        </w:tc>
        <w:tc>
          <w:tcPr>
            <w:tcW w:w="2694" w:type="dxa"/>
          </w:tcPr>
          <w:p w14:paraId="3F5F6FD6"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ISARIC4C AUROC (95% CI)</w:t>
            </w:r>
          </w:p>
        </w:tc>
        <w:tc>
          <w:tcPr>
            <w:tcW w:w="2693" w:type="dxa"/>
          </w:tcPr>
          <w:p w14:paraId="4B522D1F"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CURB65 AUROC (95% CI)</w:t>
            </w:r>
          </w:p>
        </w:tc>
      </w:tr>
      <w:tr w:rsidR="00081540" w14:paraId="77AB4B9D" w14:textId="77777777" w:rsidTr="00081540">
        <w:tc>
          <w:tcPr>
            <w:tcW w:w="2268" w:type="dxa"/>
          </w:tcPr>
          <w:p w14:paraId="6DB05056" w14:textId="77777777" w:rsidR="00081540" w:rsidRPr="00081540" w:rsidRDefault="00081540" w:rsidP="00081540">
            <w:pPr>
              <w:spacing w:line="480" w:lineRule="auto"/>
              <w:rPr>
                <w:rFonts w:ascii="Calibri" w:hAnsi="Calibri" w:cstheme="minorHAnsi"/>
                <w:b/>
                <w:sz w:val="18"/>
                <w:szCs w:val="18"/>
              </w:rPr>
            </w:pPr>
            <w:r w:rsidRPr="00081540">
              <w:rPr>
                <w:rFonts w:ascii="Calibri" w:hAnsi="Calibri" w:cstheme="minorHAnsi"/>
                <w:b/>
                <w:sz w:val="18"/>
                <w:szCs w:val="18"/>
              </w:rPr>
              <w:t>All patients</w:t>
            </w:r>
          </w:p>
        </w:tc>
        <w:tc>
          <w:tcPr>
            <w:tcW w:w="2694" w:type="dxa"/>
          </w:tcPr>
          <w:p w14:paraId="2006DD45"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0.60 (0.56-0.64)</w:t>
            </w:r>
          </w:p>
        </w:tc>
        <w:tc>
          <w:tcPr>
            <w:tcW w:w="2693" w:type="dxa"/>
          </w:tcPr>
          <w:p w14:paraId="42635471"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0.62 (0.59-0.66)</w:t>
            </w:r>
          </w:p>
        </w:tc>
      </w:tr>
      <w:tr w:rsidR="00081540" w14:paraId="2B35F8EC" w14:textId="77777777" w:rsidTr="00081540">
        <w:tc>
          <w:tcPr>
            <w:tcW w:w="2268" w:type="dxa"/>
          </w:tcPr>
          <w:p w14:paraId="0180BAB4" w14:textId="77777777" w:rsidR="00081540" w:rsidRPr="00081540" w:rsidRDefault="00081540" w:rsidP="00081540">
            <w:pPr>
              <w:spacing w:line="480" w:lineRule="auto"/>
              <w:rPr>
                <w:rFonts w:ascii="Calibri" w:hAnsi="Calibri" w:cs="Calibri"/>
                <w:b/>
                <w:bCs/>
                <w:color w:val="000000" w:themeColor="text1"/>
                <w:sz w:val="22"/>
                <w:szCs w:val="22"/>
              </w:rPr>
            </w:pPr>
            <w:r w:rsidRPr="00081540">
              <w:rPr>
                <w:rFonts w:ascii="Calibri" w:hAnsi="Calibri" w:cstheme="minorHAnsi"/>
                <w:b/>
                <w:sz w:val="18"/>
                <w:szCs w:val="18"/>
              </w:rPr>
              <w:t>Caucasian</w:t>
            </w:r>
          </w:p>
        </w:tc>
        <w:tc>
          <w:tcPr>
            <w:tcW w:w="2694" w:type="dxa"/>
          </w:tcPr>
          <w:p w14:paraId="428737D3"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0.58 (0.54-0.63)</w:t>
            </w:r>
          </w:p>
        </w:tc>
        <w:tc>
          <w:tcPr>
            <w:tcW w:w="2693" w:type="dxa"/>
          </w:tcPr>
          <w:p w14:paraId="5875687A"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0.67 (0.63-0.71)</w:t>
            </w:r>
          </w:p>
        </w:tc>
      </w:tr>
      <w:tr w:rsidR="00081540" w14:paraId="63F4B4F0" w14:textId="77777777" w:rsidTr="00081540">
        <w:tc>
          <w:tcPr>
            <w:tcW w:w="2268" w:type="dxa"/>
          </w:tcPr>
          <w:p w14:paraId="509B3F17" w14:textId="77777777" w:rsidR="00081540" w:rsidRPr="00081540" w:rsidRDefault="00081540" w:rsidP="00081540">
            <w:pPr>
              <w:spacing w:line="480" w:lineRule="auto"/>
              <w:rPr>
                <w:rFonts w:ascii="Calibri" w:hAnsi="Calibri" w:cstheme="minorHAnsi"/>
                <w:b/>
                <w:sz w:val="18"/>
                <w:szCs w:val="18"/>
              </w:rPr>
            </w:pPr>
            <w:r w:rsidRPr="00081540">
              <w:rPr>
                <w:rFonts w:ascii="Calibri" w:hAnsi="Calibri" w:cstheme="minorHAnsi"/>
                <w:b/>
                <w:sz w:val="18"/>
                <w:szCs w:val="18"/>
              </w:rPr>
              <w:t>Ethnic minorities</w:t>
            </w:r>
          </w:p>
        </w:tc>
        <w:tc>
          <w:tcPr>
            <w:tcW w:w="2694" w:type="dxa"/>
          </w:tcPr>
          <w:p w14:paraId="6ED02886"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0.64 (0.58-0.70)</w:t>
            </w:r>
          </w:p>
        </w:tc>
        <w:tc>
          <w:tcPr>
            <w:tcW w:w="2693" w:type="dxa"/>
          </w:tcPr>
          <w:p w14:paraId="42AF8E59"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0.53 (0.46-0.59)</w:t>
            </w:r>
          </w:p>
        </w:tc>
      </w:tr>
      <w:tr w:rsidR="00081540" w14:paraId="3DE44DC0" w14:textId="77777777" w:rsidTr="00081540">
        <w:tc>
          <w:tcPr>
            <w:tcW w:w="2268" w:type="dxa"/>
          </w:tcPr>
          <w:p w14:paraId="3DCE3567" w14:textId="77777777" w:rsidR="00081540" w:rsidRPr="00081540" w:rsidRDefault="00081540" w:rsidP="00081540">
            <w:pPr>
              <w:spacing w:line="480" w:lineRule="auto"/>
              <w:rPr>
                <w:rFonts w:ascii="Calibri" w:hAnsi="Calibri" w:cs="Calibri"/>
                <w:b/>
                <w:bCs/>
                <w:color w:val="000000" w:themeColor="text1"/>
                <w:sz w:val="22"/>
                <w:szCs w:val="22"/>
              </w:rPr>
            </w:pPr>
            <w:r w:rsidRPr="00081540">
              <w:rPr>
                <w:rFonts w:ascii="Calibri" w:hAnsi="Calibri" w:cstheme="minorHAnsi"/>
                <w:b/>
                <w:sz w:val="18"/>
                <w:szCs w:val="18"/>
              </w:rPr>
              <w:t xml:space="preserve">     Indian</w:t>
            </w:r>
          </w:p>
        </w:tc>
        <w:tc>
          <w:tcPr>
            <w:tcW w:w="2694" w:type="dxa"/>
          </w:tcPr>
          <w:p w14:paraId="2AE37E92"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0.83 (0.73-0.93)</w:t>
            </w:r>
          </w:p>
        </w:tc>
        <w:tc>
          <w:tcPr>
            <w:tcW w:w="2693" w:type="dxa"/>
          </w:tcPr>
          <w:p w14:paraId="747B6BD2"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0.53 (0.39-0.67)</w:t>
            </w:r>
          </w:p>
        </w:tc>
      </w:tr>
      <w:tr w:rsidR="00081540" w14:paraId="2B5260CD" w14:textId="77777777" w:rsidTr="00081540">
        <w:tc>
          <w:tcPr>
            <w:tcW w:w="2268" w:type="dxa"/>
          </w:tcPr>
          <w:p w14:paraId="7A879F54" w14:textId="77777777" w:rsidR="00081540" w:rsidRPr="00081540" w:rsidRDefault="00081540" w:rsidP="00081540">
            <w:pPr>
              <w:spacing w:line="480" w:lineRule="auto"/>
              <w:rPr>
                <w:rFonts w:ascii="Calibri" w:hAnsi="Calibri" w:cs="Calibri"/>
                <w:b/>
                <w:bCs/>
                <w:color w:val="000000" w:themeColor="text1"/>
                <w:sz w:val="22"/>
                <w:szCs w:val="22"/>
              </w:rPr>
            </w:pPr>
            <w:r w:rsidRPr="00081540">
              <w:rPr>
                <w:rFonts w:ascii="Calibri" w:hAnsi="Calibri" w:cstheme="minorHAnsi"/>
                <w:b/>
                <w:sz w:val="18"/>
                <w:szCs w:val="18"/>
              </w:rPr>
              <w:t xml:space="preserve">     Pakistani</w:t>
            </w:r>
          </w:p>
        </w:tc>
        <w:tc>
          <w:tcPr>
            <w:tcW w:w="2694" w:type="dxa"/>
          </w:tcPr>
          <w:p w14:paraId="3FF85EE3"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0.58 (0.47-0.69)</w:t>
            </w:r>
          </w:p>
        </w:tc>
        <w:tc>
          <w:tcPr>
            <w:tcW w:w="2693" w:type="dxa"/>
          </w:tcPr>
          <w:p w14:paraId="365D1098"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0.55 (0.44-0.66)</w:t>
            </w:r>
          </w:p>
        </w:tc>
      </w:tr>
      <w:tr w:rsidR="00081540" w14:paraId="1D2915E0" w14:textId="77777777" w:rsidTr="00081540">
        <w:tc>
          <w:tcPr>
            <w:tcW w:w="2268" w:type="dxa"/>
          </w:tcPr>
          <w:p w14:paraId="12585A30" w14:textId="77777777" w:rsidR="00081540" w:rsidRPr="00081540" w:rsidRDefault="00081540" w:rsidP="00081540">
            <w:pPr>
              <w:spacing w:line="480" w:lineRule="auto"/>
              <w:rPr>
                <w:rFonts w:ascii="Calibri" w:hAnsi="Calibri" w:cs="Calibri"/>
                <w:b/>
                <w:bCs/>
                <w:color w:val="000000" w:themeColor="text1"/>
                <w:sz w:val="22"/>
                <w:szCs w:val="22"/>
              </w:rPr>
            </w:pPr>
            <w:r w:rsidRPr="00081540">
              <w:rPr>
                <w:rFonts w:ascii="Calibri" w:hAnsi="Calibri" w:cstheme="minorHAnsi"/>
                <w:b/>
                <w:sz w:val="18"/>
                <w:szCs w:val="18"/>
              </w:rPr>
              <w:t xml:space="preserve">     Caribbean</w:t>
            </w:r>
          </w:p>
        </w:tc>
        <w:tc>
          <w:tcPr>
            <w:tcW w:w="2694" w:type="dxa"/>
          </w:tcPr>
          <w:p w14:paraId="6288A260"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0.63 (0.49-0.78)</w:t>
            </w:r>
          </w:p>
        </w:tc>
        <w:tc>
          <w:tcPr>
            <w:tcW w:w="2693" w:type="dxa"/>
          </w:tcPr>
          <w:p w14:paraId="2ECA2CE5"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0.52 (0.36-0.68)</w:t>
            </w:r>
          </w:p>
        </w:tc>
      </w:tr>
      <w:tr w:rsidR="00081540" w14:paraId="34C0BCBB" w14:textId="77777777" w:rsidTr="00081540">
        <w:tc>
          <w:tcPr>
            <w:tcW w:w="2268" w:type="dxa"/>
          </w:tcPr>
          <w:p w14:paraId="4C38ED31" w14:textId="77777777" w:rsidR="00081540" w:rsidRPr="00081540" w:rsidRDefault="00081540" w:rsidP="00081540">
            <w:pPr>
              <w:spacing w:line="480" w:lineRule="auto"/>
              <w:rPr>
                <w:rFonts w:ascii="Calibri" w:hAnsi="Calibri" w:cs="Calibri"/>
                <w:b/>
                <w:bCs/>
                <w:color w:val="000000" w:themeColor="text1"/>
                <w:sz w:val="22"/>
                <w:szCs w:val="22"/>
              </w:rPr>
            </w:pPr>
            <w:r w:rsidRPr="00081540">
              <w:rPr>
                <w:rFonts w:ascii="Calibri" w:hAnsi="Calibri" w:cstheme="minorHAnsi"/>
                <w:b/>
                <w:sz w:val="18"/>
                <w:szCs w:val="18"/>
              </w:rPr>
              <w:t xml:space="preserve">     African</w:t>
            </w:r>
          </w:p>
        </w:tc>
        <w:tc>
          <w:tcPr>
            <w:tcW w:w="2694" w:type="dxa"/>
          </w:tcPr>
          <w:p w14:paraId="3EF06132"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0.65 (0.34-0.96)</w:t>
            </w:r>
          </w:p>
        </w:tc>
        <w:tc>
          <w:tcPr>
            <w:tcW w:w="2693" w:type="dxa"/>
          </w:tcPr>
          <w:p w14:paraId="26CD8053"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0.45 (0.12-0.78)</w:t>
            </w:r>
          </w:p>
        </w:tc>
      </w:tr>
      <w:tr w:rsidR="00081540" w14:paraId="3C8980C1" w14:textId="77777777" w:rsidTr="00081540">
        <w:tc>
          <w:tcPr>
            <w:tcW w:w="2268" w:type="dxa"/>
          </w:tcPr>
          <w:p w14:paraId="61151DD6" w14:textId="77777777" w:rsidR="00081540" w:rsidRPr="00081540" w:rsidRDefault="00081540" w:rsidP="00081540">
            <w:pPr>
              <w:spacing w:line="480" w:lineRule="auto"/>
              <w:rPr>
                <w:rFonts w:ascii="Calibri" w:hAnsi="Calibri" w:cs="Calibri"/>
                <w:b/>
                <w:bCs/>
                <w:color w:val="000000" w:themeColor="text1"/>
                <w:sz w:val="22"/>
                <w:szCs w:val="22"/>
              </w:rPr>
            </w:pPr>
            <w:r w:rsidRPr="00081540">
              <w:rPr>
                <w:rFonts w:ascii="Calibri" w:hAnsi="Calibri" w:cstheme="minorHAnsi"/>
                <w:b/>
                <w:sz w:val="18"/>
                <w:szCs w:val="18"/>
              </w:rPr>
              <w:t xml:space="preserve">     Any other ethnic group</w:t>
            </w:r>
          </w:p>
        </w:tc>
        <w:tc>
          <w:tcPr>
            <w:tcW w:w="2694" w:type="dxa"/>
          </w:tcPr>
          <w:p w14:paraId="022674A9"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0.61 (0.20-1.00)</w:t>
            </w:r>
          </w:p>
        </w:tc>
        <w:tc>
          <w:tcPr>
            <w:tcW w:w="2693" w:type="dxa"/>
          </w:tcPr>
          <w:p w14:paraId="185629AD"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0.61 (0.30-0.92)</w:t>
            </w:r>
          </w:p>
        </w:tc>
      </w:tr>
      <w:tr w:rsidR="00081540" w14:paraId="5D4F8034" w14:textId="77777777" w:rsidTr="00081540">
        <w:tc>
          <w:tcPr>
            <w:tcW w:w="2268" w:type="dxa"/>
          </w:tcPr>
          <w:p w14:paraId="021D51B8" w14:textId="77777777" w:rsidR="00081540" w:rsidRPr="00081540" w:rsidRDefault="00081540" w:rsidP="00081540">
            <w:pPr>
              <w:spacing w:line="480" w:lineRule="auto"/>
              <w:rPr>
                <w:rFonts w:ascii="Calibri" w:hAnsi="Calibri" w:cs="Calibri"/>
                <w:b/>
                <w:bCs/>
                <w:color w:val="000000" w:themeColor="text1"/>
                <w:sz w:val="22"/>
                <w:szCs w:val="22"/>
              </w:rPr>
            </w:pPr>
            <w:r w:rsidRPr="00081540">
              <w:rPr>
                <w:rFonts w:ascii="Calibri" w:hAnsi="Calibri" w:cstheme="minorHAnsi"/>
                <w:b/>
                <w:sz w:val="18"/>
                <w:szCs w:val="18"/>
              </w:rPr>
              <w:t xml:space="preserve">     Chinese</w:t>
            </w:r>
          </w:p>
        </w:tc>
        <w:tc>
          <w:tcPr>
            <w:tcW w:w="2694" w:type="dxa"/>
          </w:tcPr>
          <w:p w14:paraId="39D4BF02"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0.59 (0.30-0.89)</w:t>
            </w:r>
          </w:p>
        </w:tc>
        <w:tc>
          <w:tcPr>
            <w:tcW w:w="2693" w:type="dxa"/>
          </w:tcPr>
          <w:p w14:paraId="31B08E4A"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0.32 (0.01-0.63)</w:t>
            </w:r>
          </w:p>
        </w:tc>
      </w:tr>
      <w:tr w:rsidR="00081540" w14:paraId="186C89B5" w14:textId="77777777" w:rsidTr="00081540">
        <w:tc>
          <w:tcPr>
            <w:tcW w:w="2268" w:type="dxa"/>
          </w:tcPr>
          <w:p w14:paraId="4DF62421" w14:textId="77777777" w:rsidR="00081540" w:rsidRPr="00081540" w:rsidRDefault="00081540" w:rsidP="00081540">
            <w:pPr>
              <w:spacing w:line="480" w:lineRule="auto"/>
              <w:rPr>
                <w:rFonts w:ascii="Calibri" w:hAnsi="Calibri" w:cs="Calibri"/>
                <w:b/>
                <w:bCs/>
                <w:color w:val="000000" w:themeColor="text1"/>
                <w:sz w:val="22"/>
                <w:szCs w:val="22"/>
              </w:rPr>
            </w:pPr>
            <w:r w:rsidRPr="00081540">
              <w:rPr>
                <w:rFonts w:ascii="Calibri" w:hAnsi="Calibri" w:cstheme="minorHAnsi"/>
                <w:b/>
                <w:sz w:val="18"/>
                <w:szCs w:val="18"/>
              </w:rPr>
              <w:t xml:space="preserve">     Mixed</w:t>
            </w:r>
          </w:p>
        </w:tc>
        <w:tc>
          <w:tcPr>
            <w:tcW w:w="2694" w:type="dxa"/>
          </w:tcPr>
          <w:p w14:paraId="76D4ECA3"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0.63 (0.47-0.80)</w:t>
            </w:r>
          </w:p>
        </w:tc>
        <w:tc>
          <w:tcPr>
            <w:tcW w:w="2693" w:type="dxa"/>
          </w:tcPr>
          <w:p w14:paraId="61872392" w14:textId="77777777" w:rsidR="00081540" w:rsidRDefault="00081540" w:rsidP="00081540">
            <w:pPr>
              <w:spacing w:line="480" w:lineRule="auto"/>
              <w:rPr>
                <w:rFonts w:ascii="Calibri" w:hAnsi="Calibri" w:cs="Calibri"/>
                <w:bCs/>
                <w:color w:val="000000" w:themeColor="text1"/>
                <w:sz w:val="22"/>
                <w:szCs w:val="22"/>
              </w:rPr>
            </w:pPr>
            <w:r>
              <w:rPr>
                <w:rFonts w:ascii="Calibri" w:hAnsi="Calibri" w:cs="Calibri"/>
                <w:bCs/>
                <w:color w:val="000000" w:themeColor="text1"/>
                <w:sz w:val="22"/>
                <w:szCs w:val="22"/>
              </w:rPr>
              <w:t>0.53 (0.36-0.69)</w:t>
            </w:r>
          </w:p>
        </w:tc>
      </w:tr>
    </w:tbl>
    <w:p w14:paraId="28A04225" w14:textId="77777777" w:rsidR="004729A3" w:rsidRDefault="004729A3">
      <w:pPr>
        <w:rPr>
          <w:rFonts w:ascii="Calibri" w:hAnsi="Calibri"/>
          <w:b/>
          <w:u w:val="single"/>
        </w:rPr>
      </w:pPr>
    </w:p>
    <w:p w14:paraId="2301EF4A" w14:textId="2398F8E8" w:rsidR="00C73B19" w:rsidRDefault="00C73B19"/>
    <w:p w14:paraId="3E919168" w14:textId="7184144D" w:rsidR="00D8632F" w:rsidRDefault="00D8632F"/>
    <w:p w14:paraId="730BBFC9" w14:textId="24C97EED" w:rsidR="00D8632F" w:rsidRDefault="00D8632F"/>
    <w:p w14:paraId="61171C24" w14:textId="4E9F8D4F" w:rsidR="00D8632F" w:rsidRDefault="00D8632F"/>
    <w:p w14:paraId="59FCEFAE" w14:textId="5783DA33" w:rsidR="00D8632F" w:rsidRDefault="00D8632F"/>
    <w:p w14:paraId="7856B742" w14:textId="31C14BEC" w:rsidR="00D8632F" w:rsidRDefault="00D8632F"/>
    <w:p w14:paraId="5F8A7AC5" w14:textId="5E94AFD5" w:rsidR="00D8632F" w:rsidRDefault="00D8632F"/>
    <w:p w14:paraId="092A572C" w14:textId="385EEFD4" w:rsidR="00D8632F" w:rsidRDefault="00D8632F"/>
    <w:p w14:paraId="2D235E60" w14:textId="40E851DB" w:rsidR="00D8632F" w:rsidRDefault="00D8632F"/>
    <w:p w14:paraId="2B991541" w14:textId="2AD11829" w:rsidR="00D8632F" w:rsidRDefault="00D8632F"/>
    <w:p w14:paraId="3298A38E" w14:textId="24C73D14" w:rsidR="00D8632F" w:rsidRDefault="00D8632F"/>
    <w:p w14:paraId="0A7EEE7A" w14:textId="428F795D" w:rsidR="00D8632F" w:rsidRDefault="00D8632F"/>
    <w:p w14:paraId="152FC3B9" w14:textId="64744900" w:rsidR="00D8632F" w:rsidRDefault="00D8632F"/>
    <w:p w14:paraId="5C217910" w14:textId="0B2E4284" w:rsidR="00D8632F" w:rsidRDefault="00D8632F"/>
    <w:p w14:paraId="08BA846B" w14:textId="7676B4C4" w:rsidR="00D8632F" w:rsidRDefault="00D8632F"/>
    <w:p w14:paraId="4301B060" w14:textId="32D81F61" w:rsidR="00D8632F" w:rsidRDefault="00D8632F"/>
    <w:p w14:paraId="2838912D" w14:textId="1D262306" w:rsidR="00D8632F" w:rsidRDefault="00D8632F"/>
    <w:p w14:paraId="5B1A4F15" w14:textId="1B58B16C" w:rsidR="00D8632F" w:rsidRDefault="00D8632F"/>
    <w:p w14:paraId="349B3914" w14:textId="41E97AA0" w:rsidR="00D8632F" w:rsidRDefault="00D8632F"/>
    <w:p w14:paraId="3512151B" w14:textId="11C08381" w:rsidR="00D8632F" w:rsidRDefault="00D8632F"/>
    <w:p w14:paraId="2181A569" w14:textId="05B373CE" w:rsidR="00D8632F" w:rsidRDefault="00D8632F"/>
    <w:p w14:paraId="506E6453" w14:textId="360BB0B9" w:rsidR="00D8632F" w:rsidRDefault="00D8632F"/>
    <w:p w14:paraId="3655B244" w14:textId="355086CE" w:rsidR="00A67D99" w:rsidRDefault="00A67D99" w:rsidP="00A67D99">
      <w:r>
        <w:rPr>
          <w:rFonts w:ascii="Helvetica Neue" w:hAnsi="Helvetica Neue"/>
          <w:color w:val="000000"/>
          <w:sz w:val="18"/>
          <w:szCs w:val="18"/>
          <w:shd w:val="clear" w:color="auto" w:fill="FFFFFF"/>
        </w:rPr>
        <w:t>Performance metrics for</w:t>
      </w:r>
      <w:r>
        <w:rPr>
          <w:rFonts w:ascii="Helvetica Neue" w:hAnsi="Helvetica Neue"/>
          <w:color w:val="000000"/>
          <w:sz w:val="18"/>
          <w:szCs w:val="18"/>
          <w:shd w:val="clear" w:color="auto" w:fill="FFFFFF"/>
        </w:rPr>
        <w:t xml:space="preserve"> </w:t>
      </w:r>
      <w:r>
        <w:rPr>
          <w:rFonts w:ascii="Helvetica Neue" w:hAnsi="Helvetica Neue"/>
          <w:color w:val="000000"/>
          <w:sz w:val="18"/>
          <w:szCs w:val="18"/>
          <w:shd w:val="clear" w:color="auto" w:fill="FFFFFF"/>
        </w:rPr>
        <w:t xml:space="preserve">CURB65 and ISARIC4C </w:t>
      </w:r>
      <w:r>
        <w:rPr>
          <w:rFonts w:ascii="Helvetica Neue" w:hAnsi="Helvetica Neue"/>
          <w:color w:val="000000"/>
          <w:sz w:val="18"/>
          <w:szCs w:val="18"/>
          <w:shd w:val="clear" w:color="auto" w:fill="FFFFFF"/>
        </w:rPr>
        <w:t xml:space="preserve">prognostic scores </w:t>
      </w:r>
      <w:r>
        <w:rPr>
          <w:rFonts w:ascii="Helvetica Neue" w:hAnsi="Helvetica Neue"/>
          <w:color w:val="000000"/>
          <w:sz w:val="18"/>
          <w:szCs w:val="18"/>
          <w:shd w:val="clear" w:color="auto" w:fill="FFFFFF"/>
        </w:rPr>
        <w:t>by ethnic subgroup</w:t>
      </w:r>
      <w:bookmarkStart w:id="0" w:name="_GoBack"/>
      <w:bookmarkEnd w:id="0"/>
    </w:p>
    <w:p w14:paraId="79878A9C" w14:textId="77777777" w:rsidR="00D8632F" w:rsidRDefault="00D8632F"/>
    <w:sectPr w:rsidR="00D8632F" w:rsidSect="008A33E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egoe UI">
    <w:altName w:val="Calibri"/>
    <w:panose1 w:val="020B0604020202020204"/>
    <w:charset w:val="00"/>
    <w:family w:val="swiss"/>
    <w:pitch w:val="variable"/>
    <w:sig w:usb0="E4002EFF" w:usb1="C000E47F"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Helvetica Neue">
    <w:altName w:val="﷽﷽﷽﷽﷽﷽﷽﷽"/>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3"/>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55E1"/>
    <w:rsid w:val="00081540"/>
    <w:rsid w:val="001130D6"/>
    <w:rsid w:val="001F49C6"/>
    <w:rsid w:val="001F7668"/>
    <w:rsid w:val="002236DF"/>
    <w:rsid w:val="00266D35"/>
    <w:rsid w:val="003C0747"/>
    <w:rsid w:val="003F2192"/>
    <w:rsid w:val="004729A3"/>
    <w:rsid w:val="00516B1A"/>
    <w:rsid w:val="00530702"/>
    <w:rsid w:val="005B7D55"/>
    <w:rsid w:val="0061278A"/>
    <w:rsid w:val="00620763"/>
    <w:rsid w:val="00666178"/>
    <w:rsid w:val="00676148"/>
    <w:rsid w:val="006A01C1"/>
    <w:rsid w:val="00701C41"/>
    <w:rsid w:val="007364B9"/>
    <w:rsid w:val="00834BE2"/>
    <w:rsid w:val="00851E4D"/>
    <w:rsid w:val="00866B48"/>
    <w:rsid w:val="008A33ED"/>
    <w:rsid w:val="00990554"/>
    <w:rsid w:val="009D00FC"/>
    <w:rsid w:val="009D756A"/>
    <w:rsid w:val="009E1182"/>
    <w:rsid w:val="00A56A9D"/>
    <w:rsid w:val="00A67D99"/>
    <w:rsid w:val="00AB4416"/>
    <w:rsid w:val="00BA1BB9"/>
    <w:rsid w:val="00BB64D7"/>
    <w:rsid w:val="00C73B19"/>
    <w:rsid w:val="00CD55E1"/>
    <w:rsid w:val="00D671E7"/>
    <w:rsid w:val="00D8466F"/>
    <w:rsid w:val="00D8632F"/>
    <w:rsid w:val="00D95F97"/>
    <w:rsid w:val="00E3661B"/>
    <w:rsid w:val="00E64466"/>
    <w:rsid w:val="00E94325"/>
    <w:rsid w:val="00ED6A99"/>
    <w:rsid w:val="00F41839"/>
    <w:rsid w:val="00F96C5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449EFD"/>
  <w15:chartTrackingRefBased/>
  <w15:docId w15:val="{471F0DEB-F9D8-E244-A0A6-177A41D730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1182"/>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D55E1"/>
    <w:rPr>
      <w:sz w:val="16"/>
      <w:szCs w:val="16"/>
    </w:rPr>
  </w:style>
  <w:style w:type="paragraph" w:styleId="CommentText">
    <w:name w:val="annotation text"/>
    <w:basedOn w:val="Normal"/>
    <w:link w:val="CommentTextChar"/>
    <w:uiPriority w:val="99"/>
    <w:unhideWhenUsed/>
    <w:rsid w:val="00CD55E1"/>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rsid w:val="00CD55E1"/>
    <w:rPr>
      <w:sz w:val="20"/>
      <w:szCs w:val="20"/>
    </w:rPr>
  </w:style>
  <w:style w:type="paragraph" w:styleId="BalloonText">
    <w:name w:val="Balloon Text"/>
    <w:basedOn w:val="Normal"/>
    <w:link w:val="BalloonTextChar"/>
    <w:uiPriority w:val="99"/>
    <w:semiHidden/>
    <w:unhideWhenUsed/>
    <w:rsid w:val="00CD55E1"/>
    <w:rPr>
      <w:sz w:val="18"/>
      <w:szCs w:val="18"/>
    </w:rPr>
  </w:style>
  <w:style w:type="character" w:customStyle="1" w:styleId="BalloonTextChar">
    <w:name w:val="Balloon Text Char"/>
    <w:basedOn w:val="DefaultParagraphFont"/>
    <w:link w:val="BalloonText"/>
    <w:uiPriority w:val="99"/>
    <w:semiHidden/>
    <w:rsid w:val="00CD55E1"/>
    <w:rPr>
      <w:rFonts w:ascii="Times New Roman" w:eastAsia="Times New Roman" w:hAnsi="Times New Roman" w:cs="Times New Roman"/>
      <w:sz w:val="18"/>
      <w:szCs w:val="18"/>
    </w:rPr>
  </w:style>
  <w:style w:type="paragraph" w:styleId="CommentSubject">
    <w:name w:val="annotation subject"/>
    <w:basedOn w:val="CommentText"/>
    <w:next w:val="CommentText"/>
    <w:link w:val="CommentSubjectChar"/>
    <w:uiPriority w:val="99"/>
    <w:semiHidden/>
    <w:unhideWhenUsed/>
    <w:rsid w:val="00F96C5A"/>
    <w:rPr>
      <w:rFonts w:ascii="Times New Roman" w:eastAsia="Times New Roman" w:hAnsi="Times New Roman" w:cs="Times New Roman"/>
      <w:b/>
      <w:bCs/>
    </w:rPr>
  </w:style>
  <w:style w:type="character" w:customStyle="1" w:styleId="CommentSubjectChar">
    <w:name w:val="Comment Subject Char"/>
    <w:basedOn w:val="CommentTextChar"/>
    <w:link w:val="CommentSubject"/>
    <w:uiPriority w:val="99"/>
    <w:semiHidden/>
    <w:rsid w:val="00F96C5A"/>
    <w:rPr>
      <w:rFonts w:ascii="Times New Roman" w:eastAsia="Times New Roman" w:hAnsi="Times New Roman" w:cs="Times New Roman"/>
      <w:b/>
      <w:bCs/>
      <w:sz w:val="20"/>
      <w:szCs w:val="20"/>
    </w:rPr>
  </w:style>
  <w:style w:type="table" w:styleId="TableGrid">
    <w:name w:val="Table Grid"/>
    <w:basedOn w:val="TableNormal"/>
    <w:uiPriority w:val="39"/>
    <w:rsid w:val="00C73B1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4016810">
      <w:bodyDiv w:val="1"/>
      <w:marLeft w:val="0"/>
      <w:marRight w:val="0"/>
      <w:marTop w:val="0"/>
      <w:marBottom w:val="0"/>
      <w:divBdr>
        <w:top w:val="none" w:sz="0" w:space="0" w:color="auto"/>
        <w:left w:val="none" w:sz="0" w:space="0" w:color="auto"/>
        <w:bottom w:val="none" w:sz="0" w:space="0" w:color="auto"/>
        <w:right w:val="none" w:sz="0" w:space="0" w:color="auto"/>
      </w:divBdr>
    </w:div>
    <w:div w:id="492180033">
      <w:bodyDiv w:val="1"/>
      <w:marLeft w:val="0"/>
      <w:marRight w:val="0"/>
      <w:marTop w:val="0"/>
      <w:marBottom w:val="0"/>
      <w:divBdr>
        <w:top w:val="none" w:sz="0" w:space="0" w:color="auto"/>
        <w:left w:val="none" w:sz="0" w:space="0" w:color="auto"/>
        <w:bottom w:val="none" w:sz="0" w:space="0" w:color="auto"/>
        <w:right w:val="none" w:sz="0" w:space="0" w:color="auto"/>
      </w:divBdr>
    </w:div>
    <w:div w:id="1898470497">
      <w:bodyDiv w:val="1"/>
      <w:marLeft w:val="0"/>
      <w:marRight w:val="0"/>
      <w:marTop w:val="0"/>
      <w:marBottom w:val="0"/>
      <w:divBdr>
        <w:top w:val="none" w:sz="0" w:space="0" w:color="auto"/>
        <w:left w:val="none" w:sz="0" w:space="0" w:color="auto"/>
        <w:bottom w:val="none" w:sz="0" w:space="0" w:color="auto"/>
        <w:right w:val="none" w:sz="0" w:space="0" w:color="auto"/>
      </w:divBdr>
    </w:div>
    <w:div w:id="21145451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3" Type="http://schemas.openxmlformats.org/officeDocument/2006/relationships/oleObject" Target="file:////Users/marinasoltan/Desktop/latest%20paper/comorbidities%20by%20ethnic%20group.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sz="1600" b="1">
                <a:solidFill>
                  <a:schemeClr val="tx1"/>
                </a:solidFill>
              </a:rPr>
              <a:t>Comorbidites</a:t>
            </a:r>
            <a:r>
              <a:rPr lang="en-US" sz="1600" b="1" baseline="0">
                <a:solidFill>
                  <a:schemeClr val="tx1"/>
                </a:solidFill>
              </a:rPr>
              <a:t> by ethnic group</a:t>
            </a:r>
            <a:endParaRPr lang="en-US" sz="1600" b="1">
              <a:solidFill>
                <a:schemeClr val="tx1"/>
              </a:solidFill>
            </a:endParaRPr>
          </a:p>
        </c:rich>
      </c:tx>
      <c:layout>
        <c:manualLayout>
          <c:xMode val="edge"/>
          <c:yMode val="edge"/>
          <c:x val="0.39874956391855676"/>
          <c:y val="1.5860428231562251E-2"/>
        </c:manualLayout>
      </c:layout>
      <c:overlay val="0"/>
      <c:spPr>
        <a:noFill/>
        <a:ln>
          <a:noFill/>
        </a:ln>
        <a:effectLst/>
      </c:spPr>
      <c:txPr>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10310157216969952"/>
          <c:y val="9.6201360752236065E-2"/>
          <c:w val="0.88218270876675531"/>
          <c:h val="0.57737080498432847"/>
        </c:manualLayout>
      </c:layout>
      <c:barChart>
        <c:barDir val="col"/>
        <c:grouping val="stacked"/>
        <c:varyColors val="0"/>
        <c:ser>
          <c:idx val="0"/>
          <c:order val="0"/>
          <c:tx>
            <c:strRef>
              <c:f>Sheet1!$A$2</c:f>
              <c:strCache>
                <c:ptCount val="1"/>
                <c:pt idx="0">
                  <c:v>Obesity</c:v>
                </c:pt>
              </c:strCache>
            </c:strRef>
          </c:tx>
          <c:spPr>
            <a:solidFill>
              <a:schemeClr val="accent1"/>
            </a:solidFill>
            <a:ln>
              <a:noFill/>
            </a:ln>
            <a:effectLst/>
          </c:spPr>
          <c:invertIfNegative val="0"/>
          <c:cat>
            <c:strRef>
              <c:f>Sheet1!$B$1:$J$1</c:f>
              <c:strCache>
                <c:ptCount val="9"/>
                <c:pt idx="0">
                  <c:v>Indian</c:v>
                </c:pt>
                <c:pt idx="1">
                  <c:v>Pakistani</c:v>
                </c:pt>
                <c:pt idx="2">
                  <c:v>Carribean</c:v>
                </c:pt>
                <c:pt idx="3">
                  <c:v>African</c:v>
                </c:pt>
                <c:pt idx="4">
                  <c:v>Chinese</c:v>
                </c:pt>
                <c:pt idx="5">
                  <c:v>Bangladeshi</c:v>
                </c:pt>
                <c:pt idx="6">
                  <c:v>Mixed</c:v>
                </c:pt>
                <c:pt idx="7">
                  <c:v>Any other ethnic group</c:v>
                </c:pt>
                <c:pt idx="8">
                  <c:v>Caucasian</c:v>
                </c:pt>
              </c:strCache>
            </c:strRef>
          </c:cat>
          <c:val>
            <c:numRef>
              <c:f>Sheet1!$B$2:$J$2</c:f>
              <c:numCache>
                <c:formatCode>General</c:formatCode>
                <c:ptCount val="9"/>
                <c:pt idx="0">
                  <c:v>23.7</c:v>
                </c:pt>
                <c:pt idx="1">
                  <c:v>41.7</c:v>
                </c:pt>
                <c:pt idx="2">
                  <c:v>32.4</c:v>
                </c:pt>
                <c:pt idx="3">
                  <c:v>38.5</c:v>
                </c:pt>
                <c:pt idx="4">
                  <c:v>31.3</c:v>
                </c:pt>
                <c:pt idx="5">
                  <c:v>18.2</c:v>
                </c:pt>
                <c:pt idx="6">
                  <c:v>36.4</c:v>
                </c:pt>
                <c:pt idx="7">
                  <c:v>31.5</c:v>
                </c:pt>
                <c:pt idx="8">
                  <c:v>25.1</c:v>
                </c:pt>
              </c:numCache>
            </c:numRef>
          </c:val>
          <c:extLst>
            <c:ext xmlns:c16="http://schemas.microsoft.com/office/drawing/2014/chart" uri="{C3380CC4-5D6E-409C-BE32-E72D297353CC}">
              <c16:uniqueId val="{00000000-E5B5-4B40-BEFF-AF16BAB90D23}"/>
            </c:ext>
          </c:extLst>
        </c:ser>
        <c:ser>
          <c:idx val="1"/>
          <c:order val="1"/>
          <c:tx>
            <c:strRef>
              <c:f>Sheet1!$A$3</c:f>
              <c:strCache>
                <c:ptCount val="1"/>
                <c:pt idx="0">
                  <c:v>Hypertension</c:v>
                </c:pt>
              </c:strCache>
            </c:strRef>
          </c:tx>
          <c:spPr>
            <a:solidFill>
              <a:schemeClr val="accent2"/>
            </a:solidFill>
            <a:ln>
              <a:noFill/>
            </a:ln>
            <a:effectLst/>
          </c:spPr>
          <c:invertIfNegative val="0"/>
          <c:cat>
            <c:strRef>
              <c:f>Sheet1!$B$1:$J$1</c:f>
              <c:strCache>
                <c:ptCount val="9"/>
                <c:pt idx="0">
                  <c:v>Indian</c:v>
                </c:pt>
                <c:pt idx="1">
                  <c:v>Pakistani</c:v>
                </c:pt>
                <c:pt idx="2">
                  <c:v>Carribean</c:v>
                </c:pt>
                <c:pt idx="3">
                  <c:v>African</c:v>
                </c:pt>
                <c:pt idx="4">
                  <c:v>Chinese</c:v>
                </c:pt>
                <c:pt idx="5">
                  <c:v>Bangladeshi</c:v>
                </c:pt>
                <c:pt idx="6">
                  <c:v>Mixed</c:v>
                </c:pt>
                <c:pt idx="7">
                  <c:v>Any other ethnic group</c:v>
                </c:pt>
                <c:pt idx="8">
                  <c:v>Caucasian</c:v>
                </c:pt>
              </c:strCache>
            </c:strRef>
          </c:cat>
          <c:val>
            <c:numRef>
              <c:f>Sheet1!$B$3:$J$3</c:f>
              <c:numCache>
                <c:formatCode>General</c:formatCode>
                <c:ptCount val="9"/>
                <c:pt idx="0">
                  <c:v>46.2</c:v>
                </c:pt>
                <c:pt idx="1">
                  <c:v>39.9</c:v>
                </c:pt>
                <c:pt idx="2">
                  <c:v>50.5</c:v>
                </c:pt>
                <c:pt idx="3">
                  <c:v>34.6</c:v>
                </c:pt>
                <c:pt idx="4">
                  <c:v>31.3</c:v>
                </c:pt>
                <c:pt idx="5">
                  <c:v>18.2</c:v>
                </c:pt>
                <c:pt idx="6">
                  <c:v>27.3</c:v>
                </c:pt>
                <c:pt idx="7">
                  <c:v>36</c:v>
                </c:pt>
                <c:pt idx="8">
                  <c:v>38.4</c:v>
                </c:pt>
              </c:numCache>
            </c:numRef>
          </c:val>
          <c:extLst>
            <c:ext xmlns:c16="http://schemas.microsoft.com/office/drawing/2014/chart" uri="{C3380CC4-5D6E-409C-BE32-E72D297353CC}">
              <c16:uniqueId val="{00000001-E5B5-4B40-BEFF-AF16BAB90D23}"/>
            </c:ext>
          </c:extLst>
        </c:ser>
        <c:ser>
          <c:idx val="2"/>
          <c:order val="2"/>
          <c:tx>
            <c:strRef>
              <c:f>Sheet1!$A$4</c:f>
              <c:strCache>
                <c:ptCount val="1"/>
                <c:pt idx="0">
                  <c:v>Ischaemic Heart Disease</c:v>
                </c:pt>
              </c:strCache>
            </c:strRef>
          </c:tx>
          <c:spPr>
            <a:solidFill>
              <a:schemeClr val="accent3"/>
            </a:solidFill>
            <a:ln>
              <a:noFill/>
            </a:ln>
            <a:effectLst/>
          </c:spPr>
          <c:invertIfNegative val="0"/>
          <c:cat>
            <c:strRef>
              <c:f>Sheet1!$B$1:$J$1</c:f>
              <c:strCache>
                <c:ptCount val="9"/>
                <c:pt idx="0">
                  <c:v>Indian</c:v>
                </c:pt>
                <c:pt idx="1">
                  <c:v>Pakistani</c:v>
                </c:pt>
                <c:pt idx="2">
                  <c:v>Carribean</c:v>
                </c:pt>
                <c:pt idx="3">
                  <c:v>African</c:v>
                </c:pt>
                <c:pt idx="4">
                  <c:v>Chinese</c:v>
                </c:pt>
                <c:pt idx="5">
                  <c:v>Bangladeshi</c:v>
                </c:pt>
                <c:pt idx="6">
                  <c:v>Mixed</c:v>
                </c:pt>
                <c:pt idx="7">
                  <c:v>Any other ethnic group</c:v>
                </c:pt>
                <c:pt idx="8">
                  <c:v>Caucasian</c:v>
                </c:pt>
              </c:strCache>
            </c:strRef>
          </c:cat>
          <c:val>
            <c:numRef>
              <c:f>Sheet1!$B$4:$J$4</c:f>
              <c:numCache>
                <c:formatCode>General</c:formatCode>
                <c:ptCount val="9"/>
                <c:pt idx="0">
                  <c:v>14</c:v>
                </c:pt>
                <c:pt idx="1">
                  <c:v>19.899999999999999</c:v>
                </c:pt>
                <c:pt idx="2">
                  <c:v>8.6</c:v>
                </c:pt>
                <c:pt idx="3">
                  <c:v>7.7</c:v>
                </c:pt>
                <c:pt idx="4">
                  <c:v>0</c:v>
                </c:pt>
                <c:pt idx="5">
                  <c:v>9.1</c:v>
                </c:pt>
                <c:pt idx="6">
                  <c:v>9.1</c:v>
                </c:pt>
                <c:pt idx="7">
                  <c:v>11.7</c:v>
                </c:pt>
                <c:pt idx="8">
                  <c:v>17</c:v>
                </c:pt>
              </c:numCache>
            </c:numRef>
          </c:val>
          <c:extLst>
            <c:ext xmlns:c16="http://schemas.microsoft.com/office/drawing/2014/chart" uri="{C3380CC4-5D6E-409C-BE32-E72D297353CC}">
              <c16:uniqueId val="{00000002-E5B5-4B40-BEFF-AF16BAB90D23}"/>
            </c:ext>
          </c:extLst>
        </c:ser>
        <c:ser>
          <c:idx val="3"/>
          <c:order val="3"/>
          <c:tx>
            <c:strRef>
              <c:f>Sheet1!$A$5</c:f>
              <c:strCache>
                <c:ptCount val="1"/>
                <c:pt idx="0">
                  <c:v>Hypercholestrolaemia</c:v>
                </c:pt>
              </c:strCache>
            </c:strRef>
          </c:tx>
          <c:spPr>
            <a:solidFill>
              <a:schemeClr val="accent4"/>
            </a:solidFill>
            <a:ln>
              <a:noFill/>
            </a:ln>
            <a:effectLst/>
          </c:spPr>
          <c:invertIfNegative val="0"/>
          <c:cat>
            <c:strRef>
              <c:f>Sheet1!$B$1:$J$1</c:f>
              <c:strCache>
                <c:ptCount val="9"/>
                <c:pt idx="0">
                  <c:v>Indian</c:v>
                </c:pt>
                <c:pt idx="1">
                  <c:v>Pakistani</c:v>
                </c:pt>
                <c:pt idx="2">
                  <c:v>Carribean</c:v>
                </c:pt>
                <c:pt idx="3">
                  <c:v>African</c:v>
                </c:pt>
                <c:pt idx="4">
                  <c:v>Chinese</c:v>
                </c:pt>
                <c:pt idx="5">
                  <c:v>Bangladeshi</c:v>
                </c:pt>
                <c:pt idx="6">
                  <c:v>Mixed</c:v>
                </c:pt>
                <c:pt idx="7">
                  <c:v>Any other ethnic group</c:v>
                </c:pt>
                <c:pt idx="8">
                  <c:v>Caucasian</c:v>
                </c:pt>
              </c:strCache>
            </c:strRef>
          </c:cat>
          <c:val>
            <c:numRef>
              <c:f>Sheet1!$B$5:$J$5</c:f>
              <c:numCache>
                <c:formatCode>General</c:formatCode>
                <c:ptCount val="9"/>
                <c:pt idx="0">
                  <c:v>6.5</c:v>
                </c:pt>
                <c:pt idx="1">
                  <c:v>14.4</c:v>
                </c:pt>
                <c:pt idx="2">
                  <c:v>3.8</c:v>
                </c:pt>
                <c:pt idx="3">
                  <c:v>3.8</c:v>
                </c:pt>
                <c:pt idx="4">
                  <c:v>18.8</c:v>
                </c:pt>
                <c:pt idx="5">
                  <c:v>0</c:v>
                </c:pt>
                <c:pt idx="6">
                  <c:v>0</c:v>
                </c:pt>
                <c:pt idx="7">
                  <c:v>11.7</c:v>
                </c:pt>
                <c:pt idx="8">
                  <c:v>6.8</c:v>
                </c:pt>
              </c:numCache>
            </c:numRef>
          </c:val>
          <c:extLst>
            <c:ext xmlns:c16="http://schemas.microsoft.com/office/drawing/2014/chart" uri="{C3380CC4-5D6E-409C-BE32-E72D297353CC}">
              <c16:uniqueId val="{00000003-E5B5-4B40-BEFF-AF16BAB90D23}"/>
            </c:ext>
          </c:extLst>
        </c:ser>
        <c:ser>
          <c:idx val="4"/>
          <c:order val="4"/>
          <c:tx>
            <c:strRef>
              <c:f>Sheet1!$A$6</c:f>
              <c:strCache>
                <c:ptCount val="1"/>
                <c:pt idx="0">
                  <c:v>Chronic Obstructive Pulmonary Disease</c:v>
                </c:pt>
              </c:strCache>
            </c:strRef>
          </c:tx>
          <c:spPr>
            <a:solidFill>
              <a:schemeClr val="accent5"/>
            </a:solidFill>
            <a:ln>
              <a:noFill/>
            </a:ln>
            <a:effectLst/>
          </c:spPr>
          <c:invertIfNegative val="0"/>
          <c:cat>
            <c:strRef>
              <c:f>Sheet1!$B$1:$J$1</c:f>
              <c:strCache>
                <c:ptCount val="9"/>
                <c:pt idx="0">
                  <c:v>Indian</c:v>
                </c:pt>
                <c:pt idx="1">
                  <c:v>Pakistani</c:v>
                </c:pt>
                <c:pt idx="2">
                  <c:v>Carribean</c:v>
                </c:pt>
                <c:pt idx="3">
                  <c:v>African</c:v>
                </c:pt>
                <c:pt idx="4">
                  <c:v>Chinese</c:v>
                </c:pt>
                <c:pt idx="5">
                  <c:v>Bangladeshi</c:v>
                </c:pt>
                <c:pt idx="6">
                  <c:v>Mixed</c:v>
                </c:pt>
                <c:pt idx="7">
                  <c:v>Any other ethnic group</c:v>
                </c:pt>
                <c:pt idx="8">
                  <c:v>Caucasian</c:v>
                </c:pt>
              </c:strCache>
            </c:strRef>
          </c:cat>
          <c:val>
            <c:numRef>
              <c:f>Sheet1!$B$6:$J$6</c:f>
              <c:numCache>
                <c:formatCode>General</c:formatCode>
                <c:ptCount val="9"/>
                <c:pt idx="0">
                  <c:v>3.2</c:v>
                </c:pt>
                <c:pt idx="1">
                  <c:v>1.2</c:v>
                </c:pt>
                <c:pt idx="2">
                  <c:v>3.8</c:v>
                </c:pt>
                <c:pt idx="3">
                  <c:v>3.8</c:v>
                </c:pt>
                <c:pt idx="4">
                  <c:v>0</c:v>
                </c:pt>
                <c:pt idx="5">
                  <c:v>0</c:v>
                </c:pt>
                <c:pt idx="6">
                  <c:v>0</c:v>
                </c:pt>
                <c:pt idx="7">
                  <c:v>1.8</c:v>
                </c:pt>
                <c:pt idx="8">
                  <c:v>13.3</c:v>
                </c:pt>
              </c:numCache>
            </c:numRef>
          </c:val>
          <c:extLst>
            <c:ext xmlns:c16="http://schemas.microsoft.com/office/drawing/2014/chart" uri="{C3380CC4-5D6E-409C-BE32-E72D297353CC}">
              <c16:uniqueId val="{00000004-E5B5-4B40-BEFF-AF16BAB90D23}"/>
            </c:ext>
          </c:extLst>
        </c:ser>
        <c:ser>
          <c:idx val="5"/>
          <c:order val="5"/>
          <c:tx>
            <c:strRef>
              <c:f>Sheet1!$A$7</c:f>
              <c:strCache>
                <c:ptCount val="1"/>
                <c:pt idx="0">
                  <c:v>Chronic Kidney Disease</c:v>
                </c:pt>
              </c:strCache>
            </c:strRef>
          </c:tx>
          <c:spPr>
            <a:solidFill>
              <a:schemeClr val="accent6"/>
            </a:solidFill>
            <a:ln>
              <a:noFill/>
            </a:ln>
            <a:effectLst/>
          </c:spPr>
          <c:invertIfNegative val="0"/>
          <c:cat>
            <c:strRef>
              <c:f>Sheet1!$B$1:$J$1</c:f>
              <c:strCache>
                <c:ptCount val="9"/>
                <c:pt idx="0">
                  <c:v>Indian</c:v>
                </c:pt>
                <c:pt idx="1">
                  <c:v>Pakistani</c:v>
                </c:pt>
                <c:pt idx="2">
                  <c:v>Carribean</c:v>
                </c:pt>
                <c:pt idx="3">
                  <c:v>African</c:v>
                </c:pt>
                <c:pt idx="4">
                  <c:v>Chinese</c:v>
                </c:pt>
                <c:pt idx="5">
                  <c:v>Bangladeshi</c:v>
                </c:pt>
                <c:pt idx="6">
                  <c:v>Mixed</c:v>
                </c:pt>
                <c:pt idx="7">
                  <c:v>Any other ethnic group</c:v>
                </c:pt>
                <c:pt idx="8">
                  <c:v>Caucasian</c:v>
                </c:pt>
              </c:strCache>
            </c:strRef>
          </c:cat>
          <c:val>
            <c:numRef>
              <c:f>Sheet1!$B$7:$J$7</c:f>
              <c:numCache>
                <c:formatCode>General</c:formatCode>
                <c:ptCount val="9"/>
                <c:pt idx="0">
                  <c:v>21.5</c:v>
                </c:pt>
                <c:pt idx="1">
                  <c:v>18.100000000000001</c:v>
                </c:pt>
                <c:pt idx="2">
                  <c:v>21.9</c:v>
                </c:pt>
                <c:pt idx="3">
                  <c:v>7.7</c:v>
                </c:pt>
                <c:pt idx="4">
                  <c:v>0</c:v>
                </c:pt>
                <c:pt idx="5">
                  <c:v>18.2</c:v>
                </c:pt>
                <c:pt idx="6">
                  <c:v>13.6</c:v>
                </c:pt>
                <c:pt idx="7">
                  <c:v>8.1</c:v>
                </c:pt>
                <c:pt idx="8">
                  <c:v>12.2</c:v>
                </c:pt>
              </c:numCache>
            </c:numRef>
          </c:val>
          <c:extLst>
            <c:ext xmlns:c16="http://schemas.microsoft.com/office/drawing/2014/chart" uri="{C3380CC4-5D6E-409C-BE32-E72D297353CC}">
              <c16:uniqueId val="{00000005-E5B5-4B40-BEFF-AF16BAB90D23}"/>
            </c:ext>
          </c:extLst>
        </c:ser>
        <c:ser>
          <c:idx val="6"/>
          <c:order val="6"/>
          <c:tx>
            <c:strRef>
              <c:f>Sheet1!$A$8</c:f>
              <c:strCache>
                <c:ptCount val="1"/>
                <c:pt idx="0">
                  <c:v>Type 2 Diabetes Mellitus</c:v>
                </c:pt>
              </c:strCache>
            </c:strRef>
          </c:tx>
          <c:spPr>
            <a:solidFill>
              <a:schemeClr val="accent1">
                <a:lumMod val="60000"/>
              </a:schemeClr>
            </a:solidFill>
            <a:ln>
              <a:noFill/>
            </a:ln>
            <a:effectLst/>
          </c:spPr>
          <c:invertIfNegative val="0"/>
          <c:cat>
            <c:strRef>
              <c:f>Sheet1!$B$1:$J$1</c:f>
              <c:strCache>
                <c:ptCount val="9"/>
                <c:pt idx="0">
                  <c:v>Indian</c:v>
                </c:pt>
                <c:pt idx="1">
                  <c:v>Pakistani</c:v>
                </c:pt>
                <c:pt idx="2">
                  <c:v>Carribean</c:v>
                </c:pt>
                <c:pt idx="3">
                  <c:v>African</c:v>
                </c:pt>
                <c:pt idx="4">
                  <c:v>Chinese</c:v>
                </c:pt>
                <c:pt idx="5">
                  <c:v>Bangladeshi</c:v>
                </c:pt>
                <c:pt idx="6">
                  <c:v>Mixed</c:v>
                </c:pt>
                <c:pt idx="7">
                  <c:v>Any other ethnic group</c:v>
                </c:pt>
                <c:pt idx="8">
                  <c:v>Caucasian</c:v>
                </c:pt>
              </c:strCache>
            </c:strRef>
          </c:cat>
          <c:val>
            <c:numRef>
              <c:f>Sheet1!$B$8:$J$8</c:f>
              <c:numCache>
                <c:formatCode>General</c:formatCode>
                <c:ptCount val="9"/>
                <c:pt idx="0">
                  <c:v>36.6</c:v>
                </c:pt>
                <c:pt idx="1">
                  <c:v>41.4</c:v>
                </c:pt>
                <c:pt idx="2">
                  <c:v>46.7</c:v>
                </c:pt>
                <c:pt idx="3">
                  <c:v>30.8</c:v>
                </c:pt>
                <c:pt idx="4">
                  <c:v>37.5</c:v>
                </c:pt>
                <c:pt idx="5">
                  <c:v>45.5</c:v>
                </c:pt>
                <c:pt idx="6">
                  <c:v>27.3</c:v>
                </c:pt>
                <c:pt idx="7">
                  <c:v>36</c:v>
                </c:pt>
                <c:pt idx="8">
                  <c:v>22.2</c:v>
                </c:pt>
              </c:numCache>
            </c:numRef>
          </c:val>
          <c:extLst>
            <c:ext xmlns:c16="http://schemas.microsoft.com/office/drawing/2014/chart" uri="{C3380CC4-5D6E-409C-BE32-E72D297353CC}">
              <c16:uniqueId val="{00000006-E5B5-4B40-BEFF-AF16BAB90D23}"/>
            </c:ext>
          </c:extLst>
        </c:ser>
        <c:ser>
          <c:idx val="7"/>
          <c:order val="7"/>
          <c:tx>
            <c:strRef>
              <c:f>Sheet1!$A$9</c:f>
              <c:strCache>
                <c:ptCount val="1"/>
                <c:pt idx="0">
                  <c:v>Heart Failure</c:v>
                </c:pt>
              </c:strCache>
            </c:strRef>
          </c:tx>
          <c:spPr>
            <a:solidFill>
              <a:schemeClr val="accent2">
                <a:lumMod val="60000"/>
              </a:schemeClr>
            </a:solidFill>
            <a:ln>
              <a:noFill/>
            </a:ln>
            <a:effectLst/>
          </c:spPr>
          <c:invertIfNegative val="0"/>
          <c:cat>
            <c:strRef>
              <c:f>Sheet1!$B$1:$J$1</c:f>
              <c:strCache>
                <c:ptCount val="9"/>
                <c:pt idx="0">
                  <c:v>Indian</c:v>
                </c:pt>
                <c:pt idx="1">
                  <c:v>Pakistani</c:v>
                </c:pt>
                <c:pt idx="2">
                  <c:v>Carribean</c:v>
                </c:pt>
                <c:pt idx="3">
                  <c:v>African</c:v>
                </c:pt>
                <c:pt idx="4">
                  <c:v>Chinese</c:v>
                </c:pt>
                <c:pt idx="5">
                  <c:v>Bangladeshi</c:v>
                </c:pt>
                <c:pt idx="6">
                  <c:v>Mixed</c:v>
                </c:pt>
                <c:pt idx="7">
                  <c:v>Any other ethnic group</c:v>
                </c:pt>
                <c:pt idx="8">
                  <c:v>Caucasian</c:v>
                </c:pt>
              </c:strCache>
            </c:strRef>
          </c:cat>
          <c:val>
            <c:numRef>
              <c:f>Sheet1!$B$9:$J$9</c:f>
              <c:numCache>
                <c:formatCode>General</c:formatCode>
                <c:ptCount val="9"/>
                <c:pt idx="0">
                  <c:v>5.4</c:v>
                </c:pt>
                <c:pt idx="1">
                  <c:v>7.4</c:v>
                </c:pt>
                <c:pt idx="2">
                  <c:v>5.7</c:v>
                </c:pt>
                <c:pt idx="3">
                  <c:v>0</c:v>
                </c:pt>
                <c:pt idx="4">
                  <c:v>0</c:v>
                </c:pt>
                <c:pt idx="5">
                  <c:v>0</c:v>
                </c:pt>
                <c:pt idx="6">
                  <c:v>4.5</c:v>
                </c:pt>
                <c:pt idx="7">
                  <c:v>5.4</c:v>
                </c:pt>
                <c:pt idx="8">
                  <c:v>8.6999999999999993</c:v>
                </c:pt>
              </c:numCache>
            </c:numRef>
          </c:val>
          <c:extLst>
            <c:ext xmlns:c16="http://schemas.microsoft.com/office/drawing/2014/chart" uri="{C3380CC4-5D6E-409C-BE32-E72D297353CC}">
              <c16:uniqueId val="{00000007-E5B5-4B40-BEFF-AF16BAB90D23}"/>
            </c:ext>
          </c:extLst>
        </c:ser>
        <c:ser>
          <c:idx val="8"/>
          <c:order val="8"/>
          <c:tx>
            <c:strRef>
              <c:f>Sheet1!$A$10</c:f>
              <c:strCache>
                <c:ptCount val="1"/>
                <c:pt idx="0">
                  <c:v>Peripheral Vascular Disease</c:v>
                </c:pt>
              </c:strCache>
            </c:strRef>
          </c:tx>
          <c:spPr>
            <a:solidFill>
              <a:schemeClr val="accent3">
                <a:lumMod val="60000"/>
              </a:schemeClr>
            </a:solidFill>
            <a:ln>
              <a:noFill/>
            </a:ln>
            <a:effectLst/>
          </c:spPr>
          <c:invertIfNegative val="0"/>
          <c:cat>
            <c:strRef>
              <c:f>Sheet1!$B$1:$J$1</c:f>
              <c:strCache>
                <c:ptCount val="9"/>
                <c:pt idx="0">
                  <c:v>Indian</c:v>
                </c:pt>
                <c:pt idx="1">
                  <c:v>Pakistani</c:v>
                </c:pt>
                <c:pt idx="2">
                  <c:v>Carribean</c:v>
                </c:pt>
                <c:pt idx="3">
                  <c:v>African</c:v>
                </c:pt>
                <c:pt idx="4">
                  <c:v>Chinese</c:v>
                </c:pt>
                <c:pt idx="5">
                  <c:v>Bangladeshi</c:v>
                </c:pt>
                <c:pt idx="6">
                  <c:v>Mixed</c:v>
                </c:pt>
                <c:pt idx="7">
                  <c:v>Any other ethnic group</c:v>
                </c:pt>
                <c:pt idx="8">
                  <c:v>Caucasian</c:v>
                </c:pt>
              </c:strCache>
            </c:strRef>
          </c:cat>
          <c:val>
            <c:numRef>
              <c:f>Sheet1!$B$10:$J$10</c:f>
              <c:numCache>
                <c:formatCode>General</c:formatCode>
                <c:ptCount val="9"/>
                <c:pt idx="0">
                  <c:v>1.1000000000000001</c:v>
                </c:pt>
                <c:pt idx="1">
                  <c:v>0.6</c:v>
                </c:pt>
                <c:pt idx="2">
                  <c:v>4.8</c:v>
                </c:pt>
                <c:pt idx="3">
                  <c:v>0</c:v>
                </c:pt>
                <c:pt idx="4">
                  <c:v>0</c:v>
                </c:pt>
                <c:pt idx="5">
                  <c:v>0</c:v>
                </c:pt>
                <c:pt idx="6">
                  <c:v>0</c:v>
                </c:pt>
                <c:pt idx="7">
                  <c:v>0</c:v>
                </c:pt>
                <c:pt idx="8">
                  <c:v>2.9</c:v>
                </c:pt>
              </c:numCache>
            </c:numRef>
          </c:val>
          <c:extLst>
            <c:ext xmlns:c16="http://schemas.microsoft.com/office/drawing/2014/chart" uri="{C3380CC4-5D6E-409C-BE32-E72D297353CC}">
              <c16:uniqueId val="{00000008-E5B5-4B40-BEFF-AF16BAB90D23}"/>
            </c:ext>
          </c:extLst>
        </c:ser>
        <c:ser>
          <c:idx val="9"/>
          <c:order val="9"/>
          <c:tx>
            <c:strRef>
              <c:f>Sheet1!$A$11</c:f>
              <c:strCache>
                <c:ptCount val="1"/>
                <c:pt idx="0">
                  <c:v>Cirrhosis</c:v>
                </c:pt>
              </c:strCache>
            </c:strRef>
          </c:tx>
          <c:spPr>
            <a:solidFill>
              <a:schemeClr val="accent4">
                <a:lumMod val="60000"/>
              </a:schemeClr>
            </a:solidFill>
            <a:ln>
              <a:noFill/>
            </a:ln>
            <a:effectLst/>
          </c:spPr>
          <c:invertIfNegative val="0"/>
          <c:cat>
            <c:strRef>
              <c:f>Sheet1!$B$1:$J$1</c:f>
              <c:strCache>
                <c:ptCount val="9"/>
                <c:pt idx="0">
                  <c:v>Indian</c:v>
                </c:pt>
                <c:pt idx="1">
                  <c:v>Pakistani</c:v>
                </c:pt>
                <c:pt idx="2">
                  <c:v>Carribean</c:v>
                </c:pt>
                <c:pt idx="3">
                  <c:v>African</c:v>
                </c:pt>
                <c:pt idx="4">
                  <c:v>Chinese</c:v>
                </c:pt>
                <c:pt idx="5">
                  <c:v>Bangladeshi</c:v>
                </c:pt>
                <c:pt idx="6">
                  <c:v>Mixed</c:v>
                </c:pt>
                <c:pt idx="7">
                  <c:v>Any other ethnic group</c:v>
                </c:pt>
                <c:pt idx="8">
                  <c:v>Caucasian</c:v>
                </c:pt>
              </c:strCache>
            </c:strRef>
          </c:cat>
          <c:val>
            <c:numRef>
              <c:f>Sheet1!$B$11:$J$11</c:f>
              <c:numCache>
                <c:formatCode>General</c:formatCode>
                <c:ptCount val="9"/>
                <c:pt idx="0">
                  <c:v>0</c:v>
                </c:pt>
                <c:pt idx="1">
                  <c:v>0</c:v>
                </c:pt>
                <c:pt idx="2">
                  <c:v>0</c:v>
                </c:pt>
                <c:pt idx="3">
                  <c:v>0</c:v>
                </c:pt>
                <c:pt idx="4">
                  <c:v>0</c:v>
                </c:pt>
                <c:pt idx="5">
                  <c:v>0</c:v>
                </c:pt>
                <c:pt idx="6">
                  <c:v>4.5</c:v>
                </c:pt>
                <c:pt idx="7">
                  <c:v>0</c:v>
                </c:pt>
                <c:pt idx="8">
                  <c:v>1.1000000000000001</c:v>
                </c:pt>
              </c:numCache>
            </c:numRef>
          </c:val>
          <c:extLst>
            <c:ext xmlns:c16="http://schemas.microsoft.com/office/drawing/2014/chart" uri="{C3380CC4-5D6E-409C-BE32-E72D297353CC}">
              <c16:uniqueId val="{00000009-E5B5-4B40-BEFF-AF16BAB90D23}"/>
            </c:ext>
          </c:extLst>
        </c:ser>
        <c:dLbls>
          <c:showLegendKey val="0"/>
          <c:showVal val="0"/>
          <c:showCatName val="0"/>
          <c:showSerName val="0"/>
          <c:showPercent val="0"/>
          <c:showBubbleSize val="0"/>
        </c:dLbls>
        <c:gapWidth val="182"/>
        <c:overlap val="100"/>
        <c:axId val="373070432"/>
        <c:axId val="66968480"/>
      </c:barChart>
      <c:catAx>
        <c:axId val="3730704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100" b="1" i="0" u="none" strike="noStrike" kern="1200" baseline="0">
                <a:solidFill>
                  <a:schemeClr val="tx1"/>
                </a:solidFill>
                <a:latin typeface="Calibri" panose="020F0502020204030204" pitchFamily="34" charset="0"/>
                <a:ea typeface="+mn-ea"/>
                <a:cs typeface="Calibri" panose="020F0502020204030204" pitchFamily="34" charset="0"/>
              </a:defRPr>
            </a:pPr>
            <a:endParaRPr lang="en-US"/>
          </a:p>
        </c:txPr>
        <c:crossAx val="66968480"/>
        <c:crosses val="autoZero"/>
        <c:auto val="1"/>
        <c:lblAlgn val="ctr"/>
        <c:lblOffset val="100"/>
        <c:noMultiLvlLbl val="0"/>
      </c:catAx>
      <c:valAx>
        <c:axId val="66968480"/>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sz="1400" b="1"/>
                  <a:t>Percentage</a:t>
                </a:r>
                <a:r>
                  <a:rPr lang="en-US" sz="1400" b="1" baseline="0"/>
                  <a:t> (%)</a:t>
                </a:r>
                <a:endParaRPr lang="en-US" sz="1400" b="1"/>
              </a:p>
            </c:rich>
          </c:tx>
          <c:layout>
            <c:manualLayout>
              <c:xMode val="edge"/>
              <c:yMode val="edge"/>
              <c:x val="2.6555615566104782E-2"/>
              <c:y val="0.28287240264673497"/>
            </c:manualLayout>
          </c:layout>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1100" b="1" i="0" u="none" strike="noStrike" kern="1200" baseline="0">
                <a:solidFill>
                  <a:schemeClr val="tx1"/>
                </a:solidFill>
                <a:latin typeface="+mn-lt"/>
                <a:ea typeface="+mn-ea"/>
                <a:cs typeface="+mn-cs"/>
              </a:defRPr>
            </a:pPr>
            <a:endParaRPr lang="en-US"/>
          </a:p>
        </c:txPr>
        <c:crossAx val="373070432"/>
        <c:crosses val="autoZero"/>
        <c:crossBetween val="between"/>
      </c:valAx>
      <c:spPr>
        <a:noFill/>
        <a:ln>
          <a:noFill/>
        </a:ln>
        <a:effectLst/>
      </c:spPr>
    </c:plotArea>
    <c:legend>
      <c:legendPos val="b"/>
      <c:layout>
        <c:manualLayout>
          <c:xMode val="edge"/>
          <c:yMode val="edge"/>
          <c:x val="8.0125177985833504E-2"/>
          <c:y val="0.83098694740873502"/>
          <c:w val="0.89443330085872508"/>
          <c:h val="0.14522245409746945"/>
        </c:manualLayout>
      </c:layout>
      <c:overlay val="0"/>
      <c:spPr>
        <a:noFill/>
        <a:ln>
          <a:noFill/>
        </a:ln>
        <a:effectLst/>
      </c:spPr>
      <c:txPr>
        <a:bodyPr rot="0" spcFirstLastPara="1" vertOverflow="ellipsis" vert="horz" wrap="square" anchor="ctr" anchorCtr="1"/>
        <a:lstStyle/>
        <a:p>
          <a:pPr>
            <a:defRPr sz="1100" b="1" i="0" u="none" strike="noStrike" kern="1200" baseline="0">
              <a:solidFill>
                <a:schemeClr val="tx1"/>
              </a:solidFill>
              <a:latin typeface="Calibri" panose="020F0502020204030204" pitchFamily="34" charset="0"/>
              <a:ea typeface="+mn-ea"/>
              <a:cs typeface="Calibri" panose="020F050202020403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Vancouver.XSL" StyleName="Vancouver" Version="1">
  <b:Source>
    <b:Tag>Bri089</b:Tag>
    <b:SourceType>JournalArticle</b:SourceType>
    <b:Guid>{5466148A-E934-4541-80AC-FE2C167B3051}</b:Guid>
    <b:Title>Guidelines for the Management of Community Acquired Pneumonia in Adults Update 2009 A Quick Reference Guide</b:Title>
    <b:JournalName>United Kingdom</b:JournalName>
    <b:Year>2009</b:Year>
    <b:Month>November </b:Month>
    <b:Volume>Report No.: ISSN 2040-2023.</b:Volume>
    <b:Author>
      <b:Author>
        <b:NameList>
          <b:Person>
            <b:Last>Society</b:Last>
            <b:First>British</b:First>
            <b:Middle>Thoracic</b:Middle>
          </b:Person>
        </b:NameList>
      </b:Author>
    </b:Author>
    <b:RefOrder>11</b:RefOrder>
  </b:Source>
  <b:Source>
    <b:Tag>Lim03</b:Tag>
    <b:SourceType>JournalArticle</b:SourceType>
    <b:Guid>{4D7062C6-BABD-0346-B5C9-17AFE129BC77}</b:Guid>
    <b:Title>Defining community acquired pneumonia severity on presentation to hospital: an international derivation and validation study</b:Title>
    <b:Year>2003</b:Year>
    <b:Pages>371</b:Pages>
    <b:Author>
      <b:Author>
        <b:NameList>
          <b:Person>
            <b:Last>Lim</b:Last>
            <b:Middle>S.</b:Middle>
            <b:First>W.</b:First>
          </b:Person>
        </b:NameList>
      </b:Author>
    </b:Author>
    <b:JournalName>BMJ Thorax</b:JournalName>
    <b:Volume>58</b:Volume>
    <b:RefOrder>5</b:RefOrder>
  </b:Source>
</b:Sources>
</file>

<file path=customXml/itemProps1.xml><?xml version="1.0" encoding="utf-8"?>
<ds:datastoreItem xmlns:ds="http://schemas.openxmlformats.org/officeDocument/2006/customXml" ds:itemID="{6C6201D7-448E-2F40-B1B6-EDC7EFD9A2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667</Words>
  <Characters>3806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2</cp:revision>
  <dcterms:created xsi:type="dcterms:W3CDTF">2021-04-03T01:53:00Z</dcterms:created>
  <dcterms:modified xsi:type="dcterms:W3CDTF">2021-04-03T01:53:00Z</dcterms:modified>
</cp:coreProperties>
</file>