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9433" w14:textId="77777777" w:rsidR="007C42D0" w:rsidRDefault="00B744F2" w:rsidP="001416DB">
      <w:pPr>
        <w:spacing w:line="480" w:lineRule="auto"/>
        <w:jc w:val="both"/>
        <w:rPr>
          <w:sz w:val="36"/>
          <w:szCs w:val="36"/>
        </w:rPr>
      </w:pPr>
      <w:r>
        <w:rPr>
          <w:sz w:val="36"/>
          <w:szCs w:val="36"/>
        </w:rPr>
        <w:t>Supporting Information</w:t>
      </w:r>
    </w:p>
    <w:p w14:paraId="67664E6E" w14:textId="77777777" w:rsidR="007C42D0" w:rsidRDefault="00B744F2" w:rsidP="001416DB">
      <w:pPr>
        <w:spacing w:line="48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Composition tunability of semiconductor radiosensitizers for low-dose X-ray induced photodynamic therapy</w:t>
      </w:r>
    </w:p>
    <w:p w14:paraId="5ADBB876" w14:textId="77777777" w:rsidR="007C42D0" w:rsidRDefault="007C42D0" w:rsidP="001416DB">
      <w:pPr>
        <w:spacing w:line="480" w:lineRule="auto"/>
        <w:jc w:val="both"/>
        <w:rPr>
          <w:b/>
        </w:rPr>
      </w:pPr>
    </w:p>
    <w:p w14:paraId="3A40734A" w14:textId="77777777" w:rsidR="007C42D0" w:rsidRPr="001416DB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eastAsia="zh-CN"/>
        </w:rPr>
      </w:pPr>
      <w:bookmarkStart w:id="0" w:name="_Hlk93938663"/>
      <w:r w:rsidRPr="001416DB">
        <w:rPr>
          <w:rFonts w:eastAsia="等线"/>
          <w:kern w:val="2"/>
          <w:lang w:eastAsia="zh-CN"/>
        </w:rPr>
        <w:t>Lei Chen</w:t>
      </w:r>
      <w:r w:rsidRPr="001416DB">
        <w:rPr>
          <w:rFonts w:eastAsia="等线"/>
          <w:kern w:val="2"/>
          <w:vertAlign w:val="superscript"/>
          <w:lang w:eastAsia="zh-CN"/>
        </w:rPr>
        <w:t>1</w:t>
      </w:r>
      <w:r w:rsidRPr="001416DB">
        <w:rPr>
          <w:rFonts w:eastAsia="等线"/>
          <w:kern w:val="2"/>
          <w:lang w:eastAsia="zh-CN"/>
        </w:rPr>
        <w:t>, Jinghui Zhang</w:t>
      </w:r>
      <w:r w:rsidRPr="001416DB">
        <w:rPr>
          <w:rFonts w:eastAsia="等线"/>
          <w:kern w:val="2"/>
          <w:vertAlign w:val="superscript"/>
          <w:lang w:eastAsia="zh-CN"/>
        </w:rPr>
        <w:t>1,2</w:t>
      </w:r>
      <w:r w:rsidRPr="001416DB">
        <w:rPr>
          <w:rFonts w:eastAsia="等线"/>
          <w:kern w:val="2"/>
          <w:lang w:eastAsia="zh-CN"/>
        </w:rPr>
        <w:t>, Luchao Zhu</w:t>
      </w:r>
      <w:r w:rsidRPr="001416DB">
        <w:rPr>
          <w:rFonts w:eastAsia="等线"/>
          <w:kern w:val="2"/>
          <w:vertAlign w:val="superscript"/>
          <w:lang w:eastAsia="zh-CN"/>
        </w:rPr>
        <w:t>4</w:t>
      </w:r>
      <w:r w:rsidRPr="001416DB">
        <w:rPr>
          <w:rFonts w:eastAsia="等线"/>
          <w:kern w:val="2"/>
          <w:lang w:eastAsia="zh-CN"/>
        </w:rPr>
        <w:t>, Lihua Xu</w:t>
      </w:r>
      <w:r w:rsidRPr="001416DB">
        <w:rPr>
          <w:rFonts w:eastAsia="等线"/>
          <w:kern w:val="2"/>
          <w:vertAlign w:val="superscript"/>
          <w:lang w:eastAsia="zh-CN"/>
        </w:rPr>
        <w:t>1</w:t>
      </w:r>
      <w:r w:rsidRPr="001416DB">
        <w:rPr>
          <w:rFonts w:eastAsia="等线"/>
          <w:kern w:val="2"/>
          <w:lang w:eastAsia="zh-CN"/>
        </w:rPr>
        <w:t>, Jinpeng Jing</w:t>
      </w:r>
      <w:r w:rsidRPr="001416DB">
        <w:rPr>
          <w:rFonts w:eastAsia="等线"/>
          <w:kern w:val="2"/>
          <w:vertAlign w:val="superscript"/>
          <w:lang w:eastAsia="zh-CN"/>
        </w:rPr>
        <w:t>1</w:t>
      </w:r>
      <w:r w:rsidRPr="001416DB">
        <w:rPr>
          <w:rFonts w:eastAsia="等线"/>
          <w:kern w:val="2"/>
          <w:lang w:eastAsia="zh-CN"/>
        </w:rPr>
        <w:t>, Yushuo Feng</w:t>
      </w:r>
      <w:r w:rsidRPr="001416DB">
        <w:rPr>
          <w:rFonts w:eastAsia="等线"/>
          <w:kern w:val="2"/>
          <w:vertAlign w:val="superscript"/>
          <w:lang w:eastAsia="zh-CN"/>
        </w:rPr>
        <w:t>1</w:t>
      </w:r>
      <w:r w:rsidRPr="001416DB">
        <w:rPr>
          <w:rFonts w:eastAsia="等线"/>
          <w:kern w:val="2"/>
          <w:lang w:eastAsia="zh-CN"/>
        </w:rPr>
        <w:t>, Zongzhang Wang</w:t>
      </w:r>
      <w:r w:rsidRPr="001416DB">
        <w:rPr>
          <w:rFonts w:eastAsia="等线"/>
          <w:kern w:val="2"/>
          <w:vertAlign w:val="superscript"/>
          <w:lang w:eastAsia="zh-CN"/>
        </w:rPr>
        <w:t>1</w:t>
      </w:r>
      <w:r w:rsidRPr="001416DB">
        <w:rPr>
          <w:rFonts w:eastAsia="等线"/>
          <w:kern w:val="2"/>
          <w:lang w:eastAsia="zh-CN"/>
        </w:rPr>
        <w:t>, Peifei Liu</w:t>
      </w:r>
      <w:r w:rsidRPr="001416DB">
        <w:rPr>
          <w:rFonts w:eastAsia="等线"/>
          <w:kern w:val="2"/>
          <w:vertAlign w:val="superscript"/>
          <w:lang w:eastAsia="zh-CN"/>
        </w:rPr>
        <w:t>1</w:t>
      </w:r>
      <w:r w:rsidRPr="001416DB">
        <w:rPr>
          <w:rFonts w:eastAsia="等线"/>
          <w:kern w:val="2"/>
          <w:lang w:eastAsia="zh-CN"/>
        </w:rPr>
        <w:t xml:space="preserve">, Wenjing </w:t>
      </w:r>
      <w:r w:rsidRPr="001416DB">
        <w:rPr>
          <w:rFonts w:eastAsia="等线"/>
          <w:kern w:val="2"/>
          <w:lang w:eastAsia="zh-CN"/>
        </w:rPr>
        <w:t>Sun*</w:t>
      </w:r>
      <w:r w:rsidRPr="001416DB">
        <w:rPr>
          <w:rFonts w:eastAsia="等线"/>
          <w:kern w:val="2"/>
          <w:vertAlign w:val="superscript"/>
          <w:lang w:eastAsia="zh-CN"/>
        </w:rPr>
        <w:t>1,3</w:t>
      </w:r>
      <w:r w:rsidRPr="001416DB">
        <w:rPr>
          <w:rFonts w:eastAsia="等线"/>
          <w:kern w:val="2"/>
          <w:lang w:eastAsia="zh-CN"/>
        </w:rPr>
        <w:t>, Xiangmei Liu*</w:t>
      </w:r>
      <w:r w:rsidRPr="001416DB">
        <w:rPr>
          <w:rFonts w:eastAsia="等线"/>
          <w:kern w:val="2"/>
          <w:vertAlign w:val="superscript"/>
          <w:lang w:eastAsia="zh-CN"/>
        </w:rPr>
        <w:t>2</w:t>
      </w:r>
      <w:r w:rsidRPr="001416DB">
        <w:rPr>
          <w:rFonts w:eastAsia="等线"/>
          <w:kern w:val="2"/>
          <w:lang w:eastAsia="zh-CN"/>
        </w:rPr>
        <w:t>, Yimin Li*</w:t>
      </w:r>
      <w:r w:rsidRPr="001416DB">
        <w:rPr>
          <w:rFonts w:eastAsia="等线"/>
          <w:kern w:val="2"/>
          <w:vertAlign w:val="superscript"/>
          <w:lang w:eastAsia="zh-CN"/>
        </w:rPr>
        <w:t>4,5</w:t>
      </w:r>
      <w:r w:rsidRPr="001416DB">
        <w:rPr>
          <w:rFonts w:eastAsia="等线"/>
          <w:kern w:val="2"/>
          <w:lang w:eastAsia="zh-CN"/>
        </w:rPr>
        <w:t>, Hongmin Chen*</w:t>
      </w:r>
      <w:r w:rsidRPr="001416DB">
        <w:rPr>
          <w:rFonts w:eastAsia="等线"/>
          <w:kern w:val="2"/>
          <w:vertAlign w:val="superscript"/>
          <w:lang w:eastAsia="zh-CN"/>
        </w:rPr>
        <w:t>1,2,4</w:t>
      </w:r>
    </w:p>
    <w:p w14:paraId="5593B15A" w14:textId="77777777" w:rsidR="007C42D0" w:rsidRPr="001416DB" w:rsidRDefault="007C42D0" w:rsidP="001416DB">
      <w:pPr>
        <w:widowControl w:val="0"/>
        <w:spacing w:line="480" w:lineRule="auto"/>
        <w:jc w:val="both"/>
        <w:rPr>
          <w:rFonts w:eastAsia="等线"/>
          <w:kern w:val="2"/>
          <w:lang w:eastAsia="zh-CN"/>
        </w:rPr>
      </w:pPr>
    </w:p>
    <w:p w14:paraId="1E07B0E0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vertAlign w:val="superscript"/>
          <w:lang w:val="en-US" w:eastAsia="zh-CN"/>
        </w:rPr>
        <w:t>1</w:t>
      </w:r>
      <w:r>
        <w:rPr>
          <w:rFonts w:eastAsia="等线"/>
          <w:kern w:val="2"/>
          <w:lang w:val="en-US" w:eastAsia="zh-CN"/>
        </w:rPr>
        <w:t xml:space="preserve">State Key Laboratory of Molecular Vaccinology and Molecular Diagnostics &amp; Center for Molecular Imaging and Translational Medicine, School of Public Health, Xiamen University, Xiamen 361102, P. R. </w:t>
      </w:r>
      <w:r>
        <w:rPr>
          <w:rFonts w:eastAsia="等线"/>
          <w:kern w:val="2"/>
          <w:lang w:val="en-US" w:eastAsia="zh-CN"/>
        </w:rPr>
        <w:t>China</w:t>
      </w:r>
    </w:p>
    <w:p w14:paraId="2819396C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lang w:val="en-US" w:eastAsia="zh-CN"/>
        </w:rPr>
        <w:t>E-mail: hchen@xmu.edu.cn</w:t>
      </w:r>
    </w:p>
    <w:p w14:paraId="6ABCB8FA" w14:textId="77777777" w:rsidR="007C42D0" w:rsidRDefault="00B744F2" w:rsidP="001416DB">
      <w:pPr>
        <w:widowControl w:val="0"/>
        <w:numPr>
          <w:ilvl w:val="255"/>
          <w:numId w:val="0"/>
        </w:numPr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vertAlign w:val="superscript"/>
          <w:lang w:val="en-US" w:eastAsia="zh-CN"/>
        </w:rPr>
        <w:t>2</w:t>
      </w:r>
      <w:r>
        <w:rPr>
          <w:rFonts w:eastAsia="等线"/>
          <w:kern w:val="2"/>
          <w:lang w:val="en-US" w:eastAsia="zh-CN"/>
        </w:rPr>
        <w:t>State Key Laboratory of Organic Electronics and Information Displays &amp; Institute of Advanced Materials (IAM), Jiangsu Key Laboratory for Biosensors, Nanjing University of Posts &amp; Telecommunications, Nanjing 210023, P. R. Chi</w:t>
      </w:r>
      <w:r>
        <w:rPr>
          <w:rFonts w:eastAsia="等线"/>
          <w:kern w:val="2"/>
          <w:lang w:val="en-US" w:eastAsia="zh-CN"/>
        </w:rPr>
        <w:t>na</w:t>
      </w:r>
    </w:p>
    <w:p w14:paraId="6511395E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lang w:val="en-US" w:eastAsia="zh-CN"/>
        </w:rPr>
        <w:t>E-mail: iamxmliu@njupt.edu.cn</w:t>
      </w:r>
    </w:p>
    <w:p w14:paraId="60D2B03A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vertAlign w:val="superscript"/>
          <w:lang w:val="en-US" w:eastAsia="zh-CN"/>
        </w:rPr>
        <w:t>3</w:t>
      </w:r>
      <w:bookmarkStart w:id="1" w:name="OLE_LINK8"/>
      <w:r>
        <w:rPr>
          <w:rFonts w:eastAsia="等线"/>
          <w:kern w:val="2"/>
          <w:lang w:val="en-US" w:eastAsia="zh-CN"/>
        </w:rPr>
        <w:t>Zhejiang University-Hangzhou Global Scientific and Technological Innovation Center (ZJU-HIC), Hangzhou 311200, P. R. China</w:t>
      </w:r>
      <w:bookmarkEnd w:id="1"/>
    </w:p>
    <w:p w14:paraId="0DBF7C30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lang w:val="en-US" w:eastAsia="zh-CN"/>
        </w:rPr>
        <w:t>E-mail: sunwj0102@zju.edu.cn</w:t>
      </w:r>
    </w:p>
    <w:p w14:paraId="060BEC1F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vertAlign w:val="superscript"/>
          <w:lang w:val="en-US" w:eastAsia="zh-CN"/>
        </w:rPr>
        <w:t>4</w:t>
      </w:r>
      <w:r>
        <w:rPr>
          <w:rFonts w:eastAsia="等线"/>
          <w:kern w:val="2"/>
          <w:lang w:val="en-US" w:eastAsia="zh-CN"/>
        </w:rPr>
        <w:t>Department of Radiation Oncology, Cancer Center, the First Affiliated</w:t>
      </w:r>
      <w:r>
        <w:rPr>
          <w:rFonts w:eastAsia="等线"/>
          <w:kern w:val="2"/>
          <w:lang w:val="en-US" w:eastAsia="zh-CN"/>
        </w:rPr>
        <w:t xml:space="preserve"> Hospital of Xiamen University, Xiamen 361003, P. R. China</w:t>
      </w:r>
    </w:p>
    <w:p w14:paraId="126E1AF6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lang w:val="en-US" w:eastAsia="zh-CN"/>
        </w:rPr>
        <w:t>E-mail: lym05@xmu.edu.cn</w:t>
      </w:r>
    </w:p>
    <w:p w14:paraId="250CFD9A" w14:textId="77777777" w:rsidR="007C42D0" w:rsidRDefault="00B744F2" w:rsidP="001416DB">
      <w:pPr>
        <w:widowControl w:val="0"/>
        <w:spacing w:line="480" w:lineRule="auto"/>
        <w:jc w:val="both"/>
        <w:rPr>
          <w:rFonts w:eastAsia="等线"/>
          <w:kern w:val="2"/>
          <w:lang w:val="en-US" w:eastAsia="zh-CN"/>
        </w:rPr>
      </w:pPr>
      <w:r>
        <w:rPr>
          <w:rFonts w:eastAsia="等线"/>
          <w:kern w:val="2"/>
          <w:vertAlign w:val="superscript"/>
          <w:lang w:val="en-US" w:eastAsia="zh-CN"/>
        </w:rPr>
        <w:t>5</w:t>
      </w:r>
      <w:r>
        <w:rPr>
          <w:rFonts w:eastAsia="等线"/>
          <w:kern w:val="2"/>
          <w:lang w:val="en-US" w:eastAsia="zh-CN"/>
        </w:rPr>
        <w:t>The Third Clinical Medical College, Fujian Medical University, P. R. China</w:t>
      </w:r>
    </w:p>
    <w:p w14:paraId="7E69B331" w14:textId="77777777" w:rsidR="007C42D0" w:rsidRDefault="007C42D0" w:rsidP="001416DB">
      <w:pPr>
        <w:spacing w:line="480" w:lineRule="auto"/>
        <w:jc w:val="both"/>
      </w:pPr>
    </w:p>
    <w:bookmarkEnd w:id="0"/>
    <w:p w14:paraId="380C4C1F" w14:textId="77777777" w:rsidR="007C42D0" w:rsidRDefault="00B744F2" w:rsidP="001416DB">
      <w:pPr>
        <w:spacing w:line="480" w:lineRule="auto"/>
        <w:jc w:val="both"/>
        <w:rPr>
          <w:b/>
        </w:rPr>
      </w:pPr>
      <w:r>
        <w:rPr>
          <w:b/>
        </w:rPr>
        <w:lastRenderedPageBreak/>
        <w:t>Experimental Section:</w:t>
      </w:r>
    </w:p>
    <w:p w14:paraId="4AD11BB3" w14:textId="77777777" w:rsidR="007C42D0" w:rsidRDefault="00B744F2" w:rsidP="001416DB">
      <w:pPr>
        <w:spacing w:line="480" w:lineRule="auto"/>
        <w:jc w:val="both"/>
        <w:rPr>
          <w:b/>
        </w:rPr>
      </w:pPr>
      <w:r>
        <w:rPr>
          <w:b/>
        </w:rPr>
        <w:t>Materials</w:t>
      </w:r>
    </w:p>
    <w:p w14:paraId="53208515" w14:textId="77777777" w:rsidR="007C42D0" w:rsidRDefault="00B744F2" w:rsidP="001416DB">
      <w:pPr>
        <w:autoSpaceDE w:val="0"/>
        <w:autoSpaceDN w:val="0"/>
        <w:adjustRightInd w:val="0"/>
        <w:spacing w:line="480" w:lineRule="auto"/>
        <w:jc w:val="both"/>
        <w:rPr>
          <w:b/>
        </w:rPr>
      </w:pPr>
      <w:r>
        <w:t>Bismuth nitrate pentahydrate (Bi(NO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3</w:t>
      </w:r>
      <w:r>
        <w:rPr>
          <w:rFonts w:eastAsiaTheme="minorEastAsia"/>
          <w:lang w:eastAsia="zh-CN"/>
        </w:rPr>
        <w:t>·</w:t>
      </w:r>
      <w:r>
        <w:t>5H</w:t>
      </w:r>
      <w:r>
        <w:rPr>
          <w:vertAlign w:val="subscript"/>
        </w:rPr>
        <w:t>2</w:t>
      </w:r>
      <w:r>
        <w:t>O), tetrabutyl titana</w:t>
      </w:r>
      <w:r>
        <w:t xml:space="preserve">te (TBOT), 4-nitrophenyl chloroformate 3-(4,5-dimethylthiazol-2-yl)-2,5-diphenyltetrazolium bromide (MTT) and 2,7-dichlorodihydrofluorescein diacetate (DCFH-DA) were purchased from Sigma-Aldrich (MO, USA). Methylene blue (MB) was purchased from </w:t>
      </w:r>
      <w:bookmarkStart w:id="2" w:name="OLE_LINK2"/>
      <w:r>
        <w:t>Alfa Aesar</w:t>
      </w:r>
      <w:bookmarkEnd w:id="2"/>
      <w:r>
        <w:t xml:space="preserve"> </w:t>
      </w:r>
      <w:r>
        <w:t>(China) Chemical Co. Ltd. Hoechst 33342 and BODIPY 581/591 C11 were purchased from Thermo Fisher Scientific (Waltham, MA). JC-1 was purchased from MedChemExpress (MCE). U87MG cells were obtained from Institute of Biochemistry and Cell Biology (Shanghai, Ch</w:t>
      </w:r>
      <w:r>
        <w:t>ina). Male nude mice were purchased from Shanghai SLAC Laboratory Animal Co. Ltd (Shanghai, China).</w:t>
      </w:r>
    </w:p>
    <w:p w14:paraId="219E556A" w14:textId="77777777" w:rsidR="007C42D0" w:rsidRDefault="00B744F2" w:rsidP="001416DB">
      <w:pPr>
        <w:spacing w:line="480" w:lineRule="auto"/>
        <w:jc w:val="both"/>
      </w:pPr>
      <w:r>
        <w:rPr>
          <w:b/>
        </w:rPr>
        <w:t>Characterization</w:t>
      </w:r>
      <w:r>
        <w:t xml:space="preserve"> </w:t>
      </w:r>
    </w:p>
    <w:p w14:paraId="523F94BB" w14:textId="77777777" w:rsidR="007C42D0" w:rsidRDefault="00B744F2" w:rsidP="001416DB">
      <w:pPr>
        <w:spacing w:line="480" w:lineRule="auto"/>
        <w:jc w:val="both"/>
        <w:rPr>
          <w:lang w:val="en-US"/>
        </w:rPr>
      </w:pPr>
      <w:r>
        <w:t>TEM images were taken on a JEM-2100 transmission electron microscope (JEOL Ltd., Tokyo, Japan). HRTEM images and element mapping were taken on a Tecnai F30 transmission electron microscope. The crystalline phase was examined by X-ray diffraction (XRD) at 4</w:t>
      </w:r>
      <w:r>
        <w:t xml:space="preserve">0 kV and 30 mA in the range of 20–60° (2θ) at a scanning rate of 5°/min. The hydrodynamic diameters and </w:t>
      </w:r>
      <w:hyperlink r:id="rId11" w:tooltip="Learn more about zeta potential from ScienceDirect's AI-generated Topic Pages" w:history="1">
        <w:r>
          <w:t>zeta potential</w:t>
        </w:r>
      </w:hyperlink>
      <w:r>
        <w:t xml:space="preserve"> of </w:t>
      </w:r>
      <w:hyperlink r:id="rId12" w:tooltip="Learn more about nanoparticles from ScienceDirect's AI-generated Topic Pages" w:history="1">
        <w:r>
          <w:t>nanoparticles</w:t>
        </w:r>
      </w:hyperlink>
      <w:r>
        <w:t xml:space="preserve"> were measured on Malvern Zetasizer nano-ZS90. FTIR spectra were obtained using Bruker Vertex 70V spectrometer, scanning from 3500 to 500 cm</w:t>
      </w:r>
      <w:r>
        <w:rPr>
          <w:rFonts w:eastAsia="微软雅黑"/>
          <w:vertAlign w:val="superscript"/>
        </w:rPr>
        <w:t>−</w:t>
      </w:r>
      <w:r>
        <w:rPr>
          <w:vertAlign w:val="superscript"/>
        </w:rPr>
        <w:t>1</w:t>
      </w:r>
      <w:r>
        <w:t>, and the samples we</w:t>
      </w:r>
      <w:r>
        <w:t xml:space="preserve">re prepared by the KBr pellet method. XPS was performed using a PHI 5000 Versa Probe with Al Kα as the excitation source. The MTT assay of the TBR was measured by Enzyme-labelled meter: BioTek CO., Ltd (USA). The fluorescence images of cells were taken on </w:t>
      </w:r>
      <w:r>
        <w:t xml:space="preserve">a laser scanning confocal microscopy (Olympus FV1200, Japan). </w:t>
      </w:r>
      <w:r>
        <w:rPr>
          <w:lang w:val="en-US"/>
        </w:rPr>
        <w:t xml:space="preserve">The whole-body fluorescence imaging of mice was conducted using an IVIS in vivo imaging system (Caliper IVIS, Lumina II). </w:t>
      </w:r>
    </w:p>
    <w:p w14:paraId="6C399FE0" w14:textId="77777777" w:rsidR="007C42D0" w:rsidRDefault="00B744F2" w:rsidP="001416DB">
      <w:pPr>
        <w:spacing w:line="480" w:lineRule="auto"/>
        <w:jc w:val="both"/>
        <w:rPr>
          <w:b/>
        </w:rPr>
      </w:pPr>
      <w:r>
        <w:rPr>
          <w:b/>
        </w:rPr>
        <w:lastRenderedPageBreak/>
        <w:t>Cell culture</w:t>
      </w:r>
    </w:p>
    <w:p w14:paraId="79B73B53" w14:textId="77777777" w:rsidR="007C42D0" w:rsidRDefault="00B744F2" w:rsidP="001416DB">
      <w:pPr>
        <w:spacing w:line="480" w:lineRule="auto"/>
        <w:jc w:val="both"/>
        <w:rPr>
          <w:bCs/>
        </w:rPr>
      </w:pPr>
      <w:r>
        <w:t>U87MG (human glioblastoma) cell lines and 3T3 cell lines (</w:t>
      </w:r>
      <w:r>
        <w:t xml:space="preserve">mouse embryo fibroblasts) were cultured at 37 </w:t>
      </w:r>
      <w:r>
        <w:rPr>
          <w:rFonts w:eastAsia="宋体" w:hint="eastAsia"/>
          <w:shd w:val="clear" w:color="auto" w:fill="FEFEFE"/>
          <w:vertAlign w:val="superscript"/>
        </w:rPr>
        <w:t>o</w:t>
      </w:r>
      <w:r>
        <w:rPr>
          <w:rFonts w:eastAsia="宋体" w:hint="eastAsia"/>
          <w:shd w:val="clear" w:color="auto" w:fill="FEFEFE"/>
        </w:rPr>
        <w:t>C</w:t>
      </w:r>
      <w:r>
        <w:rPr>
          <w:rFonts w:eastAsia="宋体"/>
          <w:shd w:val="clear" w:color="auto" w:fill="FEFEFE"/>
        </w:rPr>
        <w:t xml:space="preserve"> within 5% CO</w:t>
      </w:r>
      <w:r>
        <w:rPr>
          <w:rFonts w:eastAsia="宋体"/>
          <w:shd w:val="clear" w:color="auto" w:fill="FEFEFE"/>
          <w:vertAlign w:val="subscript"/>
        </w:rPr>
        <w:t>2</w:t>
      </w:r>
      <w:r>
        <w:rPr>
          <w:rFonts w:eastAsia="宋体"/>
          <w:shd w:val="clear" w:color="auto" w:fill="FEFEFE"/>
        </w:rPr>
        <w:t>.</w:t>
      </w:r>
    </w:p>
    <w:p w14:paraId="056BCF2D" w14:textId="77777777" w:rsidR="007C42D0" w:rsidRDefault="00B744F2" w:rsidP="001416DB">
      <w:pPr>
        <w:spacing w:line="480" w:lineRule="auto"/>
        <w:jc w:val="both"/>
        <w:rPr>
          <w:b/>
        </w:rPr>
      </w:pPr>
      <w:r>
        <w:rPr>
          <w:b/>
        </w:rPr>
        <w:t>Animal experiments</w:t>
      </w:r>
    </w:p>
    <w:p w14:paraId="13F793BE" w14:textId="77777777" w:rsidR="007C42D0" w:rsidRDefault="00B744F2" w:rsidP="001416DB">
      <w:pPr>
        <w:spacing w:line="480" w:lineRule="auto"/>
        <w:jc w:val="both"/>
        <w:rPr>
          <w:bCs/>
        </w:rPr>
      </w:pPr>
      <w:r>
        <w:rPr>
          <w:bCs/>
        </w:rPr>
        <w:t>All the animal experimental procedures were in accord with the guidelines of the Regional Ethics Committee for Animal Experiments and the Care Regulations approved by the In</w:t>
      </w:r>
      <w:r>
        <w:rPr>
          <w:bCs/>
        </w:rPr>
        <w:t>stitutional Animal Care and Use Committee of Xiamen University. Mice bearing U87MG tumors were constructed by subcutaneously injecting 2×10</w:t>
      </w:r>
      <w:r>
        <w:rPr>
          <w:bCs/>
          <w:vertAlign w:val="superscript"/>
        </w:rPr>
        <w:t>6</w:t>
      </w:r>
      <w:r>
        <w:rPr>
          <w:bCs/>
        </w:rPr>
        <w:t xml:space="preserve"> U87MG cells into the right hind leg of male BALB/c nude mice. When the tumor reached to 50-80 mm</w:t>
      </w:r>
      <w:r>
        <w:rPr>
          <w:bCs/>
          <w:vertAlign w:val="superscript"/>
        </w:rPr>
        <w:t>3</w:t>
      </w:r>
      <w:r>
        <w:rPr>
          <w:bCs/>
        </w:rPr>
        <w:t xml:space="preserve"> in volume, the BA</w:t>
      </w:r>
      <w:r>
        <w:rPr>
          <w:bCs/>
        </w:rPr>
        <w:t>LB/c mice bearing U87MG tumors were applied. The mice bearing U87MG tumors were randomly divided into 6 groups (n=5), namely PBS, PBS+X, PBS+2X, TBR, TBR+X, and TBR+2X (X, X-ray irradiation) groups, and X-ray treatment was applied to the tumor region after</w:t>
      </w:r>
      <w:r>
        <w:rPr>
          <w:bCs/>
        </w:rPr>
        <w:t xml:space="preserve"> intravenous injection of PBS or TBR (5 mg/kg).</w:t>
      </w:r>
      <w:r>
        <w:t xml:space="preserve"> </w:t>
      </w:r>
      <w:r>
        <w:rPr>
          <w:bCs/>
        </w:rPr>
        <w:t>Group PBS+2X and TBR+2X repeated the therapeutic process on the third day.</w:t>
      </w:r>
    </w:p>
    <w:p w14:paraId="1BEBA1D0" w14:textId="77777777" w:rsidR="007C42D0" w:rsidRDefault="00B744F2" w:rsidP="001416DB">
      <w:pPr>
        <w:spacing w:line="480" w:lineRule="auto"/>
        <w:jc w:val="both"/>
        <w:rPr>
          <w:b/>
        </w:rPr>
      </w:pPr>
      <w:r>
        <w:rPr>
          <w:b/>
        </w:rPr>
        <w:t>In vivo imaging evaluation</w:t>
      </w:r>
    </w:p>
    <w:p w14:paraId="39AB6E79" w14:textId="77777777" w:rsidR="007C42D0" w:rsidRDefault="00B744F2" w:rsidP="001416DB">
      <w:pPr>
        <w:spacing w:line="480" w:lineRule="auto"/>
        <w:jc w:val="both"/>
        <w:rPr>
          <w:bCs/>
        </w:rPr>
      </w:pPr>
      <w:r>
        <w:rPr>
          <w:bCs/>
        </w:rPr>
        <w:t xml:space="preserve">Mice bearing U87MG tumors were intravenously injected with TBR-Cy5.5 (5 mg/kg). Fluorescence imaging was conducted at 0, 4, 8, 12, and 24 h post-injection. </w:t>
      </w:r>
    </w:p>
    <w:p w14:paraId="00B9DD7F" w14:textId="77777777" w:rsidR="007C42D0" w:rsidRDefault="00B744F2" w:rsidP="001416DB">
      <w:pPr>
        <w:spacing w:line="480" w:lineRule="auto"/>
        <w:jc w:val="both"/>
        <w:rPr>
          <w:b/>
        </w:rPr>
      </w:pPr>
      <w:r>
        <w:rPr>
          <w:b/>
        </w:rPr>
        <w:t>Serum chemistry and hematological analysis</w:t>
      </w:r>
    </w:p>
    <w:p w14:paraId="7572F3D3" w14:textId="77777777" w:rsidR="007C42D0" w:rsidRDefault="00B744F2" w:rsidP="001416DB">
      <w:pPr>
        <w:spacing w:line="480" w:lineRule="auto"/>
        <w:jc w:val="both"/>
        <w:rPr>
          <w:bCs/>
        </w:rPr>
      </w:pPr>
      <w:r>
        <w:rPr>
          <w:bCs/>
        </w:rPr>
        <w:t>Mice were intravenously treated daily for 3 days with TB</w:t>
      </w:r>
      <w:r>
        <w:rPr>
          <w:bCs/>
        </w:rPr>
        <w:t>R (</w:t>
      </w:r>
      <w:bookmarkStart w:id="3" w:name="_Hlk98889350"/>
      <w:r>
        <w:rPr>
          <w:bCs/>
        </w:rPr>
        <w:t>20 mg/kg</w:t>
      </w:r>
      <w:bookmarkEnd w:id="3"/>
      <w:r>
        <w:rPr>
          <w:bCs/>
        </w:rPr>
        <w:t>). Blood samples were collected for serum chemistry analysis and complete blood analysis before treatment (day 0), and at day 3 and day 7 post-treatment. Aspartate aminotransferase (AST), alanine aminotransferase (ALT), urea nitrogen (UREA), and</w:t>
      </w:r>
      <w:r>
        <w:rPr>
          <w:bCs/>
        </w:rPr>
        <w:t xml:space="preserve"> creatinine (CREA-S) in mice serum were measured using an Auto Biochemistry Analyzer (Mindray, BS-220). White blood cell (WBC), red blood cell (RBC), hemoglobin (HGB), hematocrit </w:t>
      </w:r>
      <w:r>
        <w:rPr>
          <w:bCs/>
        </w:rPr>
        <w:lastRenderedPageBreak/>
        <w:t>(HCT), mean corpuscular volume (MCV), mean corpuscular hemoglobin (MCH), mean</w:t>
      </w:r>
      <w:r>
        <w:rPr>
          <w:bCs/>
        </w:rPr>
        <w:t xml:space="preserve"> corpuscular hemoglobin concentration (MCHC), RBC distribution width (RDW-SD), platelets (PLT), and mean platelet volume (MPV) in mice blood were measured using an Automatic Tri-classification Blood Cell Analyzer (Mindray, BC-2600).</w:t>
      </w:r>
    </w:p>
    <w:p w14:paraId="5600E9AD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drawing>
          <wp:inline distT="0" distB="0" distL="0" distR="0" wp14:anchorId="75D33BD6" wp14:editId="43AB68AB">
            <wp:extent cx="3248025" cy="2614930"/>
            <wp:effectExtent l="0" t="0" r="1333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433" cy="262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1792C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Cs/>
          <w:lang w:eastAsia="zh-CN"/>
        </w:rPr>
      </w:pPr>
      <w:bookmarkStart w:id="4" w:name="_Hlk99115062"/>
      <w:r>
        <w:rPr>
          <w:rFonts w:eastAsiaTheme="minorEastAsia"/>
          <w:b/>
          <w:lang w:eastAsia="zh-CN"/>
        </w:rPr>
        <w:t>Figure S1.</w:t>
      </w:r>
      <w:r>
        <w:rPr>
          <w:rFonts w:eastAsiaTheme="minorEastAsia"/>
          <w:kern w:val="24"/>
          <w:lang w:eastAsia="zh-CN"/>
        </w:rPr>
        <w:t xml:space="preserve"> </w:t>
      </w:r>
      <w:r>
        <w:rPr>
          <w:rFonts w:eastAsiaTheme="minorEastAsia"/>
          <w:bCs/>
          <w:lang w:eastAsia="zh-CN"/>
        </w:rPr>
        <w:t>XPS spectr</w:t>
      </w:r>
      <w:r>
        <w:rPr>
          <w:rFonts w:eastAsiaTheme="minorEastAsia"/>
          <w:bCs/>
          <w:lang w:eastAsia="zh-CN"/>
        </w:rPr>
        <w:t>um of O 1s.</w:t>
      </w:r>
      <w:bookmarkEnd w:id="4"/>
    </w:p>
    <w:p w14:paraId="45627955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drawing>
          <wp:inline distT="0" distB="0" distL="0" distR="0" wp14:anchorId="21DB3F91" wp14:editId="7322502D">
            <wp:extent cx="4029075" cy="32213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7633" cy="32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57E87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Cs/>
          <w:lang w:eastAsia="zh-CN"/>
        </w:rPr>
      </w:pPr>
      <w:bookmarkStart w:id="5" w:name="_Hlk99115076"/>
      <w:r>
        <w:rPr>
          <w:rFonts w:eastAsiaTheme="minorEastAsia"/>
          <w:b/>
          <w:lang w:eastAsia="zh-CN"/>
        </w:rPr>
        <w:t xml:space="preserve">Figure S2. </w:t>
      </w:r>
      <w:r>
        <w:rPr>
          <w:rFonts w:eastAsiaTheme="minorEastAsia"/>
          <w:bCs/>
          <w:lang w:eastAsia="zh-CN"/>
        </w:rPr>
        <w:t>X-ray diffraction patterns of TiO</w:t>
      </w:r>
      <w:proofErr w:type="gramStart"/>
      <w:r>
        <w:rPr>
          <w:rFonts w:eastAsiaTheme="minorEastAsia"/>
          <w:bCs/>
          <w:vertAlign w:val="subscript"/>
          <w:lang w:eastAsia="zh-CN"/>
        </w:rPr>
        <w:t>2</w:t>
      </w:r>
      <w:r>
        <w:rPr>
          <w:rFonts w:eastAsiaTheme="minorEastAsia"/>
          <w:bCs/>
          <w:lang w:eastAsia="zh-CN"/>
        </w:rPr>
        <w:t>:Bi</w:t>
      </w:r>
      <w:proofErr w:type="gramEnd"/>
      <w:r>
        <w:rPr>
          <w:rFonts w:eastAsiaTheme="minorEastAsia"/>
          <w:bCs/>
          <w:lang w:eastAsia="zh-CN"/>
        </w:rPr>
        <w:t xml:space="preserve"> (TB) with different contents of Bi dopant.</w:t>
      </w:r>
      <w:bookmarkEnd w:id="5"/>
    </w:p>
    <w:p w14:paraId="3263FA47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lastRenderedPageBreak/>
        <w:drawing>
          <wp:inline distT="0" distB="0" distL="0" distR="0" wp14:anchorId="066AB886" wp14:editId="4735AEFE">
            <wp:extent cx="3152775" cy="2574290"/>
            <wp:effectExtent l="0" t="0" r="190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0634" cy="258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4BBC" w14:textId="77777777" w:rsidR="007C42D0" w:rsidRDefault="00B744F2" w:rsidP="001416DB">
      <w:pPr>
        <w:pStyle w:val="Acknowledgements"/>
        <w:spacing w:line="480" w:lineRule="auto"/>
        <w:jc w:val="both"/>
        <w:rPr>
          <w:rFonts w:eastAsia="宋体"/>
          <w:bCs/>
          <w:lang w:eastAsia="zh-CN"/>
        </w:rPr>
      </w:pPr>
      <w:bookmarkStart w:id="6" w:name="_Hlk99115083"/>
      <w:r>
        <w:rPr>
          <w:rFonts w:eastAsiaTheme="minorEastAsia"/>
          <w:b/>
          <w:lang w:eastAsia="zh-CN"/>
        </w:rPr>
        <w:t xml:space="preserve">Figure S3. </w:t>
      </w:r>
      <w:r>
        <w:rPr>
          <w:rFonts w:eastAsiaTheme="minorEastAsia"/>
          <w:bCs/>
        </w:rPr>
        <w:t xml:space="preserve">The absorption spectra of MB treated with </w:t>
      </w:r>
      <w:r>
        <w:rPr>
          <w:rFonts w:eastAsiaTheme="minorEastAsia"/>
          <w:bCs/>
          <w:lang w:eastAsia="zh-CN"/>
        </w:rPr>
        <w:t>TB (</w:t>
      </w:r>
      <w:r>
        <w:rPr>
          <w:bCs/>
        </w:rPr>
        <w:t>Bi doping amount: 1%, 2%, 5%, and 10%</w:t>
      </w:r>
      <w:r>
        <w:rPr>
          <w:rFonts w:eastAsiaTheme="minorEastAsia"/>
          <w:bCs/>
          <w:lang w:eastAsia="zh-CN"/>
        </w:rPr>
        <w:t>)</w:t>
      </w:r>
      <w:r>
        <w:rPr>
          <w:rFonts w:eastAsiaTheme="minorEastAsia"/>
          <w:bCs/>
        </w:rPr>
        <w:t xml:space="preserve"> under X-ray irradiation</w:t>
      </w:r>
      <w:r>
        <w:rPr>
          <w:rFonts w:eastAsia="宋体"/>
          <w:bCs/>
          <w:lang w:eastAsia="zh-CN"/>
        </w:rPr>
        <w:t>.</w:t>
      </w:r>
      <w:bookmarkEnd w:id="6"/>
    </w:p>
    <w:p w14:paraId="54B7523F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drawing>
          <wp:inline distT="0" distB="0" distL="0" distR="0" wp14:anchorId="71871698" wp14:editId="667ABAA1">
            <wp:extent cx="6057900" cy="33413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13" cy="334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2AC2" w14:textId="77777777" w:rsidR="007C42D0" w:rsidRDefault="00B744F2" w:rsidP="001416DB">
      <w:pPr>
        <w:pStyle w:val="Acknowledgements"/>
        <w:spacing w:line="480" w:lineRule="auto"/>
        <w:jc w:val="both"/>
        <w:rPr>
          <w:bCs/>
        </w:rPr>
      </w:pPr>
      <w:bookmarkStart w:id="7" w:name="_Hlk99115089"/>
      <w:r>
        <w:rPr>
          <w:rFonts w:eastAsiaTheme="minorEastAsia"/>
          <w:b/>
          <w:lang w:eastAsia="zh-CN"/>
        </w:rPr>
        <w:t>Figure S4</w:t>
      </w:r>
      <w:r>
        <w:rPr>
          <w:rFonts w:eastAsiaTheme="minorEastAsia"/>
          <w:b/>
        </w:rPr>
        <w:t>.</w:t>
      </w:r>
      <w:r>
        <w:rPr>
          <w:rFonts w:eastAsiaTheme="minorEastAsia"/>
          <w:b/>
          <w:lang w:eastAsia="zh-CN"/>
        </w:rPr>
        <w:t xml:space="preserve"> </w:t>
      </w:r>
      <w:r>
        <w:rPr>
          <w:rFonts w:eastAsiaTheme="minorEastAsia"/>
          <w:bCs/>
        </w:rPr>
        <w:t>Confocal images of the U87MG cells after incubating with TBR-Cy5.5 for 24</w:t>
      </w:r>
      <w:r>
        <w:rPr>
          <w:rFonts w:eastAsiaTheme="minorEastAsia"/>
          <w:bCs/>
          <w:lang w:eastAsia="zh-CN"/>
        </w:rPr>
        <w:t xml:space="preserve"> </w:t>
      </w:r>
      <w:r>
        <w:rPr>
          <w:rFonts w:eastAsiaTheme="minorEastAsia"/>
          <w:bCs/>
        </w:rPr>
        <w:t xml:space="preserve">h. </w:t>
      </w:r>
      <w:r>
        <w:rPr>
          <w:bCs/>
        </w:rPr>
        <w:t>Blue and red colors represented Hoechst 33342 and Cy5.5 fluorescence.</w:t>
      </w:r>
      <w:bookmarkEnd w:id="7"/>
    </w:p>
    <w:p w14:paraId="4E040F38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lastRenderedPageBreak/>
        <w:drawing>
          <wp:inline distT="0" distB="0" distL="0" distR="0" wp14:anchorId="0D56A49C" wp14:editId="4FF59A49">
            <wp:extent cx="4200525" cy="29718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5821" cy="297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8C0C5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/>
          <w:lang w:eastAsia="zh-CN"/>
        </w:rPr>
      </w:pPr>
      <w:bookmarkStart w:id="8" w:name="_Hlk99115094"/>
      <w:r>
        <w:rPr>
          <w:rFonts w:eastAsiaTheme="minorEastAsia"/>
          <w:b/>
          <w:lang w:eastAsia="zh-CN"/>
        </w:rPr>
        <w:t xml:space="preserve">Figure S5. </w:t>
      </w:r>
      <w:r>
        <w:rPr>
          <w:rFonts w:eastAsiaTheme="minorEastAsia"/>
          <w:bCs/>
          <w:lang w:eastAsia="zh-CN"/>
        </w:rPr>
        <w:t>The viability of mouse fibroblasts treated with different concentrations of TBR.</w:t>
      </w:r>
      <w:bookmarkEnd w:id="8"/>
    </w:p>
    <w:p w14:paraId="0C980EDA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noProof/>
          <w:lang w:eastAsia="zh-CN"/>
        </w:rPr>
        <w:drawing>
          <wp:inline distT="0" distB="0" distL="0" distR="0" wp14:anchorId="1C2CC368" wp14:editId="7C511AEF">
            <wp:extent cx="5274310" cy="3670300"/>
            <wp:effectExtent l="0" t="0" r="2540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E6709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/>
          <w:lang w:eastAsia="zh-CN"/>
        </w:rPr>
      </w:pPr>
      <w:bookmarkStart w:id="9" w:name="_Hlk99115099"/>
      <w:r>
        <w:rPr>
          <w:rFonts w:eastAsiaTheme="minorEastAsia"/>
          <w:b/>
          <w:lang w:eastAsia="zh-CN"/>
        </w:rPr>
        <w:t xml:space="preserve">Figure S6. </w:t>
      </w:r>
      <w:r>
        <w:t>CL</w:t>
      </w:r>
      <w:r>
        <w:t xml:space="preserve">SM evaluation </w:t>
      </w:r>
      <w:r>
        <w:rPr>
          <w:bCs/>
        </w:rPr>
        <w:t xml:space="preserve">of U87MG cells stained by DCFH-DA after different treatments. Green fluorescence indicated the presence of </w:t>
      </w:r>
      <w:r>
        <w:rPr>
          <w:bCs/>
        </w:rPr>
        <w:sym w:font="Wingdings 2" w:char="F096"/>
      </w:r>
      <w:r>
        <w:rPr>
          <w:bCs/>
        </w:rPr>
        <w:t>OH</w:t>
      </w:r>
      <w:r>
        <w:rPr>
          <w:rFonts w:eastAsia="宋体"/>
          <w:bCs/>
          <w:lang w:eastAsia="zh-CN"/>
        </w:rPr>
        <w:t>.</w:t>
      </w:r>
      <w:bookmarkEnd w:id="9"/>
    </w:p>
    <w:p w14:paraId="4C4393B1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4E833ED4" wp14:editId="1C0E3C89">
            <wp:extent cx="5274310" cy="371792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DBD2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/>
          <w:lang w:eastAsia="zh-CN"/>
        </w:rPr>
      </w:pPr>
      <w:bookmarkStart w:id="10" w:name="_Hlk99115104"/>
      <w:r>
        <w:rPr>
          <w:rFonts w:eastAsiaTheme="minorEastAsia"/>
          <w:b/>
          <w:lang w:eastAsia="zh-CN"/>
        </w:rPr>
        <w:t xml:space="preserve">Figure S7. </w:t>
      </w:r>
      <w:r>
        <w:t>CLSM evaluation</w:t>
      </w:r>
      <w:r>
        <w:rPr>
          <w:rFonts w:eastAsiaTheme="minorEastAsia"/>
          <w:bCs/>
          <w:lang w:eastAsia="zh-CN"/>
        </w:rPr>
        <w:t xml:space="preserve"> of U87MG cells in </w:t>
      </w:r>
      <w:r>
        <w:rPr>
          <w:rFonts w:eastAsia="宋体"/>
          <w:color w:val="000000"/>
          <w:lang w:bidi="ar"/>
        </w:rPr>
        <w:t>BODIPY-C11 staining assay</w:t>
      </w:r>
      <w:r>
        <w:rPr>
          <w:rFonts w:eastAsiaTheme="minorEastAsia"/>
          <w:bCs/>
          <w:lang w:eastAsia="zh-CN"/>
        </w:rPr>
        <w:t>.</w:t>
      </w:r>
      <w:bookmarkEnd w:id="10"/>
    </w:p>
    <w:p w14:paraId="454EDE0E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9350E5C" wp14:editId="3374E146">
            <wp:extent cx="5274310" cy="477012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9A5F6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/>
          <w:lang w:eastAsia="zh-CN"/>
        </w:rPr>
      </w:pPr>
      <w:bookmarkStart w:id="11" w:name="_Hlk99115108"/>
      <w:r>
        <w:rPr>
          <w:rFonts w:eastAsiaTheme="minorEastAsia"/>
          <w:b/>
          <w:lang w:eastAsia="zh-CN"/>
        </w:rPr>
        <w:t>Figure S8.</w:t>
      </w:r>
      <w:r>
        <w:rPr>
          <w:b/>
        </w:rPr>
        <w:t xml:space="preserve"> </w:t>
      </w:r>
      <w:r>
        <w:t>CLSM observation</w:t>
      </w:r>
      <w:r>
        <w:rPr>
          <w:rFonts w:eastAsiaTheme="minorEastAsia"/>
          <w:bCs/>
          <w:lang w:eastAsia="zh-CN"/>
        </w:rPr>
        <w:t xml:space="preserve"> of U87MG cells in </w:t>
      </w:r>
      <w:r>
        <w:rPr>
          <w:rFonts w:eastAsia="宋体"/>
          <w:color w:val="000000"/>
          <w:lang w:bidi="ar"/>
        </w:rPr>
        <w:t xml:space="preserve">JC-1 </w:t>
      </w:r>
      <w:r>
        <w:rPr>
          <w:rFonts w:eastAsia="宋体"/>
          <w:color w:val="000000"/>
          <w:lang w:bidi="ar"/>
        </w:rPr>
        <w:t>staining assay</w:t>
      </w:r>
      <w:r>
        <w:rPr>
          <w:rFonts w:eastAsiaTheme="minorEastAsia"/>
          <w:bCs/>
          <w:lang w:eastAsia="zh-CN"/>
        </w:rPr>
        <w:t>.</w:t>
      </w:r>
      <w:r>
        <w:rPr>
          <w:bCs/>
        </w:rPr>
        <w:t xml:space="preserve"> The red fluorescence indicates that the membrane potential is positive, and the green fluorescence indicates that the membrane potential decreases.</w:t>
      </w:r>
      <w:bookmarkEnd w:id="11"/>
    </w:p>
    <w:p w14:paraId="7050B744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noProof/>
          <w:lang w:eastAsia="zh-CN"/>
        </w:rPr>
        <w:drawing>
          <wp:inline distT="0" distB="0" distL="0" distR="0" wp14:anchorId="25F30BF4" wp14:editId="781E5B17">
            <wp:extent cx="5274310" cy="126492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390EE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Cs/>
          <w:lang w:eastAsia="zh-CN"/>
        </w:rPr>
      </w:pPr>
      <w:bookmarkStart w:id="12" w:name="_Hlk99115121"/>
      <w:r>
        <w:rPr>
          <w:rFonts w:eastAsiaTheme="minorEastAsia"/>
          <w:b/>
          <w:lang w:eastAsia="zh-CN"/>
        </w:rPr>
        <w:t xml:space="preserve">Figure S9. </w:t>
      </w:r>
      <w:r>
        <w:rPr>
          <w:rFonts w:eastAsiaTheme="minorEastAsia"/>
          <w:bCs/>
          <w:lang w:eastAsia="zh-CN"/>
        </w:rPr>
        <w:t>Mice were intravenously treated daily for 3 days with TBR (20 mg/kg). Blood sam</w:t>
      </w:r>
      <w:r>
        <w:rPr>
          <w:rFonts w:eastAsiaTheme="minorEastAsia"/>
          <w:bCs/>
          <w:lang w:eastAsia="zh-CN"/>
        </w:rPr>
        <w:t>ples were collected for serum chemistry analysis before treatment (day 0), and at day 3 and day 7 post- intravenous treatment. AST, aspartate transaminase; ALT, alanine transaminase; UREA, blood urea nitrogen; CREA, creatinine.</w:t>
      </w:r>
      <w:bookmarkEnd w:id="12"/>
    </w:p>
    <w:p w14:paraId="2F2BE396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lastRenderedPageBreak/>
        <w:drawing>
          <wp:inline distT="0" distB="0" distL="0" distR="0" wp14:anchorId="3F997E30" wp14:editId="7E8AC296">
            <wp:extent cx="5267325" cy="3505200"/>
            <wp:effectExtent l="0" t="0" r="571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C543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Cs/>
          <w:lang w:eastAsia="zh-CN"/>
        </w:rPr>
      </w:pPr>
      <w:bookmarkStart w:id="13" w:name="_Hlk99115127"/>
      <w:r>
        <w:rPr>
          <w:rFonts w:eastAsiaTheme="minorEastAsia"/>
          <w:b/>
          <w:lang w:eastAsia="zh-CN"/>
        </w:rPr>
        <w:t xml:space="preserve">Figure S10. </w:t>
      </w:r>
      <w:r>
        <w:rPr>
          <w:rFonts w:eastAsiaTheme="minorEastAsia"/>
          <w:bCs/>
          <w:lang w:eastAsia="zh-CN"/>
        </w:rPr>
        <w:t>Mice were intr</w:t>
      </w:r>
      <w:r>
        <w:rPr>
          <w:rFonts w:eastAsiaTheme="minorEastAsia"/>
          <w:bCs/>
          <w:lang w:eastAsia="zh-CN"/>
        </w:rPr>
        <w:t>avenously treated daily for 3 days with PBS or TBR (50 mg/kg). Blood samples were collected for complete blood analysis before treatment (day 0), and at day 3 and day 7 post- intravenous treatment. WBC, white blood cell; RBC, red blood cell; HGB, hemoglobi</w:t>
      </w:r>
      <w:r>
        <w:rPr>
          <w:rFonts w:eastAsiaTheme="minorEastAsia"/>
          <w:bCs/>
          <w:lang w:eastAsia="zh-CN"/>
        </w:rPr>
        <w:t>n; HCT, hematocrit; MCV, mean corpuscular volume; MCH, mean corpuscular hemoglobin; MCHC, mean corpuscular hemoglobin concentration; RDW-SD, RBC distribution width; PLT, platelets; MPV, mean platelet volume.</w:t>
      </w:r>
      <w:bookmarkEnd w:id="13"/>
    </w:p>
    <w:p w14:paraId="018A7808" w14:textId="77777777" w:rsidR="007C42D0" w:rsidRDefault="00B744F2" w:rsidP="00E416B9">
      <w:pPr>
        <w:pStyle w:val="Acknowledgements"/>
        <w:spacing w:line="48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lastRenderedPageBreak/>
        <w:drawing>
          <wp:inline distT="0" distB="0" distL="0" distR="0" wp14:anchorId="2C57FBD0" wp14:editId="46643633">
            <wp:extent cx="5267325" cy="3629025"/>
            <wp:effectExtent l="0" t="0" r="5715" b="133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B7278" w14:textId="77777777" w:rsidR="007C42D0" w:rsidRDefault="00B744F2" w:rsidP="001416DB">
      <w:pPr>
        <w:pStyle w:val="Acknowledgements"/>
        <w:spacing w:line="480" w:lineRule="auto"/>
        <w:jc w:val="both"/>
        <w:rPr>
          <w:rFonts w:eastAsiaTheme="minorEastAsia"/>
          <w:b/>
        </w:rPr>
      </w:pPr>
      <w:bookmarkStart w:id="14" w:name="_Hlk99115132"/>
      <w:r>
        <w:rPr>
          <w:rFonts w:eastAsiaTheme="minorEastAsia"/>
          <w:b/>
          <w:lang w:eastAsia="zh-CN"/>
        </w:rPr>
        <w:t xml:space="preserve">Figure S11. </w:t>
      </w:r>
      <w:r>
        <w:rPr>
          <w:rFonts w:eastAsiaTheme="minorEastAsia"/>
          <w:bCs/>
          <w:lang w:eastAsia="zh-CN"/>
        </w:rPr>
        <w:t>H&amp;E staining of main organs of mic</w:t>
      </w:r>
      <w:r>
        <w:rPr>
          <w:rFonts w:eastAsiaTheme="minorEastAsia"/>
          <w:bCs/>
          <w:lang w:eastAsia="zh-CN"/>
        </w:rPr>
        <w:t>e after different treatments.</w:t>
      </w:r>
      <w:r>
        <w:rPr>
          <w:bCs/>
          <w:kern w:val="24"/>
        </w:rPr>
        <w:t xml:space="preserve"> </w:t>
      </w:r>
      <w:r>
        <w:rPr>
          <w:rFonts w:eastAsiaTheme="minorEastAsia"/>
          <w:bCs/>
        </w:rPr>
        <w:t>(Scale bar: 100 µm)</w:t>
      </w:r>
      <w:bookmarkEnd w:id="14"/>
    </w:p>
    <w:sectPr w:rsidR="007C42D0">
      <w:headerReference w:type="default" r:id="rId24"/>
      <w:footerReference w:type="default" r:id="rId25"/>
      <w:type w:val="continuous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1599" w14:textId="77777777" w:rsidR="00B744F2" w:rsidRDefault="00B744F2">
      <w:r>
        <w:separator/>
      </w:r>
    </w:p>
  </w:endnote>
  <w:endnote w:type="continuationSeparator" w:id="0">
    <w:p w14:paraId="64D6DA61" w14:textId="77777777" w:rsidR="00B744F2" w:rsidRDefault="00B7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194912"/>
      <w:docPartObj>
        <w:docPartGallery w:val="AutoText"/>
      </w:docPartObj>
    </w:sdtPr>
    <w:sdtEndPr/>
    <w:sdtContent>
      <w:p w14:paraId="17C3C0BE" w14:textId="77777777" w:rsidR="007C42D0" w:rsidRDefault="00B744F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275F5" w14:textId="77777777" w:rsidR="00B744F2" w:rsidRDefault="00B744F2">
      <w:r>
        <w:separator/>
      </w:r>
    </w:p>
  </w:footnote>
  <w:footnote w:type="continuationSeparator" w:id="0">
    <w:p w14:paraId="3FC2B10F" w14:textId="77777777" w:rsidR="00B744F2" w:rsidRDefault="00B7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9DEC8" w14:textId="77777777" w:rsidR="007C42D0" w:rsidRDefault="007C42D0">
    <w:pPr>
      <w:pStyle w:val="a8"/>
      <w:tabs>
        <w:tab w:val="left" w:pos="5003"/>
      </w:tabs>
      <w:jc w:val="righ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Functional Material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r5rdr04fxe2jesasxptwdtvfsapsrea0ww&quot;&gt;文章3.19&lt;record-ids&gt;&lt;item&gt;1&lt;/item&gt;&lt;item&gt;2&lt;/item&gt;&lt;item&gt;3&lt;/item&gt;&lt;item&gt;4&lt;/item&gt;&lt;item&gt;5&lt;/item&gt;&lt;item&gt;6&lt;/item&gt;&lt;item&gt;7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/record-ids&gt;&lt;/item&gt;&lt;/Libraries&gt;"/>
  </w:docVars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14D2"/>
    <w:rsid w:val="0003318F"/>
    <w:rsid w:val="0004094E"/>
    <w:rsid w:val="00040B7B"/>
    <w:rsid w:val="00041C1B"/>
    <w:rsid w:val="000437F7"/>
    <w:rsid w:val="00043CEE"/>
    <w:rsid w:val="00044B08"/>
    <w:rsid w:val="00050985"/>
    <w:rsid w:val="0005501E"/>
    <w:rsid w:val="0005526B"/>
    <w:rsid w:val="00055883"/>
    <w:rsid w:val="0006044D"/>
    <w:rsid w:val="00060D37"/>
    <w:rsid w:val="00062324"/>
    <w:rsid w:val="00063C0E"/>
    <w:rsid w:val="00072EA7"/>
    <w:rsid w:val="0007521B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0B5"/>
    <w:rsid w:val="000D45F4"/>
    <w:rsid w:val="000D5AB4"/>
    <w:rsid w:val="000D66DB"/>
    <w:rsid w:val="000D7EBA"/>
    <w:rsid w:val="000E5DC2"/>
    <w:rsid w:val="000E788B"/>
    <w:rsid w:val="000E7A5B"/>
    <w:rsid w:val="000E7BBA"/>
    <w:rsid w:val="000F512F"/>
    <w:rsid w:val="0010065B"/>
    <w:rsid w:val="001013F4"/>
    <w:rsid w:val="001054D4"/>
    <w:rsid w:val="001064B1"/>
    <w:rsid w:val="0010686C"/>
    <w:rsid w:val="00107C5F"/>
    <w:rsid w:val="00107CCC"/>
    <w:rsid w:val="00110011"/>
    <w:rsid w:val="001105BD"/>
    <w:rsid w:val="0011191B"/>
    <w:rsid w:val="00116C82"/>
    <w:rsid w:val="0011761A"/>
    <w:rsid w:val="00120BE6"/>
    <w:rsid w:val="00120E85"/>
    <w:rsid w:val="00123ADA"/>
    <w:rsid w:val="00125573"/>
    <w:rsid w:val="0012642A"/>
    <w:rsid w:val="00126D17"/>
    <w:rsid w:val="001305BF"/>
    <w:rsid w:val="00131D58"/>
    <w:rsid w:val="00132784"/>
    <w:rsid w:val="00133E90"/>
    <w:rsid w:val="001370B1"/>
    <w:rsid w:val="001377CA"/>
    <w:rsid w:val="00140B94"/>
    <w:rsid w:val="001416DB"/>
    <w:rsid w:val="001450FB"/>
    <w:rsid w:val="0014658A"/>
    <w:rsid w:val="00147DB8"/>
    <w:rsid w:val="00150F21"/>
    <w:rsid w:val="00151683"/>
    <w:rsid w:val="0015392F"/>
    <w:rsid w:val="0015563E"/>
    <w:rsid w:val="00155DBB"/>
    <w:rsid w:val="00155F66"/>
    <w:rsid w:val="0016390D"/>
    <w:rsid w:val="00164057"/>
    <w:rsid w:val="00165B37"/>
    <w:rsid w:val="00170369"/>
    <w:rsid w:val="00173757"/>
    <w:rsid w:val="00174176"/>
    <w:rsid w:val="00176AF5"/>
    <w:rsid w:val="00181D92"/>
    <w:rsid w:val="001823B6"/>
    <w:rsid w:val="001848EB"/>
    <w:rsid w:val="00187DB9"/>
    <w:rsid w:val="0019077D"/>
    <w:rsid w:val="0019194D"/>
    <w:rsid w:val="00194B34"/>
    <w:rsid w:val="0019723B"/>
    <w:rsid w:val="001A068E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16FDF"/>
    <w:rsid w:val="00220933"/>
    <w:rsid w:val="00220C72"/>
    <w:rsid w:val="0022540C"/>
    <w:rsid w:val="00226AA4"/>
    <w:rsid w:val="00233C8A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158C"/>
    <w:rsid w:val="002725A5"/>
    <w:rsid w:val="0027314F"/>
    <w:rsid w:val="0028289F"/>
    <w:rsid w:val="00284157"/>
    <w:rsid w:val="00285631"/>
    <w:rsid w:val="0029098F"/>
    <w:rsid w:val="00290D94"/>
    <w:rsid w:val="00291900"/>
    <w:rsid w:val="0029203C"/>
    <w:rsid w:val="00293AC1"/>
    <w:rsid w:val="00294873"/>
    <w:rsid w:val="002A4A81"/>
    <w:rsid w:val="002A73A2"/>
    <w:rsid w:val="002A7CE8"/>
    <w:rsid w:val="002B0671"/>
    <w:rsid w:val="002B262F"/>
    <w:rsid w:val="002B3553"/>
    <w:rsid w:val="002B37DF"/>
    <w:rsid w:val="002B5E06"/>
    <w:rsid w:val="002B6178"/>
    <w:rsid w:val="002C0CFF"/>
    <w:rsid w:val="002C4F20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0B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17E8"/>
    <w:rsid w:val="00317A57"/>
    <w:rsid w:val="00320A99"/>
    <w:rsid w:val="0032144B"/>
    <w:rsid w:val="00321E38"/>
    <w:rsid w:val="00322D5B"/>
    <w:rsid w:val="00323F9C"/>
    <w:rsid w:val="00325AC2"/>
    <w:rsid w:val="00326114"/>
    <w:rsid w:val="00326A1C"/>
    <w:rsid w:val="00326DEB"/>
    <w:rsid w:val="00327FDC"/>
    <w:rsid w:val="0033233D"/>
    <w:rsid w:val="003360E3"/>
    <w:rsid w:val="003371D5"/>
    <w:rsid w:val="003376CD"/>
    <w:rsid w:val="003409E8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37B7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3D8"/>
    <w:rsid w:val="00391CFE"/>
    <w:rsid w:val="0039353B"/>
    <w:rsid w:val="00394F9E"/>
    <w:rsid w:val="00395426"/>
    <w:rsid w:val="00395B91"/>
    <w:rsid w:val="00396615"/>
    <w:rsid w:val="0039700D"/>
    <w:rsid w:val="00397089"/>
    <w:rsid w:val="0039730C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0C1E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9DC"/>
    <w:rsid w:val="003F7BE6"/>
    <w:rsid w:val="004006A9"/>
    <w:rsid w:val="00404548"/>
    <w:rsid w:val="004052AE"/>
    <w:rsid w:val="004066D7"/>
    <w:rsid w:val="004118A5"/>
    <w:rsid w:val="00413672"/>
    <w:rsid w:val="00414041"/>
    <w:rsid w:val="004142E9"/>
    <w:rsid w:val="00414465"/>
    <w:rsid w:val="00414729"/>
    <w:rsid w:val="00414C38"/>
    <w:rsid w:val="00414C80"/>
    <w:rsid w:val="00414F4B"/>
    <w:rsid w:val="00415EF9"/>
    <w:rsid w:val="00416445"/>
    <w:rsid w:val="00416629"/>
    <w:rsid w:val="00417DA1"/>
    <w:rsid w:val="00423478"/>
    <w:rsid w:val="00425B76"/>
    <w:rsid w:val="004260A2"/>
    <w:rsid w:val="00426D4B"/>
    <w:rsid w:val="00426FC6"/>
    <w:rsid w:val="004273BC"/>
    <w:rsid w:val="00427C5F"/>
    <w:rsid w:val="00434283"/>
    <w:rsid w:val="00440D7A"/>
    <w:rsid w:val="00441EAC"/>
    <w:rsid w:val="004507E5"/>
    <w:rsid w:val="004519AD"/>
    <w:rsid w:val="0045459A"/>
    <w:rsid w:val="004545DB"/>
    <w:rsid w:val="00455D15"/>
    <w:rsid w:val="0045786A"/>
    <w:rsid w:val="00457CAE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9AE"/>
    <w:rsid w:val="00492DA8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C7782"/>
    <w:rsid w:val="004D30F9"/>
    <w:rsid w:val="004D4A32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1274E"/>
    <w:rsid w:val="005213B2"/>
    <w:rsid w:val="005220C2"/>
    <w:rsid w:val="00522E88"/>
    <w:rsid w:val="00523369"/>
    <w:rsid w:val="0052398F"/>
    <w:rsid w:val="00532960"/>
    <w:rsid w:val="005440F7"/>
    <w:rsid w:val="00545A73"/>
    <w:rsid w:val="00546DEB"/>
    <w:rsid w:val="00546F0F"/>
    <w:rsid w:val="005477E7"/>
    <w:rsid w:val="00550159"/>
    <w:rsid w:val="00551452"/>
    <w:rsid w:val="00551897"/>
    <w:rsid w:val="00551FFD"/>
    <w:rsid w:val="00552A0F"/>
    <w:rsid w:val="005551ED"/>
    <w:rsid w:val="00556419"/>
    <w:rsid w:val="005572B4"/>
    <w:rsid w:val="005572DD"/>
    <w:rsid w:val="00560564"/>
    <w:rsid w:val="00560C39"/>
    <w:rsid w:val="00562E2B"/>
    <w:rsid w:val="00564668"/>
    <w:rsid w:val="00570353"/>
    <w:rsid w:val="00571506"/>
    <w:rsid w:val="005715F5"/>
    <w:rsid w:val="0057171E"/>
    <w:rsid w:val="00571EEC"/>
    <w:rsid w:val="00572666"/>
    <w:rsid w:val="0057267E"/>
    <w:rsid w:val="005726BD"/>
    <w:rsid w:val="00574A5A"/>
    <w:rsid w:val="005753B8"/>
    <w:rsid w:val="00575BA9"/>
    <w:rsid w:val="005823E9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467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1C42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06AB5"/>
    <w:rsid w:val="00611649"/>
    <w:rsid w:val="00611A0E"/>
    <w:rsid w:val="00614154"/>
    <w:rsid w:val="00614BD3"/>
    <w:rsid w:val="00623A77"/>
    <w:rsid w:val="006256F5"/>
    <w:rsid w:val="0063097B"/>
    <w:rsid w:val="006343A7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97AC4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B70AC"/>
    <w:rsid w:val="006C1708"/>
    <w:rsid w:val="006C1C29"/>
    <w:rsid w:val="006C3782"/>
    <w:rsid w:val="006C3CDE"/>
    <w:rsid w:val="006C4745"/>
    <w:rsid w:val="006C7EEC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5E2F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244E"/>
    <w:rsid w:val="007154C4"/>
    <w:rsid w:val="00715DB9"/>
    <w:rsid w:val="007174BE"/>
    <w:rsid w:val="007218A0"/>
    <w:rsid w:val="00722A96"/>
    <w:rsid w:val="007238AF"/>
    <w:rsid w:val="00726908"/>
    <w:rsid w:val="007270C7"/>
    <w:rsid w:val="00730F3A"/>
    <w:rsid w:val="00732895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50CE"/>
    <w:rsid w:val="007561FC"/>
    <w:rsid w:val="00761D34"/>
    <w:rsid w:val="00762D2D"/>
    <w:rsid w:val="00764622"/>
    <w:rsid w:val="00764CAD"/>
    <w:rsid w:val="00770FA1"/>
    <w:rsid w:val="00773884"/>
    <w:rsid w:val="00773BE3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C0F7F"/>
    <w:rsid w:val="007C1599"/>
    <w:rsid w:val="007C3120"/>
    <w:rsid w:val="007C42D0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738C"/>
    <w:rsid w:val="00810B77"/>
    <w:rsid w:val="00817436"/>
    <w:rsid w:val="00822217"/>
    <w:rsid w:val="00822B5F"/>
    <w:rsid w:val="0082542D"/>
    <w:rsid w:val="00826DFD"/>
    <w:rsid w:val="00827834"/>
    <w:rsid w:val="008311FD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5787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87D66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609"/>
    <w:rsid w:val="008C588E"/>
    <w:rsid w:val="008C6D5F"/>
    <w:rsid w:val="008C7226"/>
    <w:rsid w:val="008D7B80"/>
    <w:rsid w:val="008E243B"/>
    <w:rsid w:val="008E4184"/>
    <w:rsid w:val="008E549F"/>
    <w:rsid w:val="008E555E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05017"/>
    <w:rsid w:val="009109F7"/>
    <w:rsid w:val="00912137"/>
    <w:rsid w:val="00915BED"/>
    <w:rsid w:val="00916B64"/>
    <w:rsid w:val="0092080B"/>
    <w:rsid w:val="0092145D"/>
    <w:rsid w:val="00923B23"/>
    <w:rsid w:val="009245DE"/>
    <w:rsid w:val="00930762"/>
    <w:rsid w:val="00930C0C"/>
    <w:rsid w:val="00936B81"/>
    <w:rsid w:val="0094212D"/>
    <w:rsid w:val="00944701"/>
    <w:rsid w:val="00950ED1"/>
    <w:rsid w:val="00952A7A"/>
    <w:rsid w:val="00953A02"/>
    <w:rsid w:val="0095444E"/>
    <w:rsid w:val="00955C67"/>
    <w:rsid w:val="00956F53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133A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38D8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57E4"/>
    <w:rsid w:val="009E7066"/>
    <w:rsid w:val="009F1EF8"/>
    <w:rsid w:val="009F3BD8"/>
    <w:rsid w:val="009F4604"/>
    <w:rsid w:val="009F4B78"/>
    <w:rsid w:val="009F606B"/>
    <w:rsid w:val="009F6E66"/>
    <w:rsid w:val="009F7888"/>
    <w:rsid w:val="00A02AC3"/>
    <w:rsid w:val="00A0473E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1B6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1545"/>
    <w:rsid w:val="00A65F04"/>
    <w:rsid w:val="00A65F2E"/>
    <w:rsid w:val="00A7086D"/>
    <w:rsid w:val="00A71AD5"/>
    <w:rsid w:val="00A74F07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098E"/>
    <w:rsid w:val="00B15820"/>
    <w:rsid w:val="00B215D8"/>
    <w:rsid w:val="00B2218A"/>
    <w:rsid w:val="00B246ED"/>
    <w:rsid w:val="00B26DD0"/>
    <w:rsid w:val="00B338C8"/>
    <w:rsid w:val="00B341CC"/>
    <w:rsid w:val="00B3499F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6677A"/>
    <w:rsid w:val="00B722C2"/>
    <w:rsid w:val="00B73979"/>
    <w:rsid w:val="00B744F2"/>
    <w:rsid w:val="00B751B0"/>
    <w:rsid w:val="00B762E0"/>
    <w:rsid w:val="00B844D2"/>
    <w:rsid w:val="00B86188"/>
    <w:rsid w:val="00B86C54"/>
    <w:rsid w:val="00B874C4"/>
    <w:rsid w:val="00B97AA2"/>
    <w:rsid w:val="00B97B8E"/>
    <w:rsid w:val="00BA00A8"/>
    <w:rsid w:val="00BA0378"/>
    <w:rsid w:val="00BA05C1"/>
    <w:rsid w:val="00BA37A4"/>
    <w:rsid w:val="00BA4FB0"/>
    <w:rsid w:val="00BA6138"/>
    <w:rsid w:val="00BB1930"/>
    <w:rsid w:val="00BB3478"/>
    <w:rsid w:val="00BB7950"/>
    <w:rsid w:val="00BC2247"/>
    <w:rsid w:val="00BC5572"/>
    <w:rsid w:val="00BD497C"/>
    <w:rsid w:val="00BD57EE"/>
    <w:rsid w:val="00BE4E8A"/>
    <w:rsid w:val="00BE5676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147F"/>
    <w:rsid w:val="00C65E4E"/>
    <w:rsid w:val="00C66610"/>
    <w:rsid w:val="00C66648"/>
    <w:rsid w:val="00C66A2A"/>
    <w:rsid w:val="00C66FEF"/>
    <w:rsid w:val="00C70CB4"/>
    <w:rsid w:val="00C727A7"/>
    <w:rsid w:val="00C728D5"/>
    <w:rsid w:val="00C72CF7"/>
    <w:rsid w:val="00C75119"/>
    <w:rsid w:val="00C76DD6"/>
    <w:rsid w:val="00C90B62"/>
    <w:rsid w:val="00C91C08"/>
    <w:rsid w:val="00C955C1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1428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7549"/>
    <w:rsid w:val="00D24D97"/>
    <w:rsid w:val="00D2618B"/>
    <w:rsid w:val="00D275F5"/>
    <w:rsid w:val="00D36464"/>
    <w:rsid w:val="00D376F1"/>
    <w:rsid w:val="00D40C8A"/>
    <w:rsid w:val="00D43CA8"/>
    <w:rsid w:val="00D4523D"/>
    <w:rsid w:val="00D4593F"/>
    <w:rsid w:val="00D45BD4"/>
    <w:rsid w:val="00D4775B"/>
    <w:rsid w:val="00D47AB8"/>
    <w:rsid w:val="00D54533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12E"/>
    <w:rsid w:val="00D7737D"/>
    <w:rsid w:val="00D80897"/>
    <w:rsid w:val="00D81375"/>
    <w:rsid w:val="00D8540E"/>
    <w:rsid w:val="00D85C4D"/>
    <w:rsid w:val="00D8730B"/>
    <w:rsid w:val="00D9072A"/>
    <w:rsid w:val="00D91BA7"/>
    <w:rsid w:val="00D94852"/>
    <w:rsid w:val="00D9613B"/>
    <w:rsid w:val="00DA039C"/>
    <w:rsid w:val="00DA10B4"/>
    <w:rsid w:val="00DA2062"/>
    <w:rsid w:val="00DA6EBE"/>
    <w:rsid w:val="00DB27CC"/>
    <w:rsid w:val="00DB2A54"/>
    <w:rsid w:val="00DB2A86"/>
    <w:rsid w:val="00DB4EF9"/>
    <w:rsid w:val="00DB72A4"/>
    <w:rsid w:val="00DC29FE"/>
    <w:rsid w:val="00DC3DF7"/>
    <w:rsid w:val="00DC430C"/>
    <w:rsid w:val="00DC60FB"/>
    <w:rsid w:val="00DC7319"/>
    <w:rsid w:val="00DC742E"/>
    <w:rsid w:val="00DD38DC"/>
    <w:rsid w:val="00DD63FF"/>
    <w:rsid w:val="00DD78F7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176D"/>
    <w:rsid w:val="00E229DB"/>
    <w:rsid w:val="00E23B1D"/>
    <w:rsid w:val="00E2571A"/>
    <w:rsid w:val="00E26EDC"/>
    <w:rsid w:val="00E2713C"/>
    <w:rsid w:val="00E30B42"/>
    <w:rsid w:val="00E342D7"/>
    <w:rsid w:val="00E34D1F"/>
    <w:rsid w:val="00E35C26"/>
    <w:rsid w:val="00E410EA"/>
    <w:rsid w:val="00E416B9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77D40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56D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E211B"/>
    <w:rsid w:val="00EF07C7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3A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B77A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A83"/>
    <w:rsid w:val="00FE7BC4"/>
    <w:rsid w:val="00FF29D4"/>
    <w:rsid w:val="00FF388D"/>
    <w:rsid w:val="00FF6CD3"/>
    <w:rsid w:val="00FF6FB5"/>
    <w:rsid w:val="17840B09"/>
    <w:rsid w:val="1960643E"/>
    <w:rsid w:val="1E4C7D38"/>
    <w:rsid w:val="2DF80288"/>
    <w:rsid w:val="310A12DF"/>
    <w:rsid w:val="3D3142C4"/>
    <w:rsid w:val="51736DAF"/>
    <w:rsid w:val="5402266C"/>
    <w:rsid w:val="54F815BC"/>
    <w:rsid w:val="597B243A"/>
    <w:rsid w:val="5A890202"/>
    <w:rsid w:val="5C7F017C"/>
    <w:rsid w:val="6044422F"/>
    <w:rsid w:val="6B475FD4"/>
    <w:rsid w:val="6D55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AE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0"/>
      <w:szCs w:val="20"/>
      <w:lang w:val="zh-CN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qFormat/>
    <w:pPr>
      <w:tabs>
        <w:tab w:val="center" w:pos="4536"/>
        <w:tab w:val="right" w:pos="9072"/>
      </w:tabs>
    </w:pPr>
  </w:style>
  <w:style w:type="paragraph" w:styleId="a8">
    <w:name w:val="header"/>
    <w:basedOn w:val="a"/>
    <w:link w:val="a9"/>
    <w:qFormat/>
    <w:pPr>
      <w:tabs>
        <w:tab w:val="center" w:pos="4536"/>
        <w:tab w:val="right" w:pos="9072"/>
      </w:tabs>
    </w:pPr>
    <w:rPr>
      <w:lang w:val="zh-CN"/>
    </w:rPr>
  </w:style>
  <w:style w:type="paragraph" w:styleId="aa">
    <w:name w:val="footnote text"/>
    <w:basedOn w:val="a"/>
    <w:semiHidden/>
    <w:qFormat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line number"/>
    <w:basedOn w:val="a0"/>
    <w:uiPriority w:val="99"/>
    <w:semiHidden/>
    <w:unhideWhenUsed/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">
    <w:name w:val="annotation reference"/>
    <w:uiPriority w:val="99"/>
    <w:unhideWhenUsed/>
    <w:qFormat/>
    <w:rPr>
      <w:sz w:val="16"/>
      <w:szCs w:val="16"/>
    </w:rPr>
  </w:style>
  <w:style w:type="paragraph" w:customStyle="1" w:styleId="History">
    <w:name w:val="History"/>
    <w:basedOn w:val="a"/>
    <w:qFormat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qFormat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qFormat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qFormat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qFormat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qFormat/>
  </w:style>
  <w:style w:type="paragraph" w:customStyle="1" w:styleId="TableCaption">
    <w:name w:val="TableCaption"/>
    <w:basedOn w:val="a"/>
    <w:qFormat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qFormat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</w:style>
  <w:style w:type="paragraph" w:customStyle="1" w:styleId="TableFoot">
    <w:name w:val="TableFoot"/>
    <w:basedOn w:val="TableBody"/>
    <w:qFormat/>
    <w:pPr>
      <w:spacing w:before="60" w:after="60"/>
    </w:pPr>
  </w:style>
  <w:style w:type="paragraph" w:customStyle="1" w:styleId="SchemeCaption">
    <w:name w:val="SchemeCaption"/>
    <w:basedOn w:val="a"/>
    <w:qFormat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qFormat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Pr>
      <w:rFonts w:ascii="Times" w:hAnsi="Times"/>
      <w:sz w:val="18"/>
      <w:szCs w:val="3276"/>
      <w:lang w:val="en-GB" w:eastAsia="de-DE" w:bidi="ar-SA"/>
    </w:rPr>
  </w:style>
  <w:style w:type="paragraph" w:customStyle="1" w:styleId="Title1">
    <w:name w:val="Title1"/>
    <w:basedOn w:val="a"/>
    <w:qFormat/>
    <w:rPr>
      <w:b/>
      <w:lang w:val="en-US"/>
    </w:rPr>
  </w:style>
  <w:style w:type="paragraph" w:customStyle="1" w:styleId="AuthorsFull">
    <w:name w:val="Authors Full"/>
    <w:basedOn w:val="a"/>
    <w:qFormat/>
    <w:rPr>
      <w:i/>
      <w:lang w:val="en-US"/>
    </w:rPr>
  </w:style>
  <w:style w:type="paragraph" w:customStyle="1" w:styleId="dedication">
    <w:name w:val="dedication"/>
    <w:basedOn w:val="a"/>
    <w:qFormat/>
    <w:rPr>
      <w:i/>
      <w:lang w:val="en-US"/>
    </w:rPr>
  </w:style>
  <w:style w:type="paragraph" w:customStyle="1" w:styleId="Addresses">
    <w:name w:val="Addresses"/>
    <w:basedOn w:val="a"/>
    <w:qFormat/>
    <w:rPr>
      <w:lang w:val="en-US"/>
    </w:rPr>
  </w:style>
  <w:style w:type="paragraph" w:customStyle="1" w:styleId="Acknowledgements">
    <w:name w:val="Acknowledgements"/>
    <w:basedOn w:val="a"/>
    <w:qFormat/>
    <w:rPr>
      <w:lang w:val="en-US"/>
    </w:rPr>
  </w:style>
  <w:style w:type="paragraph" w:customStyle="1" w:styleId="Abstract">
    <w:name w:val="Abstract"/>
    <w:basedOn w:val="a"/>
    <w:qFormat/>
    <w:pPr>
      <w:spacing w:line="480" w:lineRule="auto"/>
    </w:pPr>
    <w:rPr>
      <w:lang w:val="en-US"/>
    </w:rPr>
  </w:style>
  <w:style w:type="paragraph" w:customStyle="1" w:styleId="Head1">
    <w:name w:val="Head 1"/>
    <w:basedOn w:val="a"/>
    <w:qFormat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qFormat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pPr>
      <w:jc w:val="right"/>
    </w:pPr>
    <w:rPr>
      <w:lang w:val="en-US"/>
    </w:rPr>
  </w:style>
  <w:style w:type="paragraph" w:customStyle="1" w:styleId="Literature">
    <w:name w:val="Literature"/>
    <w:basedOn w:val="a"/>
    <w:pPr>
      <w:spacing w:line="480" w:lineRule="auto"/>
    </w:pPr>
  </w:style>
  <w:style w:type="paragraph" w:customStyle="1" w:styleId="Legend">
    <w:name w:val="Legend"/>
    <w:basedOn w:val="a"/>
    <w:rPr>
      <w:lang w:val="en-US"/>
    </w:rPr>
  </w:style>
  <w:style w:type="paragraph" w:customStyle="1" w:styleId="MainText">
    <w:name w:val="Main Text"/>
    <w:basedOn w:val="a"/>
    <w:link w:val="MainTextChar"/>
    <w:qFormat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rPr>
      <w:lang w:val="en-US"/>
    </w:rPr>
  </w:style>
  <w:style w:type="paragraph" w:customStyle="1" w:styleId="ExperimentalText">
    <w:name w:val="Experimental Text"/>
    <w:basedOn w:val="a"/>
    <w:link w:val="ExperimentalTextChar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qFormat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Pr>
      <w:b/>
      <w:lang w:val="en-US"/>
    </w:rPr>
  </w:style>
  <w:style w:type="paragraph" w:customStyle="1" w:styleId="Dedication0">
    <w:name w:val="Dedication"/>
    <w:basedOn w:val="a"/>
    <w:rPr>
      <w:lang w:val="en-US"/>
    </w:rPr>
  </w:style>
  <w:style w:type="paragraph" w:customStyle="1" w:styleId="Maintext0">
    <w:name w:val="Main text"/>
    <w:basedOn w:val="a"/>
    <w:link w:val="MaintextChar0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rPr>
      <w:i/>
      <w:lang w:val="en-US"/>
    </w:rPr>
  </w:style>
  <w:style w:type="character" w:customStyle="1" w:styleId="a9">
    <w:name w:val="页眉 字符"/>
    <w:link w:val="a8"/>
    <w:rPr>
      <w:sz w:val="24"/>
      <w:szCs w:val="24"/>
      <w:lang w:eastAsia="ja-JP"/>
    </w:rPr>
  </w:style>
  <w:style w:type="character" w:customStyle="1" w:styleId="a4">
    <w:name w:val="批注文字 字符"/>
    <w:link w:val="a3"/>
    <w:uiPriority w:val="99"/>
    <w:semiHidden/>
    <w:rPr>
      <w:lang w:eastAsia="ja-JP"/>
    </w:rPr>
  </w:style>
  <w:style w:type="character" w:customStyle="1" w:styleId="ac">
    <w:name w:val="批注主题 字符"/>
    <w:link w:val="ab"/>
    <w:uiPriority w:val="99"/>
    <w:semiHidden/>
    <w:rPr>
      <w:b/>
      <w:bCs/>
      <w:lang w:eastAsia="ja-JP"/>
    </w:rPr>
  </w:style>
  <w:style w:type="character" w:customStyle="1" w:styleId="a7">
    <w:name w:val="页脚 字符"/>
    <w:link w:val="a6"/>
    <w:uiPriority w:val="99"/>
    <w:rPr>
      <w:sz w:val="24"/>
      <w:szCs w:val="24"/>
      <w:lang w:eastAsia="ja-JP"/>
    </w:rPr>
  </w:style>
  <w:style w:type="paragraph" w:customStyle="1" w:styleId="EndNoteBibliography">
    <w:name w:val="EndNote Bibliography"/>
    <w:basedOn w:val="a"/>
    <w:link w:val="EndNoteBibliography0"/>
    <w:qFormat/>
    <w:pPr>
      <w:widowControl w:val="0"/>
      <w:jc w:val="both"/>
    </w:pPr>
    <w:rPr>
      <w:rFonts w:ascii="Arial" w:eastAsia="宋体" w:hAnsi="Arial" w:cs="Arial"/>
      <w:kern w:val="2"/>
      <w:szCs w:val="21"/>
      <w:lang w:val="en-US" w:eastAsia="zh-CN"/>
    </w:rPr>
  </w:style>
  <w:style w:type="character" w:customStyle="1" w:styleId="EndNoteBibliography0">
    <w:name w:val="EndNote Bibliography 字符"/>
    <w:link w:val="EndNoteBibliography"/>
    <w:qFormat/>
    <w:rPr>
      <w:rFonts w:ascii="Arial" w:eastAsia="宋体" w:hAnsi="Arial" w:cs="Arial"/>
      <w:kern w:val="2"/>
      <w:sz w:val="24"/>
      <w:szCs w:val="21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Arial" w:hAnsi="Arial" w:cs="Arial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Arial" w:hAnsi="Arial" w:cs="Arial"/>
      <w:sz w:val="24"/>
      <w:szCs w:val="24"/>
      <w:lang w:val="de-DE" w:eastAsia="ja-JP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0">
    <w:name w:val="List Paragraph"/>
    <w:basedOn w:val="a"/>
    <w:uiPriority w:val="9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yperlink" Target="http://webvpn.xmu.edu.cn/https/77726476706e69737468656265737421e7e056d234336155700b8ca891472636a6d29e640e/topics/chemistry/nanoparticle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tif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ebvpn.xmu.edu.cn/https/77726476706e69737468656265737421e7e056d234336155700b8ca891472636a6d29e640e/topics/chemistry/zeta-potential" TargetMode="Externa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1075</Words>
  <Characters>6131</Characters>
  <Application>Microsoft Office Word</Application>
  <DocSecurity>0</DocSecurity>
  <Lines>51</Lines>
  <Paragraphs>14</Paragraphs>
  <ScaleCrop>false</ScaleCrop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2022-03-25T07:35:00Z</dcterms:created>
  <dcterms:modified xsi:type="dcterms:W3CDTF">2022-03-26T08:03:00Z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KSOProductBuildVer">
    <vt:lpwstr>2052-11.1.0.11365</vt:lpwstr>
  </property>
  <property fmtid="{D5CDD505-2E9C-101B-9397-08002B2CF9AE}" pid="4" name="ICV">
    <vt:lpwstr>CD144CF39A474512995230C8150DD295</vt:lpwstr>
  </property>
</Properties>
</file>