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A8C42" w14:textId="3D1D1C09" w:rsidR="00CB2C15" w:rsidRPr="00CB2C15" w:rsidRDefault="00CB2C15" w:rsidP="00CB2C15">
      <w:pPr>
        <w:pStyle w:val="NoSpacing"/>
        <w:jc w:val="center"/>
        <w:rPr>
          <w:b/>
        </w:rPr>
      </w:pPr>
      <w:r w:rsidRPr="00CB2C15">
        <w:rPr>
          <w:b/>
        </w:rPr>
        <w:t>Appendices</w:t>
      </w:r>
    </w:p>
    <w:p w14:paraId="3BCA2188" w14:textId="55A4D55F" w:rsidR="00D528A0" w:rsidRDefault="00D528A0" w:rsidP="00CB2C15">
      <w:pPr>
        <w:pStyle w:val="Heading1"/>
        <w:rPr>
          <w:rFonts w:cstheme="minorHAnsi"/>
          <w:szCs w:val="28"/>
        </w:rPr>
      </w:pPr>
      <w:r w:rsidRPr="00924E8B">
        <w:rPr>
          <w:rFonts w:cstheme="minorHAnsi"/>
          <w:szCs w:val="28"/>
        </w:rPr>
        <w:t>Health Capabilities and the Determinants of Infant Mortality in Brazil, 2004-2015: an innovative methodological framework</w:t>
      </w:r>
    </w:p>
    <w:p w14:paraId="5E150644" w14:textId="0B7C81C6" w:rsidR="00A347EB" w:rsidRPr="00CB2C15" w:rsidRDefault="00A347EB" w:rsidP="00CB2C15">
      <w:pPr>
        <w:spacing w:line="480" w:lineRule="auto"/>
        <w:rPr>
          <w:vertAlign w:val="superscript"/>
          <w:lang w:val="fr-FR"/>
        </w:rPr>
      </w:pPr>
      <w:r w:rsidRPr="00B03A63">
        <w:rPr>
          <w:lang w:val="fr-FR"/>
        </w:rPr>
        <w:t>Alexandre Bugelli</w:t>
      </w:r>
      <w:r>
        <w:rPr>
          <w:vertAlign w:val="superscript"/>
          <w:lang w:val="fr-FR"/>
        </w:rPr>
        <w:t>1</w:t>
      </w:r>
      <w:r w:rsidRPr="00B03A63">
        <w:rPr>
          <w:lang w:val="fr-FR"/>
        </w:rPr>
        <w:t xml:space="preserve">* - Roxane </w:t>
      </w:r>
      <w:proofErr w:type="spellStart"/>
      <w:r w:rsidRPr="00B03A63">
        <w:rPr>
          <w:lang w:val="fr-FR"/>
        </w:rPr>
        <w:t>Borgès</w:t>
      </w:r>
      <w:proofErr w:type="spellEnd"/>
      <w:r w:rsidRPr="00B03A63">
        <w:rPr>
          <w:lang w:val="fr-FR"/>
        </w:rPr>
        <w:t xml:space="preserve"> Da Silva</w:t>
      </w:r>
      <w:r>
        <w:rPr>
          <w:vertAlign w:val="superscript"/>
          <w:lang w:val="fr-FR"/>
        </w:rPr>
        <w:t>2</w:t>
      </w:r>
      <w:r w:rsidRPr="00B03A63">
        <w:rPr>
          <w:lang w:val="fr-FR"/>
        </w:rPr>
        <w:t xml:space="preserve"> - </w:t>
      </w:r>
      <w:proofErr w:type="spellStart"/>
      <w:r w:rsidRPr="00B03A63">
        <w:rPr>
          <w:lang w:val="fr-FR"/>
        </w:rPr>
        <w:t>Ladislau</w:t>
      </w:r>
      <w:proofErr w:type="spellEnd"/>
      <w:r w:rsidRPr="00B03A63">
        <w:rPr>
          <w:lang w:val="fr-FR"/>
        </w:rPr>
        <w:t xml:space="preserve"> Dowbor</w:t>
      </w:r>
      <w:r>
        <w:rPr>
          <w:vertAlign w:val="superscript"/>
          <w:lang w:val="fr-FR"/>
        </w:rPr>
        <w:t>3</w:t>
      </w:r>
      <w:r w:rsidRPr="00B03A63">
        <w:rPr>
          <w:lang w:val="fr-FR"/>
        </w:rPr>
        <w:t xml:space="preserve"> - Claude Sicotte</w:t>
      </w:r>
      <w:r>
        <w:rPr>
          <w:vertAlign w:val="superscript"/>
          <w:lang w:val="fr-FR"/>
        </w:rPr>
        <w:t>4</w:t>
      </w:r>
    </w:p>
    <w:p w14:paraId="7F23AC1A" w14:textId="77777777" w:rsidR="00D528A0" w:rsidRDefault="00D528A0" w:rsidP="00CB2C15">
      <w:pPr>
        <w:spacing w:line="480" w:lineRule="auto"/>
        <w:jc w:val="center"/>
        <w:rPr>
          <w:rFonts w:cstheme="minorHAnsi"/>
          <w:b/>
          <w:i/>
          <w:sz w:val="22"/>
          <w:szCs w:val="22"/>
        </w:rPr>
      </w:pPr>
      <w:r w:rsidRPr="00AB6B34">
        <w:rPr>
          <w:rFonts w:cstheme="minorHAnsi"/>
          <w:b/>
          <w:i/>
          <w:sz w:val="22"/>
          <w:szCs w:val="22"/>
        </w:rPr>
        <w:t>App</w:t>
      </w:r>
      <w:r>
        <w:rPr>
          <w:rFonts w:cstheme="minorHAnsi"/>
          <w:b/>
          <w:i/>
          <w:sz w:val="22"/>
          <w:szCs w:val="22"/>
        </w:rPr>
        <w:t>endix 1 Correlation Matrix</w:t>
      </w:r>
    </w:p>
    <w:p w14:paraId="168E676C" w14:textId="77777777" w:rsidR="00D528A0" w:rsidRPr="008C13E0" w:rsidRDefault="00D528A0" w:rsidP="00D528A0">
      <w:pPr>
        <w:jc w:val="center"/>
        <w:rPr>
          <w:rFonts w:cstheme="minorHAnsi"/>
          <w:sz w:val="22"/>
          <w:szCs w:val="22"/>
        </w:rPr>
      </w:pPr>
      <w:bookmarkStart w:id="0" w:name="_GoBack"/>
      <w:r>
        <w:rPr>
          <w:noProof/>
        </w:rPr>
        <w:drawing>
          <wp:inline distT="0" distB="0" distL="0" distR="0" wp14:anchorId="6A025873" wp14:editId="556760E3">
            <wp:extent cx="6925222" cy="1921778"/>
            <wp:effectExtent l="25083" t="25717" r="21907" b="21908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0-12-10 at 12.07.59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16456" cy="203034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14:paraId="16334072" w14:textId="77777777" w:rsidR="00D528A0" w:rsidRDefault="00D528A0" w:rsidP="00CB2C15">
      <w:pPr>
        <w:pStyle w:val="Caption"/>
        <w:keepNext/>
        <w:rPr>
          <w:rFonts w:cstheme="minorHAnsi"/>
        </w:rPr>
      </w:pPr>
      <w:r>
        <w:rPr>
          <w:rFonts w:cstheme="minorHAnsi"/>
        </w:rPr>
        <w:lastRenderedPageBreak/>
        <w:t>Appendix 2</w:t>
      </w:r>
      <w:r w:rsidRPr="00924E8B">
        <w:rPr>
          <w:rFonts w:cstheme="minorHAnsi"/>
        </w:rPr>
        <w:t xml:space="preserve"> Estimation with fixed effect clustering by </w:t>
      </w:r>
    </w:p>
    <w:p w14:paraId="6DBE9FCA" w14:textId="473C1999" w:rsidR="00D528A0" w:rsidRPr="00924E8B" w:rsidRDefault="00D528A0" w:rsidP="00CB2C15">
      <w:pPr>
        <w:pStyle w:val="Caption"/>
        <w:keepNext/>
        <w:rPr>
          <w:rFonts w:cstheme="minorHAnsi"/>
        </w:rPr>
      </w:pPr>
      <w:r w:rsidRPr="00924E8B">
        <w:rPr>
          <w:rFonts w:cstheme="minorHAnsi"/>
        </w:rPr>
        <w:t>"macro-regions" and "year",  absorbing "year"</w:t>
      </w:r>
    </w:p>
    <w:p w14:paraId="4504F39B" w14:textId="77777777" w:rsidR="00D528A0" w:rsidRPr="002F597A" w:rsidRDefault="00D528A0" w:rsidP="00D528A0">
      <w:pPr>
        <w:jc w:val="center"/>
        <w:rPr>
          <w:rFonts w:cstheme="minorHAnsi"/>
          <w:b/>
          <w:color w:val="000000" w:themeColor="text1"/>
          <w:sz w:val="19"/>
          <w:szCs w:val="19"/>
        </w:rPr>
      </w:pPr>
      <w:r w:rsidRPr="00924E8B">
        <w:rPr>
          <w:rFonts w:cstheme="minorHAnsi"/>
          <w:b/>
          <w:noProof/>
          <w:color w:val="000000" w:themeColor="text1"/>
          <w:sz w:val="19"/>
          <w:szCs w:val="19"/>
        </w:rPr>
        <w:drawing>
          <wp:inline distT="0" distB="0" distL="0" distR="0" wp14:anchorId="0C6C47A6" wp14:editId="31056C1E">
            <wp:extent cx="4432300" cy="2820382"/>
            <wp:effectExtent l="25400" t="25400" r="25400" b="247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1519" cy="287079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5BEC22" w14:textId="77777777" w:rsidR="00D65EA6" w:rsidRDefault="00D65EA6"/>
    <w:sectPr w:rsidR="00D65EA6" w:rsidSect="002B599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76BC"/>
    <w:multiLevelType w:val="multilevel"/>
    <w:tmpl w:val="91AE269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BEB1380"/>
    <w:multiLevelType w:val="multilevel"/>
    <w:tmpl w:val="8FBEE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A0"/>
    <w:rsid w:val="00015A97"/>
    <w:rsid w:val="00017333"/>
    <w:rsid w:val="00020A71"/>
    <w:rsid w:val="00021B36"/>
    <w:rsid w:val="00034157"/>
    <w:rsid w:val="0003432C"/>
    <w:rsid w:val="00064934"/>
    <w:rsid w:val="000652AB"/>
    <w:rsid w:val="00071C4A"/>
    <w:rsid w:val="000772C7"/>
    <w:rsid w:val="00077827"/>
    <w:rsid w:val="000835D6"/>
    <w:rsid w:val="000838DF"/>
    <w:rsid w:val="000860D6"/>
    <w:rsid w:val="000A1FDA"/>
    <w:rsid w:val="000A494A"/>
    <w:rsid w:val="000C6C4E"/>
    <w:rsid w:val="000D365C"/>
    <w:rsid w:val="000E77E8"/>
    <w:rsid w:val="000F13B4"/>
    <w:rsid w:val="00112580"/>
    <w:rsid w:val="00130A81"/>
    <w:rsid w:val="001432DC"/>
    <w:rsid w:val="00173D84"/>
    <w:rsid w:val="00174907"/>
    <w:rsid w:val="00177EF6"/>
    <w:rsid w:val="00191B46"/>
    <w:rsid w:val="001B3F26"/>
    <w:rsid w:val="001C70AF"/>
    <w:rsid w:val="001D335A"/>
    <w:rsid w:val="001D38BE"/>
    <w:rsid w:val="001D6832"/>
    <w:rsid w:val="001D728B"/>
    <w:rsid w:val="001F141E"/>
    <w:rsid w:val="001F6941"/>
    <w:rsid w:val="00206F0F"/>
    <w:rsid w:val="00216228"/>
    <w:rsid w:val="002177C0"/>
    <w:rsid w:val="00237157"/>
    <w:rsid w:val="00240233"/>
    <w:rsid w:val="00246B78"/>
    <w:rsid w:val="0025092F"/>
    <w:rsid w:val="00253D4A"/>
    <w:rsid w:val="002554B3"/>
    <w:rsid w:val="00277E4D"/>
    <w:rsid w:val="0028741C"/>
    <w:rsid w:val="002B2420"/>
    <w:rsid w:val="002B3FC3"/>
    <w:rsid w:val="002B5995"/>
    <w:rsid w:val="002D7B4F"/>
    <w:rsid w:val="002E7967"/>
    <w:rsid w:val="00300B3B"/>
    <w:rsid w:val="00315C94"/>
    <w:rsid w:val="00323F0B"/>
    <w:rsid w:val="003330E5"/>
    <w:rsid w:val="00340B78"/>
    <w:rsid w:val="003444D3"/>
    <w:rsid w:val="003447E1"/>
    <w:rsid w:val="00361795"/>
    <w:rsid w:val="003626E2"/>
    <w:rsid w:val="00370939"/>
    <w:rsid w:val="00373B74"/>
    <w:rsid w:val="00376BAB"/>
    <w:rsid w:val="003808CD"/>
    <w:rsid w:val="0038796E"/>
    <w:rsid w:val="0039530F"/>
    <w:rsid w:val="003A483F"/>
    <w:rsid w:val="003A5B69"/>
    <w:rsid w:val="003D08B2"/>
    <w:rsid w:val="003D10DE"/>
    <w:rsid w:val="003D43D4"/>
    <w:rsid w:val="003D66ED"/>
    <w:rsid w:val="00427A08"/>
    <w:rsid w:val="0043039B"/>
    <w:rsid w:val="004335B9"/>
    <w:rsid w:val="004466B1"/>
    <w:rsid w:val="0045649D"/>
    <w:rsid w:val="004A077A"/>
    <w:rsid w:val="004A7049"/>
    <w:rsid w:val="004C0653"/>
    <w:rsid w:val="004D65DC"/>
    <w:rsid w:val="004E0126"/>
    <w:rsid w:val="004E2BEF"/>
    <w:rsid w:val="004E5C89"/>
    <w:rsid w:val="00502395"/>
    <w:rsid w:val="00527142"/>
    <w:rsid w:val="00532463"/>
    <w:rsid w:val="00555500"/>
    <w:rsid w:val="00557699"/>
    <w:rsid w:val="0056348E"/>
    <w:rsid w:val="005C6B5D"/>
    <w:rsid w:val="005E3141"/>
    <w:rsid w:val="005F36AE"/>
    <w:rsid w:val="005F559A"/>
    <w:rsid w:val="0060642F"/>
    <w:rsid w:val="00610B10"/>
    <w:rsid w:val="006179BE"/>
    <w:rsid w:val="00624046"/>
    <w:rsid w:val="00630722"/>
    <w:rsid w:val="00644651"/>
    <w:rsid w:val="00674A50"/>
    <w:rsid w:val="006B3F6F"/>
    <w:rsid w:val="006B7331"/>
    <w:rsid w:val="006C584A"/>
    <w:rsid w:val="00705834"/>
    <w:rsid w:val="00721574"/>
    <w:rsid w:val="00726B00"/>
    <w:rsid w:val="0075540E"/>
    <w:rsid w:val="00756423"/>
    <w:rsid w:val="00791A80"/>
    <w:rsid w:val="007A2CF1"/>
    <w:rsid w:val="007A491E"/>
    <w:rsid w:val="007C152B"/>
    <w:rsid w:val="007C2DD8"/>
    <w:rsid w:val="007D1C1F"/>
    <w:rsid w:val="007E2DF4"/>
    <w:rsid w:val="007E6FEE"/>
    <w:rsid w:val="007F054F"/>
    <w:rsid w:val="00825669"/>
    <w:rsid w:val="00846FB7"/>
    <w:rsid w:val="00853699"/>
    <w:rsid w:val="008801BA"/>
    <w:rsid w:val="00896FED"/>
    <w:rsid w:val="008B3ACE"/>
    <w:rsid w:val="008D276D"/>
    <w:rsid w:val="008D5487"/>
    <w:rsid w:val="008E2807"/>
    <w:rsid w:val="00910E42"/>
    <w:rsid w:val="009167E6"/>
    <w:rsid w:val="009268C1"/>
    <w:rsid w:val="0094264E"/>
    <w:rsid w:val="00950FF3"/>
    <w:rsid w:val="00963EF9"/>
    <w:rsid w:val="009B26BB"/>
    <w:rsid w:val="009B538A"/>
    <w:rsid w:val="009B79BF"/>
    <w:rsid w:val="00A0541B"/>
    <w:rsid w:val="00A1012A"/>
    <w:rsid w:val="00A1381E"/>
    <w:rsid w:val="00A14B44"/>
    <w:rsid w:val="00A30E6B"/>
    <w:rsid w:val="00A32F62"/>
    <w:rsid w:val="00A347EB"/>
    <w:rsid w:val="00A37CD5"/>
    <w:rsid w:val="00A803C8"/>
    <w:rsid w:val="00A86063"/>
    <w:rsid w:val="00A96866"/>
    <w:rsid w:val="00AB15F1"/>
    <w:rsid w:val="00AB1AFF"/>
    <w:rsid w:val="00AB4E90"/>
    <w:rsid w:val="00AB74A1"/>
    <w:rsid w:val="00AC743F"/>
    <w:rsid w:val="00AD230A"/>
    <w:rsid w:val="00AD74A0"/>
    <w:rsid w:val="00B01FBB"/>
    <w:rsid w:val="00B24D2F"/>
    <w:rsid w:val="00BA38FD"/>
    <w:rsid w:val="00BC3FDB"/>
    <w:rsid w:val="00BC5584"/>
    <w:rsid w:val="00BD4533"/>
    <w:rsid w:val="00BF1BFD"/>
    <w:rsid w:val="00BF6F71"/>
    <w:rsid w:val="00BF7C50"/>
    <w:rsid w:val="00C01087"/>
    <w:rsid w:val="00C14AA8"/>
    <w:rsid w:val="00C14EFF"/>
    <w:rsid w:val="00C42C07"/>
    <w:rsid w:val="00C43C4F"/>
    <w:rsid w:val="00C52083"/>
    <w:rsid w:val="00C56E3A"/>
    <w:rsid w:val="00C629AB"/>
    <w:rsid w:val="00C87A63"/>
    <w:rsid w:val="00C907B9"/>
    <w:rsid w:val="00CB2C15"/>
    <w:rsid w:val="00CC2694"/>
    <w:rsid w:val="00CD6594"/>
    <w:rsid w:val="00CE7622"/>
    <w:rsid w:val="00D0147D"/>
    <w:rsid w:val="00D02EF8"/>
    <w:rsid w:val="00D26021"/>
    <w:rsid w:val="00D44654"/>
    <w:rsid w:val="00D528A0"/>
    <w:rsid w:val="00D52D1B"/>
    <w:rsid w:val="00D65EA6"/>
    <w:rsid w:val="00D70ED8"/>
    <w:rsid w:val="00D843A7"/>
    <w:rsid w:val="00DA26B4"/>
    <w:rsid w:val="00DA4FB4"/>
    <w:rsid w:val="00DA5753"/>
    <w:rsid w:val="00DB1298"/>
    <w:rsid w:val="00DD1A42"/>
    <w:rsid w:val="00DD25E9"/>
    <w:rsid w:val="00DD2717"/>
    <w:rsid w:val="00DF209C"/>
    <w:rsid w:val="00DF7279"/>
    <w:rsid w:val="00E1784F"/>
    <w:rsid w:val="00E24D5C"/>
    <w:rsid w:val="00E26837"/>
    <w:rsid w:val="00E32909"/>
    <w:rsid w:val="00E7671D"/>
    <w:rsid w:val="00E938C7"/>
    <w:rsid w:val="00EB4697"/>
    <w:rsid w:val="00EC37AA"/>
    <w:rsid w:val="00EF2A60"/>
    <w:rsid w:val="00F02C66"/>
    <w:rsid w:val="00F2064A"/>
    <w:rsid w:val="00F26142"/>
    <w:rsid w:val="00F46B94"/>
    <w:rsid w:val="00F5223A"/>
    <w:rsid w:val="00F553C5"/>
    <w:rsid w:val="00FA40BD"/>
    <w:rsid w:val="00FA4471"/>
    <w:rsid w:val="00FB1213"/>
    <w:rsid w:val="00FB538E"/>
    <w:rsid w:val="00FB5B2F"/>
    <w:rsid w:val="00FB5D4D"/>
    <w:rsid w:val="00FC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0096F"/>
  <w15:chartTrackingRefBased/>
  <w15:docId w15:val="{AC784141-DAF5-264D-AFD5-CE5719EF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8A0"/>
    <w:pPr>
      <w:keepNext/>
      <w:keepLines/>
      <w:spacing w:line="480" w:lineRule="auto"/>
      <w:jc w:val="both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01FBB"/>
    <w:pPr>
      <w:keepNext/>
      <w:keepLines/>
      <w:numPr>
        <w:ilvl w:val="1"/>
        <w:numId w:val="2"/>
      </w:numPr>
      <w:spacing w:before="40" w:after="160" w:line="360" w:lineRule="auto"/>
      <w:ind w:left="1296" w:hanging="576"/>
      <w:jc w:val="both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D02EF8"/>
    <w:pPr>
      <w:spacing w:before="120"/>
    </w:pPr>
    <w:rPr>
      <w:rFonts w:ascii="Arial" w:hAnsi="Arial"/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01FBB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528A0"/>
    <w:rPr>
      <w:rFonts w:eastAsiaTheme="majorEastAsia" w:cstheme="majorBidi"/>
      <w:b/>
      <w:color w:val="000000" w:themeColor="text1"/>
      <w:sz w:val="28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D528A0"/>
    <w:pPr>
      <w:spacing w:line="480" w:lineRule="auto"/>
      <w:jc w:val="center"/>
    </w:pPr>
    <w:rPr>
      <w:rFonts w:cs="Times New Roman (Body CS)"/>
      <w:b/>
      <w:i/>
      <w:iCs/>
      <w:color w:val="000000" w:themeColor="text1"/>
      <w:szCs w:val="18"/>
    </w:rPr>
  </w:style>
  <w:style w:type="paragraph" w:styleId="NoSpacing">
    <w:name w:val="No Spacing"/>
    <w:uiPriority w:val="1"/>
    <w:qFormat/>
    <w:rsid w:val="00D52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Bugelli Alexandre</dc:creator>
  <cp:keywords/>
  <dc:description/>
  <cp:lastModifiedBy>Bugelli Alexandre</cp:lastModifiedBy>
  <cp:revision>2</cp:revision>
  <dcterms:created xsi:type="dcterms:W3CDTF">2021-01-22T17:44:00Z</dcterms:created>
  <dcterms:modified xsi:type="dcterms:W3CDTF">2021-01-22T17:44:00Z</dcterms:modified>
</cp:coreProperties>
</file>