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BE3" w:rsidRPr="00A53BE3" w:rsidRDefault="00A53BE3" w:rsidP="00A53BE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3BE3">
        <w:rPr>
          <w:rFonts w:ascii="Times New Roman" w:hAnsi="Times New Roman" w:cs="Times New Roman"/>
          <w:sz w:val="24"/>
          <w:szCs w:val="24"/>
          <w:lang w:val="en-US"/>
        </w:rPr>
        <w:t xml:space="preserve">Additional File Text 1. </w:t>
      </w:r>
      <w:r w:rsidRPr="00A53B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Determination of the consumption of carbon sources. </w:t>
      </w:r>
    </w:p>
    <w:p w:rsidR="00A53BE3" w:rsidRPr="00A53BE3" w:rsidRDefault="00A53BE3" w:rsidP="00A53BE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3BE3">
        <w:rPr>
          <w:rFonts w:ascii="Times New Roman" w:hAnsi="Times New Roman" w:cs="Times New Roman"/>
          <w:sz w:val="24"/>
          <w:szCs w:val="24"/>
          <w:lang w:val="en-US"/>
        </w:rPr>
        <w:t>It was carried out by evaluating the carbohydrate content (maltose and glucose) using the phenol-sulfuric spectrophotometric method (Jasso-Chávez et al., 2010). The content of me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thanol, glycerol, </w:t>
      </w:r>
      <w:r w:rsidRPr="003B05C4">
        <w:rPr>
          <w:rFonts w:ascii="Times New Roman" w:hAnsi="Times New Roman" w:cs="Times New Roman"/>
          <w:sz w:val="24"/>
          <w:szCs w:val="24"/>
          <w:lang w:val="en-US"/>
        </w:rPr>
        <w:t>glyceryl triacetate</w:t>
      </w:r>
      <w:bookmarkStart w:id="0" w:name="_GoBack"/>
      <w:bookmarkEnd w:id="0"/>
      <w:r w:rsidRPr="00A53BE3">
        <w:rPr>
          <w:rFonts w:ascii="Times New Roman" w:hAnsi="Times New Roman" w:cs="Times New Roman"/>
          <w:sz w:val="24"/>
          <w:szCs w:val="24"/>
          <w:lang w:val="en-US"/>
        </w:rPr>
        <w:t>, sodium pyruvate and sodium acetate, in the cell-free culture medium, acidifying to pH0, was evaluated by injecting 2 µL of the sample in a Shimadzu brand gas chromatograph, using the column DB-1701 (30m, 0.250mm, 0.25µm. Agilent-Crawford) using He</w:t>
      </w:r>
      <w:r w:rsidRPr="00A53BE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A53BE3">
        <w:rPr>
          <w:rFonts w:ascii="Times New Roman" w:hAnsi="Times New Roman" w:cs="Times New Roman"/>
          <w:sz w:val="24"/>
          <w:szCs w:val="24"/>
          <w:lang w:val="en-US"/>
        </w:rPr>
        <w:t xml:space="preserve"> as carrier gas at a flow of 4 mL ∙ min-1, and a temperature gradient.</w:t>
      </w:r>
    </w:p>
    <w:p w:rsidR="006A297A" w:rsidRPr="00A53BE3" w:rsidRDefault="00A53BE3" w:rsidP="00A53BE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3BE3">
        <w:rPr>
          <w:rFonts w:ascii="Times New Roman" w:hAnsi="Times New Roman" w:cs="Times New Roman"/>
          <w:sz w:val="24"/>
          <w:szCs w:val="24"/>
          <w:lang w:val="en-US"/>
        </w:rPr>
        <w:t>The concentration of each carbon source was obtained by interpolation in a standard curve of each substrate.</w:t>
      </w:r>
    </w:p>
    <w:sectPr w:rsidR="006A297A" w:rsidRPr="00A53B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E3"/>
    <w:rsid w:val="002411D9"/>
    <w:rsid w:val="002C0D4E"/>
    <w:rsid w:val="00536D12"/>
    <w:rsid w:val="006A297A"/>
    <w:rsid w:val="00A53BE3"/>
    <w:rsid w:val="00BA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A72CE"/>
  <w15:chartTrackingRefBased/>
  <w15:docId w15:val="{5FC64C2F-885B-48AD-B101-B560FC501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2020-12-30T00:03:00Z</dcterms:created>
  <dcterms:modified xsi:type="dcterms:W3CDTF">2020-12-30T00:03:00Z</dcterms:modified>
</cp:coreProperties>
</file>