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B3F78" w14:textId="1F2B083E" w:rsidR="006B67BE" w:rsidRPr="00857879" w:rsidRDefault="00857879">
      <w:pPr>
        <w:rPr>
          <w:rFonts w:ascii="Times New Roman" w:hAnsi="Times New Roman" w:cs="Times New Roman"/>
          <w:b/>
          <w:bCs/>
          <w:lang w:val="en-GB"/>
        </w:rPr>
      </w:pPr>
      <w:r w:rsidRPr="00857879">
        <w:rPr>
          <w:rFonts w:ascii="Times New Roman" w:hAnsi="Times New Roman" w:cs="Times New Roman"/>
          <w:b/>
          <w:bCs/>
          <w:lang w:val="en-GB"/>
        </w:rPr>
        <w:t>Table S1 – Inclusion and exclusion criteria based on PICOS model.</w:t>
      </w:r>
    </w:p>
    <w:tbl>
      <w:tblPr>
        <w:tblStyle w:val="Tabellagriglia5scura-colore1"/>
        <w:tblW w:w="0" w:type="auto"/>
        <w:tblLook w:val="04A0" w:firstRow="1" w:lastRow="0" w:firstColumn="1" w:lastColumn="0" w:noHBand="0" w:noVBand="1"/>
      </w:tblPr>
      <w:tblGrid>
        <w:gridCol w:w="3514"/>
        <w:gridCol w:w="3057"/>
        <w:gridCol w:w="3057"/>
      </w:tblGrid>
      <w:tr w:rsidR="00857879" w14:paraId="2DA40476" w14:textId="77777777" w:rsidTr="008E3A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4" w:type="dxa"/>
          </w:tcPr>
          <w:p w14:paraId="32C2CE33" w14:textId="77777777" w:rsidR="00857879" w:rsidRDefault="00857879" w:rsidP="008E3ACB">
            <w:pPr>
              <w:jc w:val="center"/>
            </w:pPr>
            <w:r>
              <w:t>Parameter</w:t>
            </w:r>
          </w:p>
        </w:tc>
        <w:tc>
          <w:tcPr>
            <w:tcW w:w="3057" w:type="dxa"/>
          </w:tcPr>
          <w:p w14:paraId="766D5483" w14:textId="77777777" w:rsidR="00857879" w:rsidRDefault="00857879" w:rsidP="008E3A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Inclusion criteria</w:t>
            </w:r>
          </w:p>
        </w:tc>
        <w:tc>
          <w:tcPr>
            <w:tcW w:w="3057" w:type="dxa"/>
          </w:tcPr>
          <w:p w14:paraId="5B502B8F" w14:textId="77777777" w:rsidR="00857879" w:rsidRDefault="00857879" w:rsidP="008E3A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Exclusion criteria</w:t>
            </w:r>
          </w:p>
        </w:tc>
      </w:tr>
      <w:tr w:rsidR="00857879" w:rsidRPr="00B062A6" w14:paraId="440C25BC" w14:textId="77777777" w:rsidTr="008E3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4" w:type="dxa"/>
          </w:tcPr>
          <w:p w14:paraId="084BF1D8" w14:textId="77777777" w:rsidR="00857879" w:rsidRDefault="00857879" w:rsidP="008E3ACB">
            <w:pPr>
              <w:jc w:val="center"/>
            </w:pPr>
            <w:r>
              <w:t>Patients</w:t>
            </w:r>
          </w:p>
        </w:tc>
        <w:tc>
          <w:tcPr>
            <w:tcW w:w="3057" w:type="dxa"/>
          </w:tcPr>
          <w:p w14:paraId="6489B02D" w14:textId="77777777" w:rsidR="00857879" w:rsidRPr="00A57C84" w:rsidRDefault="00857879" w:rsidP="008E3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2F5496" w:themeColor="accent1" w:themeShade="BF"/>
                <w:lang w:val="en-GB"/>
              </w:rPr>
            </w:pPr>
            <w:r w:rsidRPr="4F358914">
              <w:rPr>
                <w:color w:val="2F5496" w:themeColor="accent1" w:themeShade="BF"/>
                <w:lang w:val="en-GB"/>
              </w:rPr>
              <w:t xml:space="preserve">Patients affected by </w:t>
            </w:r>
            <w:r>
              <w:rPr>
                <w:color w:val="2F5496" w:themeColor="accent1" w:themeShade="BF"/>
                <w:lang w:val="en-GB"/>
              </w:rPr>
              <w:t>CLL</w:t>
            </w:r>
            <w:r w:rsidRPr="4F358914">
              <w:rPr>
                <w:color w:val="2F5496" w:themeColor="accent1" w:themeShade="BF"/>
                <w:lang w:val="en-GB"/>
              </w:rPr>
              <w:t xml:space="preserve"> treatment-naïve. </w:t>
            </w:r>
          </w:p>
        </w:tc>
        <w:tc>
          <w:tcPr>
            <w:tcW w:w="3057" w:type="dxa"/>
          </w:tcPr>
          <w:p w14:paraId="11389DD8" w14:textId="77777777" w:rsidR="00857879" w:rsidRPr="00A57C84" w:rsidRDefault="00857879" w:rsidP="008E3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2F5496" w:themeColor="accent1" w:themeShade="BF"/>
                <w:lang w:val="en-GB"/>
              </w:rPr>
            </w:pPr>
            <w:r>
              <w:rPr>
                <w:color w:val="2F5496" w:themeColor="accent1" w:themeShade="BF"/>
                <w:lang w:val="en-GB"/>
              </w:rPr>
              <w:t>Patients wil CLL with p53 or 17q del; already treated patients.</w:t>
            </w:r>
          </w:p>
        </w:tc>
      </w:tr>
      <w:tr w:rsidR="00857879" w:rsidRPr="00B062A6" w14:paraId="3A4C601F" w14:textId="77777777" w:rsidTr="008E3A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4" w:type="dxa"/>
          </w:tcPr>
          <w:p w14:paraId="211074F7" w14:textId="77777777" w:rsidR="00857879" w:rsidRPr="00B9369A" w:rsidRDefault="00857879" w:rsidP="008E3ACB">
            <w:pPr>
              <w:jc w:val="center"/>
              <w:rPr>
                <w:b w:val="0"/>
                <w:bCs w:val="0"/>
                <w:lang w:val="en-GB"/>
              </w:rPr>
            </w:pPr>
          </w:p>
          <w:p w14:paraId="0F63EF24" w14:textId="77777777" w:rsidR="00857879" w:rsidRDefault="00857879" w:rsidP="008E3ACB">
            <w:pPr>
              <w:jc w:val="center"/>
            </w:pPr>
            <w:r>
              <w:t>Interventions</w:t>
            </w:r>
          </w:p>
        </w:tc>
        <w:tc>
          <w:tcPr>
            <w:tcW w:w="3057" w:type="dxa"/>
          </w:tcPr>
          <w:p w14:paraId="07D9EF87" w14:textId="3AE4F81F" w:rsidR="00857879" w:rsidRPr="004C73E6" w:rsidRDefault="00857879" w:rsidP="008E3A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F5496" w:themeColor="accent1" w:themeShade="BF"/>
                <w:lang w:val="en-GB"/>
              </w:rPr>
            </w:pPr>
            <w:r w:rsidRPr="4F358914">
              <w:rPr>
                <w:color w:val="2F5496" w:themeColor="accent1" w:themeShade="BF"/>
                <w:lang w:val="en-GB"/>
              </w:rPr>
              <w:t>Systemic chemotherapy</w:t>
            </w:r>
            <w:r>
              <w:rPr>
                <w:color w:val="2F5496" w:themeColor="accent1" w:themeShade="BF"/>
                <w:lang w:val="en-GB"/>
              </w:rPr>
              <w:t>, immunotherapy</w:t>
            </w:r>
            <w:r w:rsidR="00B062A6">
              <w:rPr>
                <w:color w:val="2F5496" w:themeColor="accent1" w:themeShade="BF"/>
                <w:lang w:val="en-GB"/>
              </w:rPr>
              <w:t>,</w:t>
            </w:r>
            <w:r>
              <w:rPr>
                <w:color w:val="2F5496" w:themeColor="accent1" w:themeShade="BF"/>
                <w:lang w:val="en-GB"/>
              </w:rPr>
              <w:t xml:space="preserve"> chemoimmunotherapy</w:t>
            </w:r>
            <w:r w:rsidR="00B062A6">
              <w:rPr>
                <w:color w:val="2F5496" w:themeColor="accent1" w:themeShade="BF"/>
                <w:lang w:val="en-GB"/>
              </w:rPr>
              <w:t>, Bruton Kinase inhibitor, BH-3 mimetic</w:t>
            </w:r>
            <w:r>
              <w:rPr>
                <w:color w:val="2F5496" w:themeColor="accent1" w:themeShade="BF"/>
                <w:lang w:val="en-GB"/>
              </w:rPr>
              <w:t>.</w:t>
            </w:r>
          </w:p>
        </w:tc>
        <w:tc>
          <w:tcPr>
            <w:tcW w:w="3057" w:type="dxa"/>
          </w:tcPr>
          <w:p w14:paraId="4EC6D167" w14:textId="77777777" w:rsidR="00857879" w:rsidRDefault="00857879" w:rsidP="008E3A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F5496" w:themeColor="accent1" w:themeShade="BF"/>
                <w:lang w:val="en-GB"/>
              </w:rPr>
            </w:pPr>
          </w:p>
          <w:p w14:paraId="3C5C4192" w14:textId="77777777" w:rsidR="00857879" w:rsidRPr="004C73E6" w:rsidRDefault="00857879" w:rsidP="008E3A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F5496" w:themeColor="accent1" w:themeShade="BF"/>
                <w:lang w:val="en-GB"/>
              </w:rPr>
            </w:pPr>
          </w:p>
        </w:tc>
      </w:tr>
      <w:tr w:rsidR="00857879" w14:paraId="5E714C03" w14:textId="77777777" w:rsidTr="008E3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4" w:type="dxa"/>
          </w:tcPr>
          <w:p w14:paraId="1F105630" w14:textId="77777777" w:rsidR="00857879" w:rsidRDefault="00857879" w:rsidP="008E3ACB">
            <w:pPr>
              <w:jc w:val="center"/>
            </w:pPr>
            <w:r>
              <w:t>Comparator</w:t>
            </w:r>
          </w:p>
        </w:tc>
        <w:tc>
          <w:tcPr>
            <w:tcW w:w="3057" w:type="dxa"/>
          </w:tcPr>
          <w:p w14:paraId="50C72982" w14:textId="77777777" w:rsidR="00857879" w:rsidRDefault="00857879" w:rsidP="008E3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2F5496" w:themeColor="accent1" w:themeShade="BF"/>
              </w:rPr>
            </w:pPr>
            <w:r w:rsidRPr="4F358914">
              <w:rPr>
                <w:color w:val="2F5496" w:themeColor="accent1" w:themeShade="BF"/>
              </w:rPr>
              <w:t>Not applicabile.</w:t>
            </w:r>
          </w:p>
        </w:tc>
        <w:tc>
          <w:tcPr>
            <w:tcW w:w="3057" w:type="dxa"/>
          </w:tcPr>
          <w:p w14:paraId="0390314E" w14:textId="77777777" w:rsidR="00857879" w:rsidRDefault="00857879" w:rsidP="008E3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2F5496" w:themeColor="accent1" w:themeShade="BF"/>
              </w:rPr>
            </w:pPr>
            <w:r w:rsidRPr="4F358914">
              <w:rPr>
                <w:color w:val="2F5496" w:themeColor="accent1" w:themeShade="BF"/>
              </w:rPr>
              <w:t>Not applicabile.</w:t>
            </w:r>
          </w:p>
          <w:p w14:paraId="4DC01EFA" w14:textId="77777777" w:rsidR="00857879" w:rsidRDefault="00857879" w:rsidP="008E3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2F5496" w:themeColor="accent1" w:themeShade="BF"/>
              </w:rPr>
            </w:pPr>
          </w:p>
        </w:tc>
      </w:tr>
      <w:tr w:rsidR="00857879" w:rsidRPr="00CA685A" w14:paraId="1A0907AC" w14:textId="77777777" w:rsidTr="008E3A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4" w:type="dxa"/>
          </w:tcPr>
          <w:p w14:paraId="3B7DFE36" w14:textId="77777777" w:rsidR="00857879" w:rsidRDefault="00857879" w:rsidP="008E3ACB">
            <w:pPr>
              <w:jc w:val="center"/>
            </w:pPr>
            <w:r>
              <w:t>Outcomes</w:t>
            </w:r>
          </w:p>
        </w:tc>
        <w:tc>
          <w:tcPr>
            <w:tcW w:w="3057" w:type="dxa"/>
          </w:tcPr>
          <w:p w14:paraId="6B8E1F67" w14:textId="77777777" w:rsidR="00857879" w:rsidRPr="00154589" w:rsidRDefault="00857879" w:rsidP="008E3A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F5496" w:themeColor="accent1" w:themeShade="BF"/>
                <w:lang w:val="en-GB"/>
              </w:rPr>
            </w:pPr>
            <w:r w:rsidRPr="4F358914">
              <w:rPr>
                <w:color w:val="2F5496" w:themeColor="accent1" w:themeShade="BF"/>
                <w:lang w:val="en-GB"/>
              </w:rPr>
              <w:t xml:space="preserve">OS, PFS, ORR, Toxicity. </w:t>
            </w:r>
          </w:p>
        </w:tc>
        <w:tc>
          <w:tcPr>
            <w:tcW w:w="3057" w:type="dxa"/>
          </w:tcPr>
          <w:p w14:paraId="46579EB0" w14:textId="77777777" w:rsidR="00857879" w:rsidRDefault="00857879" w:rsidP="008E3A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F5496" w:themeColor="accent1" w:themeShade="BF"/>
                <w:lang w:val="en-GB"/>
              </w:rPr>
            </w:pPr>
            <w:r w:rsidRPr="4F358914">
              <w:rPr>
                <w:color w:val="2F5496" w:themeColor="accent1" w:themeShade="BF"/>
                <w:lang w:val="en-GB"/>
              </w:rPr>
              <w:t>QoL as only outcome.</w:t>
            </w:r>
          </w:p>
          <w:p w14:paraId="2A6FB1E9" w14:textId="77777777" w:rsidR="00857879" w:rsidRPr="00154589" w:rsidRDefault="00857879" w:rsidP="008E3A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F5496" w:themeColor="accent1" w:themeShade="BF"/>
                <w:lang w:val="en-GB"/>
              </w:rPr>
            </w:pPr>
          </w:p>
        </w:tc>
      </w:tr>
      <w:tr w:rsidR="00857879" w:rsidRPr="00B062A6" w14:paraId="30F64399" w14:textId="77777777" w:rsidTr="008E3A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4" w:type="dxa"/>
          </w:tcPr>
          <w:p w14:paraId="677804A9" w14:textId="77777777" w:rsidR="00857879" w:rsidRDefault="00857879" w:rsidP="008E3ACB">
            <w:pPr>
              <w:jc w:val="center"/>
            </w:pPr>
            <w:r>
              <w:t>Study design</w:t>
            </w:r>
          </w:p>
        </w:tc>
        <w:tc>
          <w:tcPr>
            <w:tcW w:w="3057" w:type="dxa"/>
          </w:tcPr>
          <w:p w14:paraId="0257A38F" w14:textId="77777777" w:rsidR="00857879" w:rsidRDefault="00857879" w:rsidP="008E3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2F5496" w:themeColor="accent1" w:themeShade="BF"/>
              </w:rPr>
            </w:pPr>
            <w:r w:rsidRPr="4F358914">
              <w:rPr>
                <w:color w:val="2F5496" w:themeColor="accent1" w:themeShade="BF"/>
              </w:rPr>
              <w:t>Phase II-III RTCs.</w:t>
            </w:r>
          </w:p>
        </w:tc>
        <w:tc>
          <w:tcPr>
            <w:tcW w:w="3057" w:type="dxa"/>
          </w:tcPr>
          <w:p w14:paraId="772A6875" w14:textId="77777777" w:rsidR="00857879" w:rsidRPr="00154589" w:rsidRDefault="00857879" w:rsidP="008E3AC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2F5496" w:themeColor="accent1" w:themeShade="BF"/>
                <w:lang w:val="en-GB"/>
              </w:rPr>
            </w:pPr>
            <w:r w:rsidRPr="4F358914">
              <w:rPr>
                <w:color w:val="2F5496" w:themeColor="accent1" w:themeShade="BF"/>
                <w:lang w:val="en-GB"/>
              </w:rPr>
              <w:t>Not randomized trials, retrospective comparator,</w:t>
            </w:r>
            <w:r>
              <w:rPr>
                <w:color w:val="2F5496" w:themeColor="accent1" w:themeShade="BF"/>
                <w:lang w:val="en-GB"/>
              </w:rPr>
              <w:t xml:space="preserve"> </w:t>
            </w:r>
            <w:r w:rsidRPr="00015094">
              <w:rPr>
                <w:color w:val="2F5496" w:themeColor="accent1" w:themeShade="BF"/>
                <w:lang w:val="en-GB"/>
              </w:rPr>
              <w:t>trials without information about IgVh mutation and karyotype stratification</w:t>
            </w:r>
            <w:r>
              <w:rPr>
                <w:color w:val="2F5496" w:themeColor="accent1" w:themeShade="BF"/>
                <w:lang w:val="en-GB"/>
              </w:rPr>
              <w:t>,</w:t>
            </w:r>
            <w:r w:rsidRPr="4F358914">
              <w:rPr>
                <w:color w:val="2F5496" w:themeColor="accent1" w:themeShade="BF"/>
                <w:lang w:val="en-GB"/>
              </w:rPr>
              <w:t xml:space="preserve"> not English papers.</w:t>
            </w:r>
          </w:p>
        </w:tc>
      </w:tr>
    </w:tbl>
    <w:p w14:paraId="5398F08D" w14:textId="77777777" w:rsidR="00857879" w:rsidRPr="00857879" w:rsidRDefault="00857879">
      <w:pPr>
        <w:rPr>
          <w:rFonts w:ascii="Times New Roman" w:hAnsi="Times New Roman" w:cs="Times New Roman"/>
          <w:lang w:val="en-GB"/>
        </w:rPr>
      </w:pPr>
    </w:p>
    <w:p w14:paraId="66D7ADE7" w14:textId="3A1C1AE6" w:rsidR="00BD0676" w:rsidRPr="00857879" w:rsidRDefault="00BD0676">
      <w:pPr>
        <w:spacing w:after="160"/>
        <w:rPr>
          <w:rFonts w:ascii="Times New Roman" w:hAnsi="Times New Roman" w:cs="Times New Roman"/>
          <w:lang w:val="en-GB"/>
        </w:rPr>
      </w:pPr>
    </w:p>
    <w:p w14:paraId="4D777191" w14:textId="77777777" w:rsidR="00BD0676" w:rsidRPr="00857879" w:rsidRDefault="00BD0676">
      <w:pPr>
        <w:rPr>
          <w:rFonts w:ascii="Times New Roman" w:hAnsi="Times New Roman" w:cs="Times New Roman"/>
          <w:lang w:val="en-GB"/>
        </w:rPr>
        <w:sectPr w:rsidR="00BD0676" w:rsidRPr="00857879" w:rsidSect="00BD0676">
          <w:pgSz w:w="16838" w:h="11906" w:orient="landscape"/>
          <w:pgMar w:top="1134" w:right="1417" w:bottom="1134" w:left="1134" w:header="708" w:footer="708" w:gutter="0"/>
          <w:cols w:space="708"/>
          <w:docGrid w:linePitch="360"/>
        </w:sectPr>
      </w:pPr>
    </w:p>
    <w:p w14:paraId="4AAEE928" w14:textId="0DDCBD9D" w:rsidR="00F36B29" w:rsidRPr="00857879" w:rsidRDefault="00B715B7" w:rsidP="00F36B29">
      <w:pPr>
        <w:tabs>
          <w:tab w:val="left" w:pos="960"/>
        </w:tabs>
        <w:rPr>
          <w:rFonts w:ascii="Times New Roman" w:hAnsi="Times New Roman" w:cs="Times New Roman"/>
          <w:b/>
          <w:bCs/>
          <w:lang w:val="en-GB"/>
        </w:rPr>
      </w:pPr>
      <w:r w:rsidRPr="00857879">
        <w:rPr>
          <w:rFonts w:ascii="Times New Roman" w:hAnsi="Times New Roman" w:cs="Times New Roman"/>
          <w:b/>
          <w:bCs/>
          <w:lang w:val="en-GB"/>
        </w:rPr>
        <w:lastRenderedPageBreak/>
        <w:t>Figure</w:t>
      </w:r>
      <w:r w:rsidR="005B7E1F" w:rsidRPr="00857879">
        <w:rPr>
          <w:rFonts w:ascii="Times New Roman" w:hAnsi="Times New Roman" w:cs="Times New Roman"/>
          <w:b/>
          <w:bCs/>
          <w:lang w:val="en-GB"/>
        </w:rPr>
        <w:t xml:space="preserve"> S</w:t>
      </w:r>
      <w:r w:rsidR="002D7643" w:rsidRPr="00857879">
        <w:rPr>
          <w:rFonts w:ascii="Times New Roman" w:hAnsi="Times New Roman" w:cs="Times New Roman"/>
          <w:b/>
          <w:bCs/>
          <w:lang w:val="en-GB"/>
        </w:rPr>
        <w:t>1</w:t>
      </w:r>
      <w:r w:rsidR="005B7E1F" w:rsidRPr="00857879">
        <w:rPr>
          <w:rFonts w:ascii="Times New Roman" w:hAnsi="Times New Roman" w:cs="Times New Roman"/>
          <w:b/>
          <w:bCs/>
          <w:lang w:val="en-GB"/>
        </w:rPr>
        <w:t xml:space="preserve"> – Risk of BIAS summary</w:t>
      </w:r>
    </w:p>
    <w:p w14:paraId="445F279B" w14:textId="15BF8ABE" w:rsidR="00F36B29" w:rsidRPr="000332B7" w:rsidRDefault="004F52B0" w:rsidP="006B67BE">
      <w:pPr>
        <w:spacing w:after="160"/>
        <w:rPr>
          <w:rFonts w:ascii="Times New Roman" w:hAnsi="Times New Roman" w:cs="Times New Roman"/>
          <w:noProof/>
          <w:lang w:val="en-GB"/>
        </w:rPr>
      </w:pPr>
      <w:r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703A5A2F" wp14:editId="43F93678">
            <wp:extent cx="3314987" cy="6523285"/>
            <wp:effectExtent l="0" t="0" r="0" b="0"/>
            <wp:docPr id="19" name="Immagin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magine 1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4987" cy="6523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0D6C9" w14:textId="49D9C11E" w:rsidR="002D7643" w:rsidRPr="000332B7" w:rsidRDefault="002D7643">
      <w:pPr>
        <w:spacing w:after="160"/>
        <w:rPr>
          <w:rFonts w:ascii="Times New Roman" w:hAnsi="Times New Roman" w:cs="Times New Roman"/>
          <w:noProof/>
          <w:lang w:val="en-GB"/>
        </w:rPr>
      </w:pPr>
      <w:r w:rsidRPr="000332B7">
        <w:rPr>
          <w:rFonts w:ascii="Times New Roman" w:hAnsi="Times New Roman" w:cs="Times New Roman"/>
          <w:noProof/>
          <w:lang w:val="en-GB"/>
        </w:rPr>
        <w:br w:type="page"/>
      </w:r>
    </w:p>
    <w:p w14:paraId="41D28626" w14:textId="77777777" w:rsidR="005B7E1F" w:rsidRPr="000332B7" w:rsidRDefault="005B7E1F" w:rsidP="005B7E1F">
      <w:pPr>
        <w:rPr>
          <w:rFonts w:ascii="Times New Roman" w:hAnsi="Times New Roman" w:cs="Times New Roman"/>
          <w:noProof/>
          <w:lang w:val="en-GB"/>
        </w:rPr>
      </w:pPr>
    </w:p>
    <w:p w14:paraId="60651000" w14:textId="42993F0A" w:rsidR="005B7E1F" w:rsidRPr="00857879" w:rsidRDefault="00B715B7" w:rsidP="005B7E1F">
      <w:pPr>
        <w:rPr>
          <w:rFonts w:ascii="Times New Roman" w:hAnsi="Times New Roman" w:cs="Times New Roman"/>
          <w:b/>
          <w:bCs/>
          <w:lang w:val="en-GB"/>
        </w:rPr>
      </w:pPr>
      <w:r w:rsidRPr="00857879">
        <w:rPr>
          <w:rFonts w:ascii="Times New Roman" w:hAnsi="Times New Roman" w:cs="Times New Roman"/>
          <w:b/>
          <w:bCs/>
          <w:lang w:val="en-GB"/>
        </w:rPr>
        <w:t>Figure</w:t>
      </w:r>
      <w:r w:rsidR="005B7E1F" w:rsidRPr="00857879">
        <w:rPr>
          <w:rFonts w:ascii="Times New Roman" w:hAnsi="Times New Roman" w:cs="Times New Roman"/>
          <w:b/>
          <w:bCs/>
          <w:lang w:val="en-GB"/>
        </w:rPr>
        <w:t xml:space="preserve"> S</w:t>
      </w:r>
      <w:r w:rsidR="002D7643" w:rsidRPr="00857879">
        <w:rPr>
          <w:rFonts w:ascii="Times New Roman" w:hAnsi="Times New Roman" w:cs="Times New Roman"/>
          <w:b/>
          <w:bCs/>
          <w:lang w:val="en-GB"/>
        </w:rPr>
        <w:t>2</w:t>
      </w:r>
      <w:r w:rsidR="005B7E1F" w:rsidRPr="00857879">
        <w:rPr>
          <w:rFonts w:ascii="Times New Roman" w:hAnsi="Times New Roman" w:cs="Times New Roman"/>
          <w:b/>
          <w:bCs/>
          <w:lang w:val="en-GB"/>
        </w:rPr>
        <w:t xml:space="preserve"> – Risk o</w:t>
      </w:r>
      <w:r w:rsidR="00554DE9" w:rsidRPr="00857879">
        <w:rPr>
          <w:rFonts w:ascii="Times New Roman" w:hAnsi="Times New Roman" w:cs="Times New Roman"/>
          <w:b/>
          <w:bCs/>
          <w:lang w:val="en-GB"/>
        </w:rPr>
        <w:t>f</w:t>
      </w:r>
      <w:r w:rsidR="005B7E1F" w:rsidRPr="00857879">
        <w:rPr>
          <w:rFonts w:ascii="Times New Roman" w:hAnsi="Times New Roman" w:cs="Times New Roman"/>
          <w:b/>
          <w:bCs/>
          <w:lang w:val="en-GB"/>
        </w:rPr>
        <w:t xml:space="preserve"> BIAS graph</w:t>
      </w:r>
    </w:p>
    <w:p w14:paraId="1DA22C89" w14:textId="672FCDA7" w:rsidR="002D7643" w:rsidRPr="00154419" w:rsidRDefault="002D7643" w:rsidP="005B7E1F">
      <w:pPr>
        <w:rPr>
          <w:rFonts w:ascii="Times New Roman" w:hAnsi="Times New Roman" w:cs="Times New Roman"/>
          <w:noProof/>
          <w:lang w:val="en-GB"/>
        </w:rPr>
      </w:pPr>
      <w:r w:rsidRPr="00154419">
        <w:rPr>
          <w:rFonts w:ascii="Times New Roman" w:hAnsi="Times New Roman" w:cs="Times New Roman"/>
          <w:noProof/>
          <w:lang w:val="en-GB"/>
        </w:rPr>
        <w:drawing>
          <wp:inline distT="0" distB="0" distL="0" distR="0" wp14:anchorId="2CF01DC7" wp14:editId="05E55425">
            <wp:extent cx="6120130" cy="252285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2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16D24" w14:textId="493E1A82" w:rsidR="002D7643" w:rsidRPr="00154419" w:rsidRDefault="002D7643" w:rsidP="002D7643">
      <w:pPr>
        <w:rPr>
          <w:rFonts w:ascii="Times New Roman" w:hAnsi="Times New Roman" w:cs="Times New Roman"/>
          <w:noProof/>
          <w:lang w:val="en-GB"/>
        </w:rPr>
      </w:pPr>
    </w:p>
    <w:p w14:paraId="6E8BC3D7" w14:textId="02E50E6A" w:rsidR="002D7643" w:rsidRPr="00154419" w:rsidRDefault="002D7643">
      <w:pPr>
        <w:spacing w:after="160"/>
        <w:rPr>
          <w:rFonts w:ascii="Times New Roman" w:hAnsi="Times New Roman" w:cs="Times New Roman"/>
          <w:lang w:val="en-GB"/>
        </w:rPr>
      </w:pPr>
      <w:r w:rsidRPr="00154419">
        <w:rPr>
          <w:rFonts w:ascii="Times New Roman" w:hAnsi="Times New Roman" w:cs="Times New Roman"/>
          <w:lang w:val="en-GB"/>
        </w:rPr>
        <w:br w:type="page"/>
      </w:r>
    </w:p>
    <w:p w14:paraId="716BFE9A" w14:textId="77777777" w:rsidR="002D7643" w:rsidRPr="00154419" w:rsidRDefault="002D7643" w:rsidP="002D7643">
      <w:pPr>
        <w:rPr>
          <w:rFonts w:ascii="Times New Roman" w:hAnsi="Times New Roman" w:cs="Times New Roman"/>
          <w:lang w:val="en-GB"/>
        </w:rPr>
        <w:sectPr w:rsidR="002D7643" w:rsidRPr="00154419" w:rsidSect="00BD0676"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</w:p>
    <w:p w14:paraId="4834C4C2" w14:textId="37C18D5F" w:rsidR="0044548C" w:rsidRPr="00154419" w:rsidRDefault="0044548C" w:rsidP="002D7643">
      <w:pPr>
        <w:rPr>
          <w:rFonts w:ascii="Times New Roman" w:hAnsi="Times New Roman" w:cs="Times New Roman"/>
          <w:b/>
          <w:bCs/>
          <w:lang w:val="en-GB"/>
        </w:rPr>
      </w:pPr>
      <w:r w:rsidRPr="00154419">
        <w:rPr>
          <w:rFonts w:ascii="Times New Roman" w:hAnsi="Times New Roman" w:cs="Times New Roman"/>
          <w:b/>
          <w:bCs/>
          <w:lang w:val="en-GB"/>
        </w:rPr>
        <w:lastRenderedPageBreak/>
        <w:t xml:space="preserve">Figure </w:t>
      </w:r>
      <w:r w:rsidR="00BD6A97">
        <w:rPr>
          <w:rFonts w:ascii="Times New Roman" w:hAnsi="Times New Roman" w:cs="Times New Roman"/>
          <w:b/>
          <w:bCs/>
          <w:lang w:val="en-GB"/>
        </w:rPr>
        <w:t>S</w:t>
      </w:r>
      <w:r w:rsidR="00982BE0">
        <w:rPr>
          <w:rFonts w:ascii="Times New Roman" w:hAnsi="Times New Roman" w:cs="Times New Roman"/>
          <w:b/>
          <w:bCs/>
          <w:lang w:val="en-GB"/>
        </w:rPr>
        <w:t>3</w:t>
      </w:r>
      <w:r w:rsidRPr="00154419">
        <w:rPr>
          <w:rFonts w:ascii="Times New Roman" w:hAnsi="Times New Roman" w:cs="Times New Roman"/>
          <w:b/>
          <w:bCs/>
          <w:lang w:val="en-GB"/>
        </w:rPr>
        <w:t xml:space="preserve"> – SUCRAs for unselected PFS</w:t>
      </w:r>
    </w:p>
    <w:p w14:paraId="15386CB2" w14:textId="33807AC5" w:rsidR="0044548C" w:rsidRPr="00154419" w:rsidRDefault="003D0C4C" w:rsidP="002D7643">
      <w:pPr>
        <w:rPr>
          <w:rFonts w:ascii="Times New Roman" w:hAnsi="Times New Roman" w:cs="Times New Roman"/>
          <w:b/>
          <w:bCs/>
          <w:lang w:val="en-GB"/>
        </w:rPr>
      </w:pPr>
      <w:r>
        <w:rPr>
          <w:noProof/>
        </w:rPr>
        <w:drawing>
          <wp:inline distT="0" distB="0" distL="0" distR="0" wp14:anchorId="62F2A411" wp14:editId="3227D9A1">
            <wp:extent cx="4503420" cy="2583180"/>
            <wp:effectExtent l="0" t="0" r="11430" b="7620"/>
            <wp:docPr id="1" name="Grafico 1">
              <a:extLst xmlns:a="http://schemas.openxmlformats.org/drawingml/2006/main">
                <a:ext uri="{FF2B5EF4-FFF2-40B4-BE49-F238E27FC236}">
                  <a16:creationId xmlns:a16="http://schemas.microsoft.com/office/drawing/2014/main" id="{002DCF7D-9857-4495-A914-99A98711877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1E4F1C9" w14:textId="12932A72" w:rsidR="008A5B66" w:rsidRPr="00154419" w:rsidRDefault="005B56DA" w:rsidP="002D7643">
      <w:pPr>
        <w:rPr>
          <w:rFonts w:ascii="Times New Roman" w:hAnsi="Times New Roman" w:cs="Times New Roman"/>
          <w:lang w:val="en-GB"/>
        </w:rPr>
      </w:pPr>
      <w:r w:rsidRPr="00154419">
        <w:rPr>
          <w:rFonts w:ascii="Times New Roman" w:hAnsi="Times New Roman" w:cs="Times New Roman"/>
          <w:lang w:val="en-GB"/>
        </w:rPr>
        <w:t>Treatment</w:t>
      </w:r>
      <w:r w:rsidR="003D0C4C">
        <w:rPr>
          <w:rFonts w:ascii="Times New Roman" w:hAnsi="Times New Roman" w:cs="Times New Roman"/>
          <w:lang w:val="en-GB"/>
        </w:rPr>
        <w:t>s</w:t>
      </w:r>
      <w:r w:rsidRPr="00154419">
        <w:rPr>
          <w:rFonts w:ascii="Times New Roman" w:hAnsi="Times New Roman" w:cs="Times New Roman"/>
          <w:lang w:val="en-GB"/>
        </w:rPr>
        <w:t xml:space="preserve"> </w:t>
      </w:r>
      <w:r w:rsidR="003D0C4C">
        <w:rPr>
          <w:rFonts w:ascii="Times New Roman" w:hAnsi="Times New Roman" w:cs="Times New Roman"/>
          <w:lang w:val="en-GB"/>
        </w:rPr>
        <w:t>from the best to the worst</w:t>
      </w:r>
      <w:r w:rsidRPr="00154419">
        <w:rPr>
          <w:rFonts w:ascii="Times New Roman" w:hAnsi="Times New Roman" w:cs="Times New Roman"/>
          <w:lang w:val="en-GB"/>
        </w:rPr>
        <w:t xml:space="preserve">. For each treatment, in the horizontal axis is reported the position in the network, whereas in the vertical axis is reported </w:t>
      </w:r>
      <w:r w:rsidR="003D0C4C">
        <w:rPr>
          <w:rFonts w:ascii="Times New Roman" w:hAnsi="Times New Roman" w:cs="Times New Roman"/>
          <w:lang w:val="en-GB"/>
        </w:rPr>
        <w:t>the</w:t>
      </w:r>
      <w:r w:rsidRPr="00154419">
        <w:rPr>
          <w:rFonts w:ascii="Times New Roman" w:hAnsi="Times New Roman" w:cs="Times New Roman"/>
          <w:lang w:val="en-GB"/>
        </w:rPr>
        <w:t xml:space="preserve"> SUCRA.</w:t>
      </w:r>
    </w:p>
    <w:p w14:paraId="3956FC7A" w14:textId="77777777" w:rsidR="008A5B66" w:rsidRPr="00154419" w:rsidRDefault="008A5B66" w:rsidP="002D7643">
      <w:pPr>
        <w:rPr>
          <w:rFonts w:ascii="Times New Roman" w:hAnsi="Times New Roman" w:cs="Times New Roman"/>
          <w:b/>
          <w:bCs/>
          <w:lang w:val="en-GB"/>
        </w:rPr>
      </w:pPr>
    </w:p>
    <w:p w14:paraId="5C7F58DD" w14:textId="5820A30C" w:rsidR="00B715B7" w:rsidRPr="00154419" w:rsidRDefault="00B715B7" w:rsidP="002D7643">
      <w:pPr>
        <w:rPr>
          <w:rFonts w:ascii="Times New Roman" w:hAnsi="Times New Roman" w:cs="Times New Roman"/>
          <w:b/>
          <w:bCs/>
          <w:lang w:val="en-GB"/>
        </w:rPr>
      </w:pPr>
      <w:r w:rsidRPr="00154419">
        <w:rPr>
          <w:rFonts w:ascii="Times New Roman" w:hAnsi="Times New Roman" w:cs="Times New Roman"/>
          <w:b/>
          <w:bCs/>
          <w:lang w:val="en-GB"/>
        </w:rPr>
        <w:t xml:space="preserve">Figure </w:t>
      </w:r>
      <w:r w:rsidR="00982BE0">
        <w:rPr>
          <w:rFonts w:ascii="Times New Roman" w:hAnsi="Times New Roman" w:cs="Times New Roman"/>
          <w:b/>
          <w:bCs/>
          <w:lang w:val="en-GB"/>
        </w:rPr>
        <w:t>S4</w:t>
      </w:r>
      <w:r w:rsidRPr="00154419">
        <w:rPr>
          <w:rFonts w:ascii="Times New Roman" w:hAnsi="Times New Roman" w:cs="Times New Roman"/>
          <w:b/>
          <w:bCs/>
          <w:lang w:val="en-GB"/>
        </w:rPr>
        <w:t xml:space="preserve"> – Netleague for unselected PFS</w:t>
      </w:r>
    </w:p>
    <w:p w14:paraId="1028FAA9" w14:textId="5B5C7B08" w:rsidR="00B715B7" w:rsidRPr="00154419" w:rsidRDefault="00DA49BA" w:rsidP="002D7643">
      <w:pPr>
        <w:rPr>
          <w:rFonts w:ascii="Times New Roman" w:hAnsi="Times New Roman" w:cs="Times New Roman"/>
          <w:noProof/>
        </w:rPr>
      </w:pPr>
      <w:r w:rsidRPr="00DA49BA">
        <w:rPr>
          <w:noProof/>
        </w:rPr>
        <w:drawing>
          <wp:inline distT="0" distB="0" distL="0" distR="0" wp14:anchorId="78D3F503" wp14:editId="6F600226">
            <wp:extent cx="9071610" cy="1293495"/>
            <wp:effectExtent l="0" t="0" r="0" b="1905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1610" cy="129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6299A" w14:textId="1A5B1780" w:rsidR="00B715B7" w:rsidRPr="00154419" w:rsidRDefault="00B715B7" w:rsidP="00B715B7">
      <w:pPr>
        <w:rPr>
          <w:rFonts w:ascii="Times New Roman" w:hAnsi="Times New Roman" w:cs="Times New Roman"/>
          <w:noProof/>
        </w:rPr>
      </w:pPr>
    </w:p>
    <w:p w14:paraId="33A14631" w14:textId="60FCE055" w:rsidR="00B715B7" w:rsidRDefault="00B715B7" w:rsidP="00B715B7">
      <w:pPr>
        <w:jc w:val="both"/>
        <w:rPr>
          <w:rFonts w:ascii="Times New Roman" w:hAnsi="Times New Roman" w:cs="Times New Roman"/>
          <w:lang w:val="en-GB"/>
        </w:rPr>
      </w:pPr>
      <w:r w:rsidRPr="00154419">
        <w:rPr>
          <w:rFonts w:ascii="Times New Roman" w:hAnsi="Times New Roman" w:cs="Times New Roman"/>
          <w:lang w:val="en-GB"/>
        </w:rPr>
        <w:t>Netleague of PFS for unmutated and mutated IgVh patiens. The table shows the pair-wise comparisons for each treatment, with the hazard ratio and the credible interval (95%) for each comparison.</w:t>
      </w:r>
      <w:r w:rsidR="00AF68FF">
        <w:rPr>
          <w:rFonts w:ascii="Times New Roman" w:hAnsi="Times New Roman" w:cs="Times New Roman"/>
          <w:lang w:val="en-GB"/>
        </w:rPr>
        <w:t xml:space="preserve"> Treatments are sorted from the best to the worst.</w:t>
      </w:r>
    </w:p>
    <w:p w14:paraId="4F6B4982" w14:textId="77777777" w:rsidR="00A841A6" w:rsidRDefault="00A841A6" w:rsidP="00B715B7">
      <w:pPr>
        <w:jc w:val="both"/>
        <w:rPr>
          <w:rFonts w:ascii="Times New Roman" w:hAnsi="Times New Roman" w:cs="Times New Roman"/>
          <w:lang w:val="en-GB"/>
        </w:rPr>
      </w:pPr>
    </w:p>
    <w:p w14:paraId="285C68B7" w14:textId="053805BA" w:rsidR="00A841A6" w:rsidRPr="00154419" w:rsidRDefault="00A841A6" w:rsidP="00A841A6">
      <w:pPr>
        <w:rPr>
          <w:rFonts w:ascii="Times New Roman" w:hAnsi="Times New Roman" w:cs="Times New Roman"/>
          <w:b/>
          <w:bCs/>
          <w:noProof/>
          <w:lang w:val="en-GB"/>
        </w:rPr>
      </w:pPr>
      <w:r w:rsidRPr="00154419">
        <w:rPr>
          <w:rFonts w:ascii="Times New Roman" w:hAnsi="Times New Roman" w:cs="Times New Roman"/>
          <w:b/>
          <w:bCs/>
          <w:noProof/>
          <w:lang w:val="en-GB"/>
        </w:rPr>
        <w:t>Figure S</w:t>
      </w:r>
      <w:r w:rsidR="00982BE0">
        <w:rPr>
          <w:rFonts w:ascii="Times New Roman" w:hAnsi="Times New Roman" w:cs="Times New Roman"/>
          <w:b/>
          <w:bCs/>
          <w:noProof/>
          <w:lang w:val="en-GB"/>
        </w:rPr>
        <w:t>5</w:t>
      </w:r>
      <w:r w:rsidRPr="00154419">
        <w:rPr>
          <w:rFonts w:ascii="Times New Roman" w:hAnsi="Times New Roman" w:cs="Times New Roman"/>
          <w:b/>
          <w:bCs/>
          <w:noProof/>
          <w:lang w:val="en-GB"/>
        </w:rPr>
        <w:t xml:space="preserve"> – SUCRAs fon PFS in unmutated IgVh patients</w:t>
      </w:r>
    </w:p>
    <w:p w14:paraId="7C2A004E" w14:textId="766981B8" w:rsidR="00A841A6" w:rsidRPr="00154419" w:rsidRDefault="003D0C4C" w:rsidP="00A841A6">
      <w:pPr>
        <w:rPr>
          <w:rFonts w:ascii="Times New Roman" w:hAnsi="Times New Roman" w:cs="Times New Roman"/>
          <w:noProof/>
          <w:lang w:val="en-GB"/>
        </w:rPr>
      </w:pPr>
      <w:r>
        <w:rPr>
          <w:noProof/>
        </w:rPr>
        <w:lastRenderedPageBreak/>
        <w:drawing>
          <wp:inline distT="0" distB="0" distL="0" distR="0" wp14:anchorId="48A26E3F" wp14:editId="1A6C5136">
            <wp:extent cx="4572000" cy="2743200"/>
            <wp:effectExtent l="0" t="0" r="0" b="0"/>
            <wp:docPr id="20" name="Grafico 20">
              <a:extLst xmlns:a="http://schemas.openxmlformats.org/drawingml/2006/main">
                <a:ext uri="{FF2B5EF4-FFF2-40B4-BE49-F238E27FC236}">
                  <a16:creationId xmlns:a16="http://schemas.microsoft.com/office/drawing/2014/main" id="{CF07C5B5-47B7-4D1C-B025-A56E0EA19FC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793B38F" w14:textId="511FE7B8" w:rsidR="00A841A6" w:rsidRPr="00154419" w:rsidRDefault="00AF68FF" w:rsidP="00AF68FF">
      <w:pPr>
        <w:rPr>
          <w:rFonts w:ascii="Times New Roman" w:hAnsi="Times New Roman" w:cs="Times New Roman"/>
          <w:lang w:val="en-GB"/>
        </w:rPr>
      </w:pPr>
      <w:r w:rsidRPr="00154419">
        <w:rPr>
          <w:rFonts w:ascii="Times New Roman" w:hAnsi="Times New Roman" w:cs="Times New Roman"/>
          <w:lang w:val="en-GB"/>
        </w:rPr>
        <w:t>Treatment</w:t>
      </w:r>
      <w:r>
        <w:rPr>
          <w:rFonts w:ascii="Times New Roman" w:hAnsi="Times New Roman" w:cs="Times New Roman"/>
          <w:lang w:val="en-GB"/>
        </w:rPr>
        <w:t>s</w:t>
      </w:r>
      <w:r w:rsidRPr="00154419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>from the best to the worst</w:t>
      </w:r>
      <w:r w:rsidRPr="00154419">
        <w:rPr>
          <w:rFonts w:ascii="Times New Roman" w:hAnsi="Times New Roman" w:cs="Times New Roman"/>
          <w:lang w:val="en-GB"/>
        </w:rPr>
        <w:t xml:space="preserve">. For each treatment, in the horizontal axis is reported the position in the network, whereas in the vertical axis is reported </w:t>
      </w:r>
      <w:r>
        <w:rPr>
          <w:rFonts w:ascii="Times New Roman" w:hAnsi="Times New Roman" w:cs="Times New Roman"/>
          <w:lang w:val="en-GB"/>
        </w:rPr>
        <w:t>the</w:t>
      </w:r>
      <w:r w:rsidRPr="00154419">
        <w:rPr>
          <w:rFonts w:ascii="Times New Roman" w:hAnsi="Times New Roman" w:cs="Times New Roman"/>
          <w:lang w:val="en-GB"/>
        </w:rPr>
        <w:t xml:space="preserve"> SUCRA</w:t>
      </w:r>
    </w:p>
    <w:p w14:paraId="284A69A8" w14:textId="24266751" w:rsidR="00B715B7" w:rsidRPr="00154419" w:rsidRDefault="00B715B7" w:rsidP="00B715B7">
      <w:pPr>
        <w:jc w:val="both"/>
        <w:rPr>
          <w:rFonts w:ascii="Times New Roman" w:hAnsi="Times New Roman" w:cs="Times New Roman"/>
          <w:lang w:val="en-GB"/>
        </w:rPr>
      </w:pPr>
    </w:p>
    <w:p w14:paraId="03614EE2" w14:textId="2D4DFD6A" w:rsidR="00B715B7" w:rsidRPr="00154419" w:rsidRDefault="00B715B7" w:rsidP="00B715B7">
      <w:pPr>
        <w:jc w:val="both"/>
        <w:rPr>
          <w:rFonts w:ascii="Times New Roman" w:hAnsi="Times New Roman" w:cs="Times New Roman"/>
          <w:b/>
          <w:bCs/>
          <w:lang w:val="en-GB"/>
        </w:rPr>
      </w:pPr>
      <w:r w:rsidRPr="00154419">
        <w:rPr>
          <w:rFonts w:ascii="Times New Roman" w:hAnsi="Times New Roman" w:cs="Times New Roman"/>
          <w:b/>
          <w:bCs/>
          <w:lang w:val="en-GB"/>
        </w:rPr>
        <w:t>Figure S</w:t>
      </w:r>
      <w:r w:rsidR="00982BE0">
        <w:rPr>
          <w:rFonts w:ascii="Times New Roman" w:hAnsi="Times New Roman" w:cs="Times New Roman"/>
          <w:b/>
          <w:bCs/>
          <w:lang w:val="en-GB"/>
        </w:rPr>
        <w:t>6</w:t>
      </w:r>
      <w:r w:rsidRPr="00154419">
        <w:rPr>
          <w:rFonts w:ascii="Times New Roman" w:hAnsi="Times New Roman" w:cs="Times New Roman"/>
          <w:b/>
          <w:bCs/>
          <w:lang w:val="en-GB"/>
        </w:rPr>
        <w:t>– Netleague for PFS in ummutated IgVh patien</w:t>
      </w:r>
      <w:r w:rsidR="00FB636F" w:rsidRPr="00154419">
        <w:rPr>
          <w:rFonts w:ascii="Times New Roman" w:hAnsi="Times New Roman" w:cs="Times New Roman"/>
          <w:b/>
          <w:bCs/>
          <w:lang w:val="en-GB"/>
        </w:rPr>
        <w:t>t</w:t>
      </w:r>
      <w:r w:rsidRPr="00154419">
        <w:rPr>
          <w:rFonts w:ascii="Times New Roman" w:hAnsi="Times New Roman" w:cs="Times New Roman"/>
          <w:b/>
          <w:bCs/>
          <w:lang w:val="en-GB"/>
        </w:rPr>
        <w:t>s</w:t>
      </w:r>
    </w:p>
    <w:p w14:paraId="54D0B61D" w14:textId="549EB53D" w:rsidR="00B715B7" w:rsidRPr="00154419" w:rsidRDefault="00F45D8C" w:rsidP="00B715B7">
      <w:pPr>
        <w:jc w:val="both"/>
        <w:rPr>
          <w:rFonts w:ascii="Times New Roman" w:hAnsi="Times New Roman" w:cs="Times New Roman"/>
          <w:noProof/>
        </w:rPr>
      </w:pPr>
      <w:r w:rsidRPr="00F45D8C">
        <w:rPr>
          <w:noProof/>
        </w:rPr>
        <w:drawing>
          <wp:inline distT="0" distB="0" distL="0" distR="0" wp14:anchorId="4A3B1BF3" wp14:editId="6A726333">
            <wp:extent cx="9071610" cy="1292860"/>
            <wp:effectExtent l="0" t="0" r="0" b="2540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1610" cy="129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EEE9EF" w14:textId="6A6262EE" w:rsidR="00FB636F" w:rsidRDefault="00AF68FF" w:rsidP="00FB636F">
      <w:pPr>
        <w:rPr>
          <w:rFonts w:ascii="Times New Roman" w:hAnsi="Times New Roman" w:cs="Times New Roman"/>
          <w:lang w:val="en-GB"/>
        </w:rPr>
      </w:pPr>
      <w:r w:rsidRPr="00154419">
        <w:rPr>
          <w:rFonts w:ascii="Times New Roman" w:hAnsi="Times New Roman" w:cs="Times New Roman"/>
          <w:lang w:val="en-GB"/>
        </w:rPr>
        <w:t>The table shows the pair-wise comparisons for each treatment, with the hazard ratio and the credible interval (95%) for each comparison.</w:t>
      </w:r>
      <w:r>
        <w:rPr>
          <w:rFonts w:ascii="Times New Roman" w:hAnsi="Times New Roman" w:cs="Times New Roman"/>
          <w:lang w:val="en-GB"/>
        </w:rPr>
        <w:t xml:space="preserve"> Treatments are sorted from the best to the worst</w:t>
      </w:r>
    </w:p>
    <w:p w14:paraId="5B7A3394" w14:textId="77777777" w:rsidR="00AF68FF" w:rsidRPr="00857879" w:rsidRDefault="00AF68FF" w:rsidP="00FB636F">
      <w:pPr>
        <w:rPr>
          <w:rFonts w:ascii="Times New Roman" w:hAnsi="Times New Roman" w:cs="Times New Roman"/>
          <w:noProof/>
          <w:lang w:val="en-GB"/>
        </w:rPr>
      </w:pPr>
    </w:p>
    <w:p w14:paraId="575E89E3" w14:textId="1E40FDFE" w:rsidR="00A841A6" w:rsidRDefault="00A841A6" w:rsidP="00A841A6">
      <w:pPr>
        <w:rPr>
          <w:rFonts w:ascii="Times New Roman" w:hAnsi="Times New Roman" w:cs="Times New Roman"/>
          <w:b/>
          <w:bCs/>
          <w:lang w:val="en-GB"/>
        </w:rPr>
      </w:pPr>
      <w:r w:rsidRPr="00A841A6">
        <w:rPr>
          <w:rFonts w:ascii="Times New Roman" w:hAnsi="Times New Roman" w:cs="Times New Roman"/>
          <w:b/>
          <w:bCs/>
          <w:lang w:val="en-GB"/>
        </w:rPr>
        <w:t>Figure S</w:t>
      </w:r>
      <w:r w:rsidR="00982BE0">
        <w:rPr>
          <w:rFonts w:ascii="Times New Roman" w:hAnsi="Times New Roman" w:cs="Times New Roman"/>
          <w:b/>
          <w:bCs/>
          <w:lang w:val="en-GB"/>
        </w:rPr>
        <w:t>7</w:t>
      </w:r>
      <w:r>
        <w:rPr>
          <w:rFonts w:ascii="Times New Roman" w:hAnsi="Times New Roman" w:cs="Times New Roman"/>
          <w:b/>
          <w:bCs/>
          <w:lang w:val="en-GB"/>
        </w:rPr>
        <w:t xml:space="preserve"> – SUCRAs for PFS in mutated IgVh patients</w:t>
      </w:r>
    </w:p>
    <w:p w14:paraId="60DCBFA0" w14:textId="1FBC6556" w:rsidR="00A841A6" w:rsidRDefault="003D0C4C" w:rsidP="00A841A6">
      <w:pPr>
        <w:rPr>
          <w:rFonts w:ascii="Times New Roman" w:hAnsi="Times New Roman" w:cs="Times New Roman"/>
          <w:b/>
          <w:bCs/>
          <w:lang w:val="en-GB"/>
        </w:rPr>
      </w:pPr>
      <w:r>
        <w:rPr>
          <w:noProof/>
        </w:rPr>
        <w:lastRenderedPageBreak/>
        <w:drawing>
          <wp:inline distT="0" distB="0" distL="0" distR="0" wp14:anchorId="198850F0" wp14:editId="1D95BF9C">
            <wp:extent cx="4572000" cy="2743200"/>
            <wp:effectExtent l="0" t="0" r="0" b="0"/>
            <wp:docPr id="27" name="Grafico 27">
              <a:extLst xmlns:a="http://schemas.openxmlformats.org/drawingml/2006/main">
                <a:ext uri="{FF2B5EF4-FFF2-40B4-BE49-F238E27FC236}">
                  <a16:creationId xmlns:a16="http://schemas.microsoft.com/office/drawing/2014/main" id="{9BD2675E-DCBD-4657-9373-01276C28FCB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0FB04820" w14:textId="500969E4" w:rsidR="00A841A6" w:rsidRPr="00A841A6" w:rsidRDefault="00AF68FF" w:rsidP="00A841A6">
      <w:pPr>
        <w:rPr>
          <w:rFonts w:ascii="Times New Roman" w:hAnsi="Times New Roman" w:cs="Times New Roman"/>
          <w:b/>
          <w:bCs/>
          <w:lang w:val="en-GB"/>
        </w:rPr>
      </w:pPr>
      <w:r w:rsidRPr="00154419">
        <w:rPr>
          <w:rFonts w:ascii="Times New Roman" w:hAnsi="Times New Roman" w:cs="Times New Roman"/>
          <w:lang w:val="en-GB"/>
        </w:rPr>
        <w:t>Treatment</w:t>
      </w:r>
      <w:r>
        <w:rPr>
          <w:rFonts w:ascii="Times New Roman" w:hAnsi="Times New Roman" w:cs="Times New Roman"/>
          <w:lang w:val="en-GB"/>
        </w:rPr>
        <w:t>s</w:t>
      </w:r>
      <w:r w:rsidRPr="00154419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>from the best to the worst</w:t>
      </w:r>
      <w:r w:rsidRPr="00154419">
        <w:rPr>
          <w:rFonts w:ascii="Times New Roman" w:hAnsi="Times New Roman" w:cs="Times New Roman"/>
          <w:lang w:val="en-GB"/>
        </w:rPr>
        <w:t xml:space="preserve">. For each treatment, in the horizontal axis is reported the position in the network, whereas in the vertical axis is reported </w:t>
      </w:r>
      <w:r>
        <w:rPr>
          <w:rFonts w:ascii="Times New Roman" w:hAnsi="Times New Roman" w:cs="Times New Roman"/>
          <w:lang w:val="en-GB"/>
        </w:rPr>
        <w:t>the</w:t>
      </w:r>
      <w:r w:rsidRPr="00154419">
        <w:rPr>
          <w:rFonts w:ascii="Times New Roman" w:hAnsi="Times New Roman" w:cs="Times New Roman"/>
          <w:lang w:val="en-GB"/>
        </w:rPr>
        <w:t xml:space="preserve"> SUCRA</w:t>
      </w:r>
    </w:p>
    <w:p w14:paraId="78CBB5C9" w14:textId="77777777" w:rsidR="00A841A6" w:rsidRDefault="00A841A6" w:rsidP="00A841A6">
      <w:pPr>
        <w:rPr>
          <w:rFonts w:ascii="Times New Roman" w:hAnsi="Times New Roman" w:cs="Times New Roman"/>
          <w:b/>
          <w:bCs/>
          <w:lang w:val="en-GB"/>
        </w:rPr>
      </w:pPr>
    </w:p>
    <w:p w14:paraId="427D2E1B" w14:textId="77777777" w:rsidR="00A841A6" w:rsidRDefault="00A841A6" w:rsidP="00FB636F">
      <w:pPr>
        <w:rPr>
          <w:rFonts w:ascii="Times New Roman" w:hAnsi="Times New Roman" w:cs="Times New Roman"/>
          <w:b/>
          <w:bCs/>
          <w:lang w:val="en-GB"/>
        </w:rPr>
      </w:pPr>
    </w:p>
    <w:p w14:paraId="5FC80575" w14:textId="0872645A" w:rsidR="00FB636F" w:rsidRPr="00154419" w:rsidRDefault="00FB636F" w:rsidP="00FB636F">
      <w:pPr>
        <w:rPr>
          <w:rFonts w:ascii="Times New Roman" w:hAnsi="Times New Roman" w:cs="Times New Roman"/>
          <w:b/>
          <w:bCs/>
          <w:lang w:val="en-GB"/>
        </w:rPr>
      </w:pPr>
      <w:r w:rsidRPr="00154419">
        <w:rPr>
          <w:rFonts w:ascii="Times New Roman" w:hAnsi="Times New Roman" w:cs="Times New Roman"/>
          <w:b/>
          <w:bCs/>
          <w:lang w:val="en-GB"/>
        </w:rPr>
        <w:t>Figure S</w:t>
      </w:r>
      <w:r w:rsidR="00982BE0">
        <w:rPr>
          <w:rFonts w:ascii="Times New Roman" w:hAnsi="Times New Roman" w:cs="Times New Roman"/>
          <w:b/>
          <w:bCs/>
          <w:lang w:val="en-GB"/>
        </w:rPr>
        <w:t>8</w:t>
      </w:r>
      <w:r w:rsidRPr="00154419">
        <w:rPr>
          <w:rFonts w:ascii="Times New Roman" w:hAnsi="Times New Roman" w:cs="Times New Roman"/>
          <w:b/>
          <w:bCs/>
          <w:lang w:val="en-GB"/>
        </w:rPr>
        <w:t xml:space="preserve"> – Netleague for PFS in muted IgVh patients</w:t>
      </w:r>
    </w:p>
    <w:p w14:paraId="4225CDA5" w14:textId="2FB2C524" w:rsidR="00FB636F" w:rsidRPr="00154419" w:rsidRDefault="00F45D8C" w:rsidP="00FB636F">
      <w:pPr>
        <w:rPr>
          <w:rFonts w:ascii="Times New Roman" w:hAnsi="Times New Roman" w:cs="Times New Roman"/>
          <w:noProof/>
        </w:rPr>
      </w:pPr>
      <w:r w:rsidRPr="00F45D8C">
        <w:rPr>
          <w:noProof/>
        </w:rPr>
        <w:drawing>
          <wp:inline distT="0" distB="0" distL="0" distR="0" wp14:anchorId="515700A3" wp14:editId="71D605B8">
            <wp:extent cx="9071610" cy="1302385"/>
            <wp:effectExtent l="0" t="0" r="0" b="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1610" cy="130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06BB7" w14:textId="455BF4C4" w:rsidR="00A841A6" w:rsidRDefault="00AF68FF" w:rsidP="00FB636F">
      <w:pPr>
        <w:rPr>
          <w:rFonts w:ascii="Times New Roman" w:hAnsi="Times New Roman" w:cs="Times New Roman"/>
          <w:b/>
          <w:bCs/>
          <w:lang w:val="en-GB"/>
        </w:rPr>
      </w:pPr>
      <w:r w:rsidRPr="00154419">
        <w:rPr>
          <w:rFonts w:ascii="Times New Roman" w:hAnsi="Times New Roman" w:cs="Times New Roman"/>
          <w:lang w:val="en-GB"/>
        </w:rPr>
        <w:t>The table shows the pair-wise comparisons for each treatment, with the hazard ratio and the credible interval (95%) for each comparison.</w:t>
      </w:r>
      <w:r>
        <w:rPr>
          <w:rFonts w:ascii="Times New Roman" w:hAnsi="Times New Roman" w:cs="Times New Roman"/>
          <w:lang w:val="en-GB"/>
        </w:rPr>
        <w:t xml:space="preserve"> Treatments are sorted from the best to the worst</w:t>
      </w:r>
    </w:p>
    <w:p w14:paraId="6CD476CF" w14:textId="77777777" w:rsidR="00A841A6" w:rsidRDefault="00A841A6" w:rsidP="00FB636F">
      <w:pPr>
        <w:rPr>
          <w:rFonts w:ascii="Times New Roman" w:hAnsi="Times New Roman" w:cs="Times New Roman"/>
          <w:b/>
          <w:bCs/>
          <w:lang w:val="en-GB"/>
        </w:rPr>
      </w:pPr>
    </w:p>
    <w:p w14:paraId="06D785BB" w14:textId="25C0722F" w:rsidR="00FB636F" w:rsidRPr="00154419" w:rsidRDefault="00FB636F" w:rsidP="00FB636F">
      <w:pPr>
        <w:rPr>
          <w:rFonts w:ascii="Times New Roman" w:hAnsi="Times New Roman" w:cs="Times New Roman"/>
          <w:b/>
          <w:bCs/>
          <w:lang w:val="en-GB"/>
        </w:rPr>
      </w:pPr>
      <w:r w:rsidRPr="00154419">
        <w:rPr>
          <w:rFonts w:ascii="Times New Roman" w:hAnsi="Times New Roman" w:cs="Times New Roman"/>
          <w:b/>
          <w:bCs/>
          <w:lang w:val="en-GB"/>
        </w:rPr>
        <w:t>Figure S</w:t>
      </w:r>
      <w:r w:rsidR="008A39F5">
        <w:rPr>
          <w:rFonts w:ascii="Times New Roman" w:hAnsi="Times New Roman" w:cs="Times New Roman"/>
          <w:b/>
          <w:bCs/>
          <w:lang w:val="en-GB"/>
        </w:rPr>
        <w:t>9</w:t>
      </w:r>
      <w:r w:rsidRPr="00154419">
        <w:rPr>
          <w:rFonts w:ascii="Times New Roman" w:hAnsi="Times New Roman" w:cs="Times New Roman"/>
          <w:b/>
          <w:bCs/>
          <w:lang w:val="en-GB"/>
        </w:rPr>
        <w:t xml:space="preserve"> – network plot for tolerability </w:t>
      </w:r>
    </w:p>
    <w:p w14:paraId="1196328B" w14:textId="48123D9E" w:rsidR="00FB636F" w:rsidRDefault="00E2521C" w:rsidP="00FB636F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7ED2C045" wp14:editId="321667F1">
            <wp:extent cx="4480560" cy="3260619"/>
            <wp:effectExtent l="0" t="0" r="0" b="0"/>
            <wp:docPr id="22" name="Immagin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magine 2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4146" cy="3263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152991" w14:textId="512B2D37" w:rsidR="00746CF5" w:rsidRPr="00746CF5" w:rsidRDefault="00746CF5" w:rsidP="00FB636F">
      <w:pPr>
        <w:rPr>
          <w:rFonts w:ascii="Times New Roman" w:hAnsi="Times New Roman" w:cs="Times New Roman"/>
          <w:b/>
          <w:bCs/>
          <w:lang w:val="en-GB"/>
        </w:rPr>
      </w:pPr>
      <w:r w:rsidRPr="00746CF5">
        <w:rPr>
          <w:rFonts w:ascii="Times New Roman" w:hAnsi="Times New Roman" w:cs="Times New Roman"/>
          <w:b/>
          <w:bCs/>
          <w:lang w:val="en-GB"/>
        </w:rPr>
        <w:t>Figure S</w:t>
      </w:r>
      <w:r w:rsidR="008A39F5">
        <w:rPr>
          <w:rFonts w:ascii="Times New Roman" w:hAnsi="Times New Roman" w:cs="Times New Roman"/>
          <w:b/>
          <w:bCs/>
          <w:lang w:val="en-GB"/>
        </w:rPr>
        <w:t>10</w:t>
      </w:r>
      <w:r w:rsidRPr="00746CF5">
        <w:rPr>
          <w:rFonts w:ascii="Times New Roman" w:hAnsi="Times New Roman" w:cs="Times New Roman"/>
          <w:b/>
          <w:bCs/>
          <w:lang w:val="en-GB"/>
        </w:rPr>
        <w:t xml:space="preserve"> – SUCRAs for tolerability</w:t>
      </w:r>
    </w:p>
    <w:p w14:paraId="1DCF6CC4" w14:textId="66C258D3" w:rsidR="00746CF5" w:rsidRDefault="003D0C4C" w:rsidP="00FB636F">
      <w:pPr>
        <w:rPr>
          <w:rFonts w:ascii="Times New Roman" w:hAnsi="Times New Roman" w:cs="Times New Roman"/>
          <w:lang w:val="en-GB"/>
        </w:rPr>
      </w:pPr>
      <w:r>
        <w:rPr>
          <w:noProof/>
        </w:rPr>
        <w:lastRenderedPageBreak/>
        <w:drawing>
          <wp:inline distT="0" distB="0" distL="0" distR="0" wp14:anchorId="48D67B95" wp14:editId="674FD04E">
            <wp:extent cx="4853940" cy="2979420"/>
            <wp:effectExtent l="0" t="0" r="3810" b="11430"/>
            <wp:docPr id="28" name="Grafico 28">
              <a:extLst xmlns:a="http://schemas.openxmlformats.org/drawingml/2006/main">
                <a:ext uri="{FF2B5EF4-FFF2-40B4-BE49-F238E27FC236}">
                  <a16:creationId xmlns:a16="http://schemas.microsoft.com/office/drawing/2014/main" id="{C04C0C8C-2500-4CFA-9C74-D176F58EDD4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0B37EDD3" w14:textId="164E1BB6" w:rsidR="00746CF5" w:rsidRDefault="00AF68FF" w:rsidP="00FB636F">
      <w:pPr>
        <w:rPr>
          <w:rFonts w:ascii="Times New Roman" w:hAnsi="Times New Roman" w:cs="Times New Roman"/>
          <w:lang w:val="en-GB"/>
        </w:rPr>
      </w:pPr>
      <w:r w:rsidRPr="00154419">
        <w:rPr>
          <w:rFonts w:ascii="Times New Roman" w:hAnsi="Times New Roman" w:cs="Times New Roman"/>
          <w:lang w:val="en-GB"/>
        </w:rPr>
        <w:t>Treatment</w:t>
      </w:r>
      <w:r>
        <w:rPr>
          <w:rFonts w:ascii="Times New Roman" w:hAnsi="Times New Roman" w:cs="Times New Roman"/>
          <w:lang w:val="en-GB"/>
        </w:rPr>
        <w:t>s</w:t>
      </w:r>
      <w:r w:rsidRPr="00154419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>from the best to the worst</w:t>
      </w:r>
      <w:r w:rsidRPr="00154419">
        <w:rPr>
          <w:rFonts w:ascii="Times New Roman" w:hAnsi="Times New Roman" w:cs="Times New Roman"/>
          <w:lang w:val="en-GB"/>
        </w:rPr>
        <w:t xml:space="preserve">. For each treatment, in the horizontal axis is reported the position in the network, whereas in the vertical axis is reported </w:t>
      </w:r>
      <w:r>
        <w:rPr>
          <w:rFonts w:ascii="Times New Roman" w:hAnsi="Times New Roman" w:cs="Times New Roman"/>
          <w:lang w:val="en-GB"/>
        </w:rPr>
        <w:t>the</w:t>
      </w:r>
      <w:r w:rsidRPr="00154419">
        <w:rPr>
          <w:rFonts w:ascii="Times New Roman" w:hAnsi="Times New Roman" w:cs="Times New Roman"/>
          <w:lang w:val="en-GB"/>
        </w:rPr>
        <w:t xml:space="preserve"> SUCRA</w:t>
      </w:r>
    </w:p>
    <w:p w14:paraId="4D89CB4A" w14:textId="77777777" w:rsidR="00AF68FF" w:rsidRDefault="00AF68FF" w:rsidP="00FB636F">
      <w:pPr>
        <w:rPr>
          <w:rFonts w:ascii="Times New Roman" w:hAnsi="Times New Roman" w:cs="Times New Roman"/>
          <w:lang w:val="en-GB"/>
        </w:rPr>
      </w:pPr>
    </w:p>
    <w:p w14:paraId="7964EC3A" w14:textId="42369043" w:rsidR="00746CF5" w:rsidRPr="00746CF5" w:rsidRDefault="00746CF5" w:rsidP="00FB636F">
      <w:pPr>
        <w:rPr>
          <w:rFonts w:ascii="Times New Roman" w:hAnsi="Times New Roman" w:cs="Times New Roman"/>
          <w:b/>
          <w:bCs/>
          <w:lang w:val="en-GB"/>
        </w:rPr>
      </w:pPr>
      <w:r w:rsidRPr="00746CF5">
        <w:rPr>
          <w:rFonts w:ascii="Times New Roman" w:hAnsi="Times New Roman" w:cs="Times New Roman"/>
          <w:b/>
          <w:bCs/>
          <w:lang w:val="en-GB"/>
        </w:rPr>
        <w:t>Figure S1</w:t>
      </w:r>
      <w:r w:rsidR="008A39F5">
        <w:rPr>
          <w:rFonts w:ascii="Times New Roman" w:hAnsi="Times New Roman" w:cs="Times New Roman"/>
          <w:b/>
          <w:bCs/>
          <w:lang w:val="en-GB"/>
        </w:rPr>
        <w:t>1</w:t>
      </w:r>
      <w:r w:rsidRPr="00746CF5">
        <w:rPr>
          <w:rFonts w:ascii="Times New Roman" w:hAnsi="Times New Roman" w:cs="Times New Roman"/>
          <w:b/>
          <w:bCs/>
          <w:lang w:val="en-GB"/>
        </w:rPr>
        <w:t xml:space="preserve"> – Netleague for tolerability</w:t>
      </w:r>
    </w:p>
    <w:p w14:paraId="404E6133" w14:textId="4F56A859" w:rsidR="00746CF5" w:rsidRDefault="00D7598C" w:rsidP="00FB636F">
      <w:r w:rsidRPr="00D7598C">
        <w:rPr>
          <w:noProof/>
        </w:rPr>
        <w:drawing>
          <wp:inline distT="0" distB="0" distL="0" distR="0" wp14:anchorId="22CB85E3" wp14:editId="4DD79C5E">
            <wp:extent cx="9071610" cy="1760220"/>
            <wp:effectExtent l="0" t="0" r="0" b="0"/>
            <wp:docPr id="23" name="Immagin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1610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A00E4" w14:textId="6C455EC1" w:rsidR="00746CF5" w:rsidRPr="00746CF5" w:rsidRDefault="00AF68FF" w:rsidP="00746CF5">
      <w:pPr>
        <w:rPr>
          <w:rFonts w:ascii="Times New Roman" w:hAnsi="Times New Roman" w:cs="Times New Roman"/>
          <w:lang w:val="en-GB"/>
        </w:rPr>
      </w:pPr>
      <w:r w:rsidRPr="00154419">
        <w:rPr>
          <w:rFonts w:ascii="Times New Roman" w:hAnsi="Times New Roman" w:cs="Times New Roman"/>
          <w:lang w:val="en-GB"/>
        </w:rPr>
        <w:t xml:space="preserve">The table shows the pair-wise comparisons for each treatment, with the </w:t>
      </w:r>
      <w:r w:rsidR="00857879">
        <w:rPr>
          <w:rFonts w:ascii="Times New Roman" w:hAnsi="Times New Roman" w:cs="Times New Roman"/>
          <w:lang w:val="en-GB"/>
        </w:rPr>
        <w:t>risk ratio</w:t>
      </w:r>
      <w:r w:rsidRPr="00154419">
        <w:rPr>
          <w:rFonts w:ascii="Times New Roman" w:hAnsi="Times New Roman" w:cs="Times New Roman"/>
          <w:lang w:val="en-GB"/>
        </w:rPr>
        <w:t xml:space="preserve"> and the credible interval (95%) for each comparison.</w:t>
      </w:r>
      <w:r>
        <w:rPr>
          <w:rFonts w:ascii="Times New Roman" w:hAnsi="Times New Roman" w:cs="Times New Roman"/>
          <w:lang w:val="en-GB"/>
        </w:rPr>
        <w:t xml:space="preserve"> Treatments are sorted from the best to the worst</w:t>
      </w:r>
    </w:p>
    <w:p w14:paraId="7102C16E" w14:textId="11C38409" w:rsidR="00746CF5" w:rsidRDefault="00746CF5" w:rsidP="00746CF5">
      <w:pPr>
        <w:rPr>
          <w:rFonts w:ascii="Times New Roman" w:hAnsi="Times New Roman" w:cs="Times New Roman"/>
          <w:lang w:val="en-GB"/>
        </w:rPr>
      </w:pPr>
    </w:p>
    <w:p w14:paraId="14AD167A" w14:textId="2C1572F4" w:rsidR="00746CF5" w:rsidRPr="00E54650" w:rsidRDefault="00746CF5" w:rsidP="00746CF5">
      <w:pPr>
        <w:rPr>
          <w:rFonts w:ascii="Times New Roman" w:hAnsi="Times New Roman" w:cs="Times New Roman"/>
          <w:b/>
          <w:bCs/>
          <w:lang w:val="en-GB"/>
        </w:rPr>
      </w:pPr>
      <w:r w:rsidRPr="00E54650">
        <w:rPr>
          <w:rFonts w:ascii="Times New Roman" w:hAnsi="Times New Roman" w:cs="Times New Roman"/>
          <w:b/>
          <w:bCs/>
          <w:lang w:val="en-GB"/>
        </w:rPr>
        <w:lastRenderedPageBreak/>
        <w:t>Figure S1</w:t>
      </w:r>
      <w:r w:rsidR="006B18A0">
        <w:rPr>
          <w:rFonts w:ascii="Times New Roman" w:hAnsi="Times New Roman" w:cs="Times New Roman"/>
          <w:b/>
          <w:bCs/>
          <w:lang w:val="en-GB"/>
        </w:rPr>
        <w:t>2</w:t>
      </w:r>
      <w:r w:rsidRPr="00E54650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E54650" w:rsidRPr="00E54650">
        <w:rPr>
          <w:rFonts w:ascii="Times New Roman" w:hAnsi="Times New Roman" w:cs="Times New Roman"/>
          <w:b/>
          <w:bCs/>
          <w:lang w:val="en-GB"/>
        </w:rPr>
        <w:t>–</w:t>
      </w:r>
      <w:r w:rsidRPr="00E54650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E54650" w:rsidRPr="00E54650">
        <w:rPr>
          <w:rFonts w:ascii="Times New Roman" w:hAnsi="Times New Roman" w:cs="Times New Roman"/>
          <w:b/>
          <w:bCs/>
          <w:lang w:val="en-GB"/>
        </w:rPr>
        <w:t xml:space="preserve">SUCRAs for ORR </w:t>
      </w:r>
    </w:p>
    <w:p w14:paraId="77257E9F" w14:textId="5880F5C5" w:rsidR="00E54650" w:rsidRDefault="003D0C4C" w:rsidP="00746CF5">
      <w:pPr>
        <w:rPr>
          <w:noProof/>
        </w:rPr>
      </w:pPr>
      <w:r>
        <w:rPr>
          <w:noProof/>
        </w:rPr>
        <w:drawing>
          <wp:inline distT="0" distB="0" distL="0" distR="0" wp14:anchorId="66615BFC" wp14:editId="4012AF15">
            <wp:extent cx="4572000" cy="2743200"/>
            <wp:effectExtent l="0" t="0" r="0" b="0"/>
            <wp:docPr id="29" name="Grafico 29">
              <a:extLst xmlns:a="http://schemas.openxmlformats.org/drawingml/2006/main">
                <a:ext uri="{FF2B5EF4-FFF2-40B4-BE49-F238E27FC236}">
                  <a16:creationId xmlns:a16="http://schemas.microsoft.com/office/drawing/2014/main" id="{1274B37C-2328-4F61-8BF5-241020405AD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7BD25D00" w14:textId="136A2849" w:rsidR="00E54650" w:rsidRDefault="00AF68FF" w:rsidP="00E54650">
      <w:pPr>
        <w:rPr>
          <w:rFonts w:ascii="Times New Roman" w:hAnsi="Times New Roman" w:cs="Times New Roman"/>
          <w:lang w:val="en-GB"/>
        </w:rPr>
      </w:pPr>
      <w:r w:rsidRPr="00154419">
        <w:rPr>
          <w:rFonts w:ascii="Times New Roman" w:hAnsi="Times New Roman" w:cs="Times New Roman"/>
          <w:lang w:val="en-GB"/>
        </w:rPr>
        <w:t>Treatment</w:t>
      </w:r>
      <w:r>
        <w:rPr>
          <w:rFonts w:ascii="Times New Roman" w:hAnsi="Times New Roman" w:cs="Times New Roman"/>
          <w:lang w:val="en-GB"/>
        </w:rPr>
        <w:t>s</w:t>
      </w:r>
      <w:r w:rsidRPr="00154419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>from the best to the worst</w:t>
      </w:r>
      <w:r w:rsidRPr="00154419">
        <w:rPr>
          <w:rFonts w:ascii="Times New Roman" w:hAnsi="Times New Roman" w:cs="Times New Roman"/>
          <w:lang w:val="en-GB"/>
        </w:rPr>
        <w:t xml:space="preserve">. For each treatment, in the horizontal axis is reported the position in the network, whereas in the vertical axis is reported </w:t>
      </w:r>
      <w:r>
        <w:rPr>
          <w:rFonts w:ascii="Times New Roman" w:hAnsi="Times New Roman" w:cs="Times New Roman"/>
          <w:lang w:val="en-GB"/>
        </w:rPr>
        <w:t>the</w:t>
      </w:r>
      <w:r w:rsidRPr="00154419">
        <w:rPr>
          <w:rFonts w:ascii="Times New Roman" w:hAnsi="Times New Roman" w:cs="Times New Roman"/>
          <w:lang w:val="en-GB"/>
        </w:rPr>
        <w:t xml:space="preserve"> SUCRA</w:t>
      </w:r>
    </w:p>
    <w:p w14:paraId="6A982DDE" w14:textId="77777777" w:rsidR="00AF68FF" w:rsidRPr="00AF68FF" w:rsidRDefault="00AF68FF" w:rsidP="00E54650">
      <w:pPr>
        <w:rPr>
          <w:noProof/>
          <w:lang w:val="en-GB"/>
        </w:rPr>
      </w:pPr>
    </w:p>
    <w:p w14:paraId="570213E5" w14:textId="518D3E55" w:rsidR="00E54650" w:rsidRPr="00E54650" w:rsidRDefault="00E54650" w:rsidP="00E54650">
      <w:pPr>
        <w:rPr>
          <w:rFonts w:ascii="Times New Roman" w:hAnsi="Times New Roman" w:cs="Times New Roman"/>
          <w:b/>
          <w:bCs/>
          <w:lang w:val="en-GB"/>
        </w:rPr>
      </w:pPr>
      <w:r w:rsidRPr="00E54650">
        <w:rPr>
          <w:rFonts w:ascii="Times New Roman" w:hAnsi="Times New Roman" w:cs="Times New Roman"/>
          <w:b/>
          <w:bCs/>
          <w:lang w:val="en-GB"/>
        </w:rPr>
        <w:t>Figure S1</w:t>
      </w:r>
      <w:r w:rsidR="006B18A0">
        <w:rPr>
          <w:rFonts w:ascii="Times New Roman" w:hAnsi="Times New Roman" w:cs="Times New Roman"/>
          <w:b/>
          <w:bCs/>
          <w:lang w:val="en-GB"/>
        </w:rPr>
        <w:t>3</w:t>
      </w:r>
      <w:r w:rsidRPr="00E54650">
        <w:rPr>
          <w:rFonts w:ascii="Times New Roman" w:hAnsi="Times New Roman" w:cs="Times New Roman"/>
          <w:b/>
          <w:bCs/>
          <w:lang w:val="en-GB"/>
        </w:rPr>
        <w:t xml:space="preserve"> – Netleague for ORR</w:t>
      </w:r>
    </w:p>
    <w:p w14:paraId="4D0C30B9" w14:textId="0D87BB55" w:rsidR="00E54650" w:rsidRDefault="00D7598C" w:rsidP="00E54650">
      <w:pPr>
        <w:rPr>
          <w:noProof/>
        </w:rPr>
      </w:pPr>
      <w:r w:rsidRPr="00D7598C">
        <w:rPr>
          <w:noProof/>
        </w:rPr>
        <w:drawing>
          <wp:inline distT="0" distB="0" distL="0" distR="0" wp14:anchorId="166322E7" wp14:editId="402D63F0">
            <wp:extent cx="9684440" cy="1424940"/>
            <wp:effectExtent l="0" t="0" r="0" b="3810"/>
            <wp:docPr id="24" name="Immagin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9073" cy="1425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732AE" w14:textId="32BDA49A" w:rsidR="0094419F" w:rsidRPr="0094419F" w:rsidRDefault="00AF68FF" w:rsidP="0094419F">
      <w:pPr>
        <w:rPr>
          <w:rFonts w:ascii="Times New Roman" w:hAnsi="Times New Roman" w:cs="Times New Roman"/>
          <w:lang w:val="en-GB"/>
        </w:rPr>
      </w:pPr>
      <w:r w:rsidRPr="00154419">
        <w:rPr>
          <w:rFonts w:ascii="Times New Roman" w:hAnsi="Times New Roman" w:cs="Times New Roman"/>
          <w:lang w:val="en-GB"/>
        </w:rPr>
        <w:t xml:space="preserve">The table shows the pair-wise comparisons for each treatment, with the </w:t>
      </w:r>
      <w:r w:rsidR="00857879">
        <w:rPr>
          <w:rFonts w:ascii="Times New Roman" w:hAnsi="Times New Roman" w:cs="Times New Roman"/>
          <w:lang w:val="en-GB"/>
        </w:rPr>
        <w:t>Odds Ratio</w:t>
      </w:r>
      <w:r w:rsidRPr="00154419">
        <w:rPr>
          <w:rFonts w:ascii="Times New Roman" w:hAnsi="Times New Roman" w:cs="Times New Roman"/>
          <w:lang w:val="en-GB"/>
        </w:rPr>
        <w:t xml:space="preserve"> and the credible interval (95%) for each comparison.</w:t>
      </w:r>
      <w:r>
        <w:rPr>
          <w:rFonts w:ascii="Times New Roman" w:hAnsi="Times New Roman" w:cs="Times New Roman"/>
          <w:lang w:val="en-GB"/>
        </w:rPr>
        <w:t xml:space="preserve"> Treatments are sorted from the best to the worst</w:t>
      </w:r>
    </w:p>
    <w:p w14:paraId="1F04A101" w14:textId="609E1682" w:rsidR="0094419F" w:rsidRPr="00DF2F3C" w:rsidRDefault="0094419F" w:rsidP="0094419F">
      <w:pPr>
        <w:rPr>
          <w:b/>
          <w:bCs/>
          <w:noProof/>
          <w:lang w:val="en-GB"/>
        </w:rPr>
      </w:pPr>
      <w:r w:rsidRPr="00DF2F3C">
        <w:rPr>
          <w:b/>
          <w:bCs/>
          <w:noProof/>
          <w:lang w:val="en-GB"/>
        </w:rPr>
        <w:t>Figure S1</w:t>
      </w:r>
      <w:r w:rsidR="00770017">
        <w:rPr>
          <w:b/>
          <w:bCs/>
          <w:noProof/>
          <w:lang w:val="en-GB"/>
        </w:rPr>
        <w:t>4</w:t>
      </w:r>
      <w:r w:rsidRPr="00DF2F3C">
        <w:rPr>
          <w:b/>
          <w:bCs/>
          <w:noProof/>
          <w:lang w:val="en-GB"/>
        </w:rPr>
        <w:t xml:space="preserve"> </w:t>
      </w:r>
      <w:r w:rsidR="00DF2F3C" w:rsidRPr="00DF2F3C">
        <w:rPr>
          <w:b/>
          <w:bCs/>
          <w:noProof/>
          <w:lang w:val="en-GB"/>
        </w:rPr>
        <w:t>–</w:t>
      </w:r>
      <w:r w:rsidRPr="00DF2F3C">
        <w:rPr>
          <w:b/>
          <w:bCs/>
          <w:noProof/>
          <w:lang w:val="en-GB"/>
        </w:rPr>
        <w:t xml:space="preserve"> </w:t>
      </w:r>
      <w:r w:rsidR="00DF2F3C" w:rsidRPr="00DF2F3C">
        <w:rPr>
          <w:b/>
          <w:bCs/>
          <w:noProof/>
          <w:lang w:val="en-GB"/>
        </w:rPr>
        <w:t xml:space="preserve">Networkplot of MRD </w:t>
      </w:r>
    </w:p>
    <w:p w14:paraId="26E518A7" w14:textId="0B75C8B4" w:rsidR="00DF2F3C" w:rsidRPr="00DF2F3C" w:rsidRDefault="00E56D72" w:rsidP="0094419F">
      <w:pPr>
        <w:rPr>
          <w:noProof/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40A14ECC" wp14:editId="0C398E6B">
            <wp:extent cx="3612486" cy="2628900"/>
            <wp:effectExtent l="0" t="0" r="7620" b="0"/>
            <wp:docPr id="26" name="Immagin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magine 2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3616" cy="2636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DDD48" w14:textId="1A484CA5" w:rsidR="00DF2F3C" w:rsidRDefault="00770017" w:rsidP="0094419F">
      <w:pPr>
        <w:rPr>
          <w:rFonts w:ascii="Times New Roman" w:hAnsi="Times New Roman" w:cs="Times New Roman"/>
          <w:lang w:val="en-GB"/>
        </w:rPr>
      </w:pPr>
      <w:r w:rsidRPr="00770017">
        <w:rPr>
          <w:rFonts w:ascii="Times New Roman" w:hAnsi="Times New Roman" w:cs="Times New Roman"/>
          <w:b/>
          <w:bCs/>
          <w:lang w:val="en-GB"/>
        </w:rPr>
        <w:t>Figure S15 -</w:t>
      </w:r>
      <w:r>
        <w:rPr>
          <w:rFonts w:ascii="Times New Roman" w:hAnsi="Times New Roman" w:cs="Times New Roman"/>
          <w:lang w:val="en-GB"/>
        </w:rPr>
        <w:t xml:space="preserve"> </w:t>
      </w:r>
      <w:r w:rsidRPr="00E54650">
        <w:rPr>
          <w:rFonts w:ascii="Times New Roman" w:hAnsi="Times New Roman" w:cs="Times New Roman"/>
          <w:b/>
          <w:bCs/>
          <w:lang w:val="en-GB"/>
        </w:rPr>
        <w:t xml:space="preserve">SUCRAs for </w:t>
      </w:r>
      <w:r>
        <w:rPr>
          <w:rFonts w:ascii="Times New Roman" w:hAnsi="Times New Roman" w:cs="Times New Roman"/>
          <w:b/>
          <w:bCs/>
          <w:lang w:val="en-GB"/>
        </w:rPr>
        <w:t>MRD</w:t>
      </w:r>
    </w:p>
    <w:p w14:paraId="638396C7" w14:textId="49C159CD" w:rsidR="00770017" w:rsidRPr="007E7420" w:rsidRDefault="00770017" w:rsidP="0094419F">
      <w:pPr>
        <w:rPr>
          <w:rFonts w:ascii="Times New Roman" w:hAnsi="Times New Roman" w:cs="Times New Roman"/>
          <w:lang w:val="en-GB"/>
        </w:rPr>
      </w:pPr>
      <w:r w:rsidRPr="00770017">
        <w:rPr>
          <w:rFonts w:ascii="Times New Roman" w:hAnsi="Times New Roman" w:cs="Times New Roman"/>
          <w:noProof/>
        </w:rPr>
        <w:drawing>
          <wp:inline distT="0" distB="0" distL="0" distR="0" wp14:anchorId="199EF793" wp14:editId="028C7DAD">
            <wp:extent cx="5304436" cy="3188305"/>
            <wp:effectExtent l="0" t="0" r="0" b="0"/>
            <wp:docPr id="4" name="Immagine 3">
              <a:extLst xmlns:a="http://schemas.openxmlformats.org/drawingml/2006/main">
                <a:ext uri="{FF2B5EF4-FFF2-40B4-BE49-F238E27FC236}">
                  <a16:creationId xmlns:a16="http://schemas.microsoft.com/office/drawing/2014/main" id="{6BD4EC2E-34AF-4DDC-8089-C5A0A30C57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3">
                      <a:extLst>
                        <a:ext uri="{FF2B5EF4-FFF2-40B4-BE49-F238E27FC236}">
                          <a16:creationId xmlns:a16="http://schemas.microsoft.com/office/drawing/2014/main" id="{6BD4EC2E-34AF-4DDC-8089-C5A0A30C57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04436" cy="318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BB25A" w14:textId="6D5E9AEC" w:rsidR="00AF68FF" w:rsidRDefault="00AF68FF" w:rsidP="0094419F">
      <w:pPr>
        <w:rPr>
          <w:rFonts w:ascii="Times New Roman" w:hAnsi="Times New Roman" w:cs="Times New Roman"/>
          <w:lang w:val="en-GB"/>
        </w:rPr>
      </w:pPr>
      <w:r w:rsidRPr="00154419">
        <w:rPr>
          <w:rFonts w:ascii="Times New Roman" w:hAnsi="Times New Roman" w:cs="Times New Roman"/>
          <w:lang w:val="en-GB"/>
        </w:rPr>
        <w:lastRenderedPageBreak/>
        <w:t>Treatment</w:t>
      </w:r>
      <w:r>
        <w:rPr>
          <w:rFonts w:ascii="Times New Roman" w:hAnsi="Times New Roman" w:cs="Times New Roman"/>
          <w:lang w:val="en-GB"/>
        </w:rPr>
        <w:t>s</w:t>
      </w:r>
      <w:r w:rsidRPr="00154419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>from the best to the worst</w:t>
      </w:r>
      <w:r w:rsidRPr="00154419">
        <w:rPr>
          <w:rFonts w:ascii="Times New Roman" w:hAnsi="Times New Roman" w:cs="Times New Roman"/>
          <w:lang w:val="en-GB"/>
        </w:rPr>
        <w:t xml:space="preserve">. For each treatment, in the horizontal axis is reported the position in the network, whereas in the vertical axis is reported </w:t>
      </w:r>
      <w:r>
        <w:rPr>
          <w:rFonts w:ascii="Times New Roman" w:hAnsi="Times New Roman" w:cs="Times New Roman"/>
          <w:lang w:val="en-GB"/>
        </w:rPr>
        <w:t>the</w:t>
      </w:r>
      <w:r w:rsidRPr="00154419">
        <w:rPr>
          <w:rFonts w:ascii="Times New Roman" w:hAnsi="Times New Roman" w:cs="Times New Roman"/>
          <w:lang w:val="en-GB"/>
        </w:rPr>
        <w:t xml:space="preserve"> SUCRA</w:t>
      </w:r>
    </w:p>
    <w:p w14:paraId="616A3064" w14:textId="77777777" w:rsidR="00AF68FF" w:rsidRPr="00AF68FF" w:rsidRDefault="00AF68FF" w:rsidP="0094419F">
      <w:pPr>
        <w:rPr>
          <w:rFonts w:ascii="Times New Roman" w:hAnsi="Times New Roman" w:cs="Times New Roman"/>
          <w:lang w:val="en-GB"/>
        </w:rPr>
      </w:pPr>
    </w:p>
    <w:p w14:paraId="2FD1FF53" w14:textId="6B248413" w:rsidR="00DF2F3C" w:rsidRPr="0040726D" w:rsidRDefault="0040726D" w:rsidP="0094419F">
      <w:pPr>
        <w:rPr>
          <w:rFonts w:ascii="Times New Roman" w:hAnsi="Times New Roman" w:cs="Times New Roman"/>
          <w:b/>
          <w:bCs/>
          <w:lang w:val="en-GB"/>
        </w:rPr>
      </w:pPr>
      <w:r w:rsidRPr="0040726D">
        <w:rPr>
          <w:rFonts w:ascii="Times New Roman" w:hAnsi="Times New Roman" w:cs="Times New Roman"/>
          <w:b/>
          <w:bCs/>
          <w:lang w:val="en-GB"/>
        </w:rPr>
        <w:t>Figure S1</w:t>
      </w:r>
      <w:r w:rsidR="00770017">
        <w:rPr>
          <w:rFonts w:ascii="Times New Roman" w:hAnsi="Times New Roman" w:cs="Times New Roman"/>
          <w:b/>
          <w:bCs/>
          <w:lang w:val="en-GB"/>
        </w:rPr>
        <w:t>6</w:t>
      </w:r>
      <w:r w:rsidRPr="0040726D">
        <w:rPr>
          <w:rFonts w:ascii="Times New Roman" w:hAnsi="Times New Roman" w:cs="Times New Roman"/>
          <w:b/>
          <w:bCs/>
          <w:lang w:val="en-GB"/>
        </w:rPr>
        <w:t xml:space="preserve"> – Netleague of MRD</w:t>
      </w:r>
    </w:p>
    <w:p w14:paraId="718DDDC5" w14:textId="5FD04387" w:rsidR="0040726D" w:rsidRDefault="00D7598C" w:rsidP="0094419F">
      <w:r w:rsidRPr="00D7598C">
        <w:rPr>
          <w:noProof/>
        </w:rPr>
        <w:drawing>
          <wp:inline distT="0" distB="0" distL="0" distR="0" wp14:anchorId="0554AA74" wp14:editId="01A02CC7">
            <wp:extent cx="9071610" cy="1169035"/>
            <wp:effectExtent l="0" t="0" r="0" b="0"/>
            <wp:docPr id="25" name="Immagin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1610" cy="116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F05FD" w14:textId="5C2D469C" w:rsidR="0040726D" w:rsidRPr="0040726D" w:rsidRDefault="00AF68FF" w:rsidP="0040726D">
      <w:pPr>
        <w:rPr>
          <w:rFonts w:ascii="Times New Roman" w:hAnsi="Times New Roman" w:cs="Times New Roman"/>
          <w:lang w:val="en-GB"/>
        </w:rPr>
      </w:pPr>
      <w:r w:rsidRPr="00154419">
        <w:rPr>
          <w:rFonts w:ascii="Times New Roman" w:hAnsi="Times New Roman" w:cs="Times New Roman"/>
          <w:lang w:val="en-GB"/>
        </w:rPr>
        <w:t xml:space="preserve">The table shows the pair-wise comparisons for each treatment, with the </w:t>
      </w:r>
      <w:r w:rsidR="00857879">
        <w:rPr>
          <w:rFonts w:ascii="Times New Roman" w:hAnsi="Times New Roman" w:cs="Times New Roman"/>
          <w:lang w:val="en-GB"/>
        </w:rPr>
        <w:t>Odds Ratio</w:t>
      </w:r>
      <w:r w:rsidRPr="00154419">
        <w:rPr>
          <w:rFonts w:ascii="Times New Roman" w:hAnsi="Times New Roman" w:cs="Times New Roman"/>
          <w:lang w:val="en-GB"/>
        </w:rPr>
        <w:t xml:space="preserve"> and the credible interval (95%) for each comparison.</w:t>
      </w:r>
      <w:r>
        <w:rPr>
          <w:rFonts w:ascii="Times New Roman" w:hAnsi="Times New Roman" w:cs="Times New Roman"/>
          <w:lang w:val="en-GB"/>
        </w:rPr>
        <w:t xml:space="preserve"> Treatments are sorted from the best to the worst</w:t>
      </w:r>
    </w:p>
    <w:p w14:paraId="0D7361E7" w14:textId="1E7F9B95" w:rsidR="0040726D" w:rsidRPr="00857879" w:rsidRDefault="0040726D" w:rsidP="0040726D">
      <w:pPr>
        <w:rPr>
          <w:lang w:val="en-GB"/>
        </w:rPr>
      </w:pPr>
    </w:p>
    <w:p w14:paraId="2080739B" w14:textId="2C5C9A53" w:rsidR="0040726D" w:rsidRPr="0040726D" w:rsidRDefault="0040726D" w:rsidP="0040726D">
      <w:pPr>
        <w:rPr>
          <w:rFonts w:ascii="Times New Roman" w:hAnsi="Times New Roman" w:cs="Times New Roman"/>
          <w:lang w:val="en-GB"/>
        </w:rPr>
      </w:pPr>
    </w:p>
    <w:sectPr w:rsidR="0040726D" w:rsidRPr="0040726D" w:rsidSect="002D7643"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6E2359" w14:textId="77777777" w:rsidR="00FA6DED" w:rsidRDefault="00FA6DED" w:rsidP="00805071">
      <w:pPr>
        <w:spacing w:line="240" w:lineRule="auto"/>
      </w:pPr>
      <w:r>
        <w:separator/>
      </w:r>
    </w:p>
  </w:endnote>
  <w:endnote w:type="continuationSeparator" w:id="0">
    <w:p w14:paraId="5CCAA05A" w14:textId="77777777" w:rsidR="00FA6DED" w:rsidRDefault="00FA6DED" w:rsidP="008050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AF8012" w14:textId="77777777" w:rsidR="00FA6DED" w:rsidRDefault="00FA6DED" w:rsidP="00805071">
      <w:pPr>
        <w:spacing w:line="240" w:lineRule="auto"/>
      </w:pPr>
      <w:r>
        <w:separator/>
      </w:r>
    </w:p>
  </w:footnote>
  <w:footnote w:type="continuationSeparator" w:id="0">
    <w:p w14:paraId="3AEE134B" w14:textId="77777777" w:rsidR="00FA6DED" w:rsidRDefault="00FA6DED" w:rsidP="0080507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676"/>
    <w:rsid w:val="000000F1"/>
    <w:rsid w:val="000024E0"/>
    <w:rsid w:val="000332B7"/>
    <w:rsid w:val="000452F2"/>
    <w:rsid w:val="00154419"/>
    <w:rsid w:val="00254890"/>
    <w:rsid w:val="002B2A58"/>
    <w:rsid w:val="002D7643"/>
    <w:rsid w:val="002E1423"/>
    <w:rsid w:val="00394A8E"/>
    <w:rsid w:val="003D0C4C"/>
    <w:rsid w:val="003F32B0"/>
    <w:rsid w:val="0040726D"/>
    <w:rsid w:val="0044548C"/>
    <w:rsid w:val="004506D4"/>
    <w:rsid w:val="004B4E37"/>
    <w:rsid w:val="004D70AC"/>
    <w:rsid w:val="004F1F25"/>
    <w:rsid w:val="004F52B0"/>
    <w:rsid w:val="005247A9"/>
    <w:rsid w:val="005356C4"/>
    <w:rsid w:val="00536B4B"/>
    <w:rsid w:val="005452F0"/>
    <w:rsid w:val="00554DE9"/>
    <w:rsid w:val="005B56DA"/>
    <w:rsid w:val="005B7E1F"/>
    <w:rsid w:val="005F4624"/>
    <w:rsid w:val="00634866"/>
    <w:rsid w:val="00641BB2"/>
    <w:rsid w:val="00644706"/>
    <w:rsid w:val="006B18A0"/>
    <w:rsid w:val="006B5447"/>
    <w:rsid w:val="006B67BE"/>
    <w:rsid w:val="00746CF5"/>
    <w:rsid w:val="00770017"/>
    <w:rsid w:val="007E7420"/>
    <w:rsid w:val="00805071"/>
    <w:rsid w:val="00857879"/>
    <w:rsid w:val="008851F4"/>
    <w:rsid w:val="008A39F5"/>
    <w:rsid w:val="008A5B66"/>
    <w:rsid w:val="0094419F"/>
    <w:rsid w:val="00982BE0"/>
    <w:rsid w:val="009F3329"/>
    <w:rsid w:val="00A841A6"/>
    <w:rsid w:val="00AA3354"/>
    <w:rsid w:val="00AF68FF"/>
    <w:rsid w:val="00B062A6"/>
    <w:rsid w:val="00B17F83"/>
    <w:rsid w:val="00B715B7"/>
    <w:rsid w:val="00BC268B"/>
    <w:rsid w:val="00BD0676"/>
    <w:rsid w:val="00BD6A97"/>
    <w:rsid w:val="00BE44E2"/>
    <w:rsid w:val="00C50EBA"/>
    <w:rsid w:val="00C91F99"/>
    <w:rsid w:val="00CF777D"/>
    <w:rsid w:val="00D11CCD"/>
    <w:rsid w:val="00D7598C"/>
    <w:rsid w:val="00DA49BA"/>
    <w:rsid w:val="00DB3E32"/>
    <w:rsid w:val="00DE42A7"/>
    <w:rsid w:val="00DF2F3C"/>
    <w:rsid w:val="00E2521C"/>
    <w:rsid w:val="00E54650"/>
    <w:rsid w:val="00E558FF"/>
    <w:rsid w:val="00E56D72"/>
    <w:rsid w:val="00F36B29"/>
    <w:rsid w:val="00F45D8C"/>
    <w:rsid w:val="00FA6DED"/>
    <w:rsid w:val="00FB636F"/>
    <w:rsid w:val="00FC5271"/>
    <w:rsid w:val="00FD0D64"/>
    <w:rsid w:val="00FF6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511D7"/>
  <w15:chartTrackingRefBased/>
  <w15:docId w15:val="{CF4E588F-9128-4706-826A-F5583E76C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D70AC"/>
    <w:pPr>
      <w:spacing w:after="0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Tabellasemplice-2">
    <w:name w:val="Plain Table 2"/>
    <w:basedOn w:val="Tabellanormale"/>
    <w:uiPriority w:val="42"/>
    <w:rsid w:val="00BD0676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Intestazione">
    <w:name w:val="header"/>
    <w:basedOn w:val="Normale"/>
    <w:link w:val="IntestazioneCarattere"/>
    <w:uiPriority w:val="99"/>
    <w:unhideWhenUsed/>
    <w:rsid w:val="00805071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05071"/>
  </w:style>
  <w:style w:type="paragraph" w:styleId="Pidipagina">
    <w:name w:val="footer"/>
    <w:basedOn w:val="Normale"/>
    <w:link w:val="PidipaginaCarattere"/>
    <w:uiPriority w:val="99"/>
    <w:unhideWhenUsed/>
    <w:rsid w:val="00805071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5071"/>
  </w:style>
  <w:style w:type="table" w:styleId="Tabellagriglia5scura-colore1">
    <w:name w:val="Grid Table 5 Dark Accent 1"/>
    <w:basedOn w:val="Tabellanormale"/>
    <w:uiPriority w:val="50"/>
    <w:rsid w:val="0085787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8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image" Target="media/image5.emf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image" Target="media/image11.emf"/><Relationship Id="rId7" Type="http://schemas.openxmlformats.org/officeDocument/2006/relationships/image" Target="media/image2.png"/><Relationship Id="rId12" Type="http://schemas.openxmlformats.org/officeDocument/2006/relationships/chart" Target="charts/chart3.xml"/><Relationship Id="rId17" Type="http://schemas.openxmlformats.org/officeDocument/2006/relationships/chart" Target="charts/chart5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emf"/><Relationship Id="rId5" Type="http://schemas.openxmlformats.org/officeDocument/2006/relationships/endnotes" Target="endnotes.xml"/><Relationship Id="rId15" Type="http://schemas.openxmlformats.org/officeDocument/2006/relationships/chart" Target="charts/chart4.xml"/><Relationship Id="rId23" Type="http://schemas.openxmlformats.org/officeDocument/2006/relationships/theme" Target="theme/theme1.xml"/><Relationship Id="rId10" Type="http://schemas.openxmlformats.org/officeDocument/2006/relationships/chart" Target="charts/chart2.xml"/><Relationship Id="rId19" Type="http://schemas.openxmlformats.org/officeDocument/2006/relationships/image" Target="media/image9.png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iuli\Desktop\LLC\CLL%20META%20STUDY\Prova\Riepilogo%20di%20tutti%20i%20SUCR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iuli\Desktop\LLC\CLL%20META%20STUDY\Prova\Riepilogo%20di%20tutti%20i%20SUCRA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iuli\Desktop\LLC\CLL%20META%20STUDY\Prova\Riepilogo%20di%20tutti%20i%20SUCRA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iuli\Desktop\LLC\CLL%20META%20STUDY\Prova\Riepilogo%20di%20tutti%20i%20SUCRA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iuli\Desktop\LLC\CLL%20META%20STUDY\Prova\Riepilogo%20di%20tutti%20i%20SUCRA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>
                <a:latin typeface="Times New Roman" panose="02020603050405020304" pitchFamily="18" charset="0"/>
                <a:cs typeface="Times New Roman" panose="02020603050405020304" pitchFamily="18" charset="0"/>
              </a:rPr>
              <a:t>SUCRA PFS unselected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Foglio1!$C$56</c:f>
              <c:strCache>
                <c:ptCount val="1"/>
                <c:pt idx="0">
                  <c:v>SUCRA PFS unselected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Foglio1!$A$57:$B$71</c:f>
              <c:multiLvlStrCache>
                <c:ptCount val="15"/>
                <c:lvl>
                  <c:pt idx="0">
                    <c:v>ACA-O</c:v>
                  </c:pt>
                  <c:pt idx="1">
                    <c:v>ACA</c:v>
                  </c:pt>
                  <c:pt idx="2">
                    <c:v>IBR-O</c:v>
                  </c:pt>
                  <c:pt idx="3">
                    <c:v>VEN-O</c:v>
                  </c:pt>
                  <c:pt idx="4">
                    <c:v>IBR</c:v>
                  </c:pt>
                  <c:pt idx="5">
                    <c:v>IBR-R</c:v>
                  </c:pt>
                  <c:pt idx="6">
                    <c:v>CHL-O</c:v>
                  </c:pt>
                  <c:pt idx="7">
                    <c:v>BR</c:v>
                  </c:pt>
                  <c:pt idx="8">
                    <c:v>FCR</c:v>
                  </c:pt>
                  <c:pt idx="9">
                    <c:v>CHL-R</c:v>
                  </c:pt>
                  <c:pt idx="10">
                    <c:v>CHL-OFA</c:v>
                  </c:pt>
                  <c:pt idx="11">
                    <c:v>ALEM</c:v>
                  </c:pt>
                  <c:pt idx="12">
                    <c:v>FLU-Cy</c:v>
                  </c:pt>
                  <c:pt idx="13">
                    <c:v>LEN</c:v>
                  </c:pt>
                  <c:pt idx="14">
                    <c:v>CHL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13</c:v>
                  </c:pt>
                  <c:pt idx="13">
                    <c:v>14</c:v>
                  </c:pt>
                  <c:pt idx="14">
                    <c:v>15</c:v>
                  </c:pt>
                </c:lvl>
              </c:multiLvlStrCache>
            </c:multiLvlStrRef>
          </c:cat>
          <c:val>
            <c:numRef>
              <c:f>Foglio1!$C$57:$C$71</c:f>
              <c:numCache>
                <c:formatCode>General</c:formatCode>
                <c:ptCount val="15"/>
                <c:pt idx="0">
                  <c:v>100</c:v>
                </c:pt>
                <c:pt idx="1">
                  <c:v>90.7</c:v>
                </c:pt>
                <c:pt idx="2">
                  <c:v>87.1</c:v>
                </c:pt>
                <c:pt idx="3">
                  <c:v>79.400000000000006</c:v>
                </c:pt>
                <c:pt idx="4">
                  <c:v>70.3</c:v>
                </c:pt>
                <c:pt idx="5">
                  <c:v>64.900000000000006</c:v>
                </c:pt>
                <c:pt idx="6">
                  <c:v>57.7</c:v>
                </c:pt>
                <c:pt idx="7">
                  <c:v>50</c:v>
                </c:pt>
                <c:pt idx="8">
                  <c:v>39.799999999999997</c:v>
                </c:pt>
                <c:pt idx="9">
                  <c:v>33.5</c:v>
                </c:pt>
                <c:pt idx="10">
                  <c:v>26.5</c:v>
                </c:pt>
                <c:pt idx="11">
                  <c:v>26</c:v>
                </c:pt>
                <c:pt idx="12">
                  <c:v>15.3</c:v>
                </c:pt>
                <c:pt idx="13">
                  <c:v>4.9000000000000004</c:v>
                </c:pt>
                <c:pt idx="14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966-4944-BCDB-8780D91D7601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678235744"/>
        <c:axId val="678236072"/>
      </c:barChart>
      <c:catAx>
        <c:axId val="678235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678236072"/>
        <c:crosses val="autoZero"/>
        <c:auto val="1"/>
        <c:lblAlgn val="ctr"/>
        <c:lblOffset val="100"/>
        <c:noMultiLvlLbl val="0"/>
      </c:catAx>
      <c:valAx>
        <c:axId val="67823607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6782357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it-IT">
                <a:latin typeface="Times New Roman" panose="02020603050405020304" pitchFamily="18" charset="0"/>
                <a:cs typeface="Times New Roman" panose="02020603050405020304" pitchFamily="18" charset="0"/>
              </a:rPr>
              <a:t>SUCRA PFS unmutated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Foglio1!$C$75</c:f>
              <c:strCache>
                <c:ptCount val="1"/>
                <c:pt idx="0">
                  <c:v>SUCRA PFS unmutated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Foglio1!$A$76:$B$88</c:f>
              <c:multiLvlStrCache>
                <c:ptCount val="13"/>
                <c:lvl>
                  <c:pt idx="0">
                    <c:v>ACA-O</c:v>
                  </c:pt>
                  <c:pt idx="1">
                    <c:v>ACA</c:v>
                  </c:pt>
                  <c:pt idx="2">
                    <c:v>IBR-O</c:v>
                  </c:pt>
                  <c:pt idx="3">
                    <c:v>VEN-O</c:v>
                  </c:pt>
                  <c:pt idx="4">
                    <c:v>IBR</c:v>
                  </c:pt>
                  <c:pt idx="5">
                    <c:v>IBR-R</c:v>
                  </c:pt>
                  <c:pt idx="6">
                    <c:v>CHL-O</c:v>
                  </c:pt>
                  <c:pt idx="7">
                    <c:v>BR</c:v>
                  </c:pt>
                  <c:pt idx="8">
                    <c:v>FCR</c:v>
                  </c:pt>
                  <c:pt idx="9">
                    <c:v>CHL-R</c:v>
                  </c:pt>
                  <c:pt idx="10">
                    <c:v>CHL-OFA</c:v>
                  </c:pt>
                  <c:pt idx="11">
                    <c:v>FLU-Cy</c:v>
                  </c:pt>
                  <c:pt idx="12">
                    <c:v>CHL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13</c:v>
                  </c:pt>
                </c:lvl>
              </c:multiLvlStrCache>
            </c:multiLvlStrRef>
          </c:cat>
          <c:val>
            <c:numRef>
              <c:f>Foglio1!$C$76:$C$88</c:f>
              <c:numCache>
                <c:formatCode>General</c:formatCode>
                <c:ptCount val="13"/>
                <c:pt idx="0">
                  <c:v>99.2</c:v>
                </c:pt>
                <c:pt idx="1">
                  <c:v>91.5</c:v>
                </c:pt>
                <c:pt idx="2">
                  <c:v>83.8</c:v>
                </c:pt>
                <c:pt idx="3">
                  <c:v>75.599999999999994</c:v>
                </c:pt>
                <c:pt idx="4">
                  <c:v>62.6</c:v>
                </c:pt>
                <c:pt idx="5">
                  <c:v>62.1</c:v>
                </c:pt>
                <c:pt idx="6">
                  <c:v>49.9</c:v>
                </c:pt>
                <c:pt idx="7">
                  <c:v>39.200000000000003</c:v>
                </c:pt>
                <c:pt idx="8">
                  <c:v>32.299999999999997</c:v>
                </c:pt>
                <c:pt idx="9">
                  <c:v>20.3</c:v>
                </c:pt>
                <c:pt idx="10">
                  <c:v>19.3</c:v>
                </c:pt>
                <c:pt idx="11">
                  <c:v>13.7</c:v>
                </c:pt>
                <c:pt idx="12">
                  <c:v>0.6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5CC-4A1F-88B7-5098A187B29A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93203344"/>
        <c:axId val="593204328"/>
      </c:barChart>
      <c:catAx>
        <c:axId val="593203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593204328"/>
        <c:crosses val="autoZero"/>
        <c:auto val="1"/>
        <c:lblAlgn val="ctr"/>
        <c:lblOffset val="100"/>
        <c:noMultiLvlLbl val="0"/>
      </c:catAx>
      <c:valAx>
        <c:axId val="593204328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5932033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>
                <a:latin typeface="Times New Roman" panose="02020603050405020304" pitchFamily="18" charset="0"/>
                <a:cs typeface="Times New Roman" panose="02020603050405020304" pitchFamily="18" charset="0"/>
              </a:rPr>
              <a:t>SUCRA PFS mutated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Foglio1!$C$94</c:f>
              <c:strCache>
                <c:ptCount val="1"/>
                <c:pt idx="0">
                  <c:v>SUCRA PFS mutated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Foglio1!$A$95:$B$107</c:f>
              <c:multiLvlStrCache>
                <c:ptCount val="13"/>
                <c:lvl>
                  <c:pt idx="0">
                    <c:v>ACA-O</c:v>
                  </c:pt>
                  <c:pt idx="1">
                    <c:v>IBR-O</c:v>
                  </c:pt>
                  <c:pt idx="2">
                    <c:v>VEN-O</c:v>
                  </c:pt>
                  <c:pt idx="3">
                    <c:v>ACA</c:v>
                  </c:pt>
                  <c:pt idx="4">
                    <c:v>CHL-O</c:v>
                  </c:pt>
                  <c:pt idx="5">
                    <c:v>IBR-R</c:v>
                  </c:pt>
                  <c:pt idx="6">
                    <c:v>IBR</c:v>
                  </c:pt>
                  <c:pt idx="7">
                    <c:v>FCR</c:v>
                  </c:pt>
                  <c:pt idx="8">
                    <c:v>CHL-R</c:v>
                  </c:pt>
                  <c:pt idx="9">
                    <c:v>BR</c:v>
                  </c:pt>
                  <c:pt idx="10">
                    <c:v>FLU-Cy</c:v>
                  </c:pt>
                  <c:pt idx="11">
                    <c:v>CHL-OFA</c:v>
                  </c:pt>
                  <c:pt idx="12">
                    <c:v>CHL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13</c:v>
                  </c:pt>
                </c:lvl>
              </c:multiLvlStrCache>
            </c:multiLvlStrRef>
          </c:cat>
          <c:val>
            <c:numRef>
              <c:f>Foglio1!$C$95:$C$107</c:f>
              <c:numCache>
                <c:formatCode>General</c:formatCode>
                <c:ptCount val="13"/>
                <c:pt idx="0">
                  <c:v>98.7</c:v>
                </c:pt>
                <c:pt idx="1">
                  <c:v>90.9</c:v>
                </c:pt>
                <c:pt idx="2">
                  <c:v>76.099999999999994</c:v>
                </c:pt>
                <c:pt idx="3">
                  <c:v>74.099999999999994</c:v>
                </c:pt>
                <c:pt idx="4">
                  <c:v>63.7</c:v>
                </c:pt>
                <c:pt idx="5">
                  <c:v>56.8</c:v>
                </c:pt>
                <c:pt idx="6">
                  <c:v>54.9</c:v>
                </c:pt>
                <c:pt idx="7">
                  <c:v>38.1</c:v>
                </c:pt>
                <c:pt idx="8">
                  <c:v>32.700000000000003</c:v>
                </c:pt>
                <c:pt idx="9">
                  <c:v>32</c:v>
                </c:pt>
                <c:pt idx="10">
                  <c:v>15.6</c:v>
                </c:pt>
                <c:pt idx="11">
                  <c:v>13.9</c:v>
                </c:pt>
                <c:pt idx="12">
                  <c:v>2.4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BD4-4711-81C8-D60D612293B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78260680"/>
        <c:axId val="678260352"/>
      </c:barChart>
      <c:catAx>
        <c:axId val="6782606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678260352"/>
        <c:crosses val="autoZero"/>
        <c:auto val="1"/>
        <c:lblAlgn val="ctr"/>
        <c:lblOffset val="100"/>
        <c:noMultiLvlLbl val="0"/>
      </c:catAx>
      <c:valAx>
        <c:axId val="67826035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6782606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it-IT">
                <a:latin typeface="Times New Roman" panose="02020603050405020304" pitchFamily="18" charset="0"/>
                <a:cs typeface="Times New Roman" panose="02020603050405020304" pitchFamily="18" charset="0"/>
              </a:rPr>
              <a:t>SUCRA Tollerability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plotArea>
      <c:layout>
        <c:manualLayout>
          <c:layoutTarget val="inner"/>
          <c:xMode val="edge"/>
          <c:yMode val="edge"/>
          <c:x val="7.9247594050743664E-2"/>
          <c:y val="0.16708333333333336"/>
          <c:w val="0.89019685039370078"/>
          <c:h val="0.5451312335958005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Foglio1!$C$1</c:f>
              <c:strCache>
                <c:ptCount val="1"/>
                <c:pt idx="0">
                  <c:v>SUCRA Tollerability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Foglio1!$A$2:$B$15</c:f>
              <c:multiLvlStrCache>
                <c:ptCount val="14"/>
                <c:lvl>
                  <c:pt idx="0">
                    <c:v>ACA</c:v>
                  </c:pt>
                  <c:pt idx="1">
                    <c:v>FLU-Cy</c:v>
                  </c:pt>
                  <c:pt idx="2">
                    <c:v>CHL-R</c:v>
                  </c:pt>
                  <c:pt idx="3">
                    <c:v>BR</c:v>
                  </c:pt>
                  <c:pt idx="4">
                    <c:v>CHL</c:v>
                  </c:pt>
                  <c:pt idx="5">
                    <c:v>FCR</c:v>
                  </c:pt>
                  <c:pt idx="6">
                    <c:v>IBR-R</c:v>
                  </c:pt>
                  <c:pt idx="7">
                    <c:v>CHL-OFA</c:v>
                  </c:pt>
                  <c:pt idx="8">
                    <c:v>IBR</c:v>
                  </c:pt>
                  <c:pt idx="9">
                    <c:v>ACA-O</c:v>
                  </c:pt>
                  <c:pt idx="10">
                    <c:v>CHL-O</c:v>
                  </c:pt>
                  <c:pt idx="11">
                    <c:v>VEN-O</c:v>
                  </c:pt>
                  <c:pt idx="12">
                    <c:v>LEN</c:v>
                  </c:pt>
                  <c:pt idx="13">
                    <c:v>IBR-O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13</c:v>
                  </c:pt>
                  <c:pt idx="13">
                    <c:v>14</c:v>
                  </c:pt>
                </c:lvl>
              </c:multiLvlStrCache>
            </c:multiLvlStrRef>
          </c:cat>
          <c:val>
            <c:numRef>
              <c:f>Foglio1!$C$2:$C$15</c:f>
              <c:numCache>
                <c:formatCode>General</c:formatCode>
                <c:ptCount val="14"/>
                <c:pt idx="0">
                  <c:v>100</c:v>
                </c:pt>
                <c:pt idx="1">
                  <c:v>92.3</c:v>
                </c:pt>
                <c:pt idx="2">
                  <c:v>84.6</c:v>
                </c:pt>
                <c:pt idx="3">
                  <c:v>76.900000000000006</c:v>
                </c:pt>
                <c:pt idx="4">
                  <c:v>69.3</c:v>
                </c:pt>
                <c:pt idx="5">
                  <c:v>61.5</c:v>
                </c:pt>
                <c:pt idx="6">
                  <c:v>53.8</c:v>
                </c:pt>
                <c:pt idx="7">
                  <c:v>45.9</c:v>
                </c:pt>
                <c:pt idx="8">
                  <c:v>38.700000000000003</c:v>
                </c:pt>
                <c:pt idx="9">
                  <c:v>27.1</c:v>
                </c:pt>
                <c:pt idx="10">
                  <c:v>26.7</c:v>
                </c:pt>
                <c:pt idx="11">
                  <c:v>15.4</c:v>
                </c:pt>
                <c:pt idx="12">
                  <c:v>7.7</c:v>
                </c:pt>
                <c:pt idx="1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6CC-427C-A6E3-22C35A6EAEC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61701968"/>
        <c:axId val="61703608"/>
      </c:barChart>
      <c:catAx>
        <c:axId val="617019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61703608"/>
        <c:crosses val="autoZero"/>
        <c:auto val="1"/>
        <c:lblAlgn val="ctr"/>
        <c:lblOffset val="100"/>
        <c:noMultiLvlLbl val="0"/>
      </c:catAx>
      <c:valAx>
        <c:axId val="61703608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6170196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it-IT">
                <a:latin typeface="Times New Roman" panose="02020603050405020304" pitchFamily="18" charset="0"/>
                <a:cs typeface="Times New Roman" panose="02020603050405020304" pitchFamily="18" charset="0"/>
              </a:rPr>
              <a:t>SUCRA ORR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it-IT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Foglio1!$C$20</c:f>
              <c:strCache>
                <c:ptCount val="1"/>
                <c:pt idx="0">
                  <c:v>SUCRA ORR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it-IT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Foglio1!$A$21:$B$36</c:f>
              <c:multiLvlStrCache>
                <c:ptCount val="16"/>
                <c:lvl>
                  <c:pt idx="0">
                    <c:v>VEN+O</c:v>
                  </c:pt>
                  <c:pt idx="1">
                    <c:v>ACA+O</c:v>
                  </c:pt>
                  <c:pt idx="2">
                    <c:v>IBR+O</c:v>
                  </c:pt>
                  <c:pt idx="3">
                    <c:v>ACA</c:v>
                  </c:pt>
                  <c:pt idx="4">
                    <c:v>IBR</c:v>
                  </c:pt>
                  <c:pt idx="5">
                    <c:v>VEN+IBR</c:v>
                  </c:pt>
                  <c:pt idx="6">
                    <c:v>Chl+Obi</c:v>
                  </c:pt>
                  <c:pt idx="7">
                    <c:v>IBR+R</c:v>
                  </c:pt>
                  <c:pt idx="8">
                    <c:v>CHL+R</c:v>
                  </c:pt>
                  <c:pt idx="9">
                    <c:v>ALEM</c:v>
                  </c:pt>
                  <c:pt idx="10">
                    <c:v>BR</c:v>
                  </c:pt>
                  <c:pt idx="11">
                    <c:v>CHL+OFA</c:v>
                  </c:pt>
                  <c:pt idx="12">
                    <c:v>FCR</c:v>
                  </c:pt>
                  <c:pt idx="13">
                    <c:v>CHL</c:v>
                  </c:pt>
                  <c:pt idx="14">
                    <c:v>FLU+CHY</c:v>
                  </c:pt>
                  <c:pt idx="15">
                    <c:v>LEN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13</c:v>
                  </c:pt>
                  <c:pt idx="13">
                    <c:v>14</c:v>
                  </c:pt>
                  <c:pt idx="14">
                    <c:v>15</c:v>
                  </c:pt>
                  <c:pt idx="15">
                    <c:v>16</c:v>
                  </c:pt>
                </c:lvl>
              </c:multiLvlStrCache>
            </c:multiLvlStrRef>
          </c:cat>
          <c:val>
            <c:numRef>
              <c:f>Foglio1!$C$21:$C$36</c:f>
              <c:numCache>
                <c:formatCode>General</c:formatCode>
                <c:ptCount val="16"/>
                <c:pt idx="0">
                  <c:v>100</c:v>
                </c:pt>
                <c:pt idx="1">
                  <c:v>93.3</c:v>
                </c:pt>
                <c:pt idx="2">
                  <c:v>86.7</c:v>
                </c:pt>
                <c:pt idx="3">
                  <c:v>80</c:v>
                </c:pt>
                <c:pt idx="4">
                  <c:v>73.3</c:v>
                </c:pt>
                <c:pt idx="5">
                  <c:v>66.7</c:v>
                </c:pt>
                <c:pt idx="6">
                  <c:v>60</c:v>
                </c:pt>
                <c:pt idx="7">
                  <c:v>53.3</c:v>
                </c:pt>
                <c:pt idx="8">
                  <c:v>43.6</c:v>
                </c:pt>
                <c:pt idx="9">
                  <c:v>43</c:v>
                </c:pt>
                <c:pt idx="10">
                  <c:v>33.299999999999997</c:v>
                </c:pt>
                <c:pt idx="11">
                  <c:v>26.7</c:v>
                </c:pt>
                <c:pt idx="12">
                  <c:v>20</c:v>
                </c:pt>
                <c:pt idx="13">
                  <c:v>12.3</c:v>
                </c:pt>
                <c:pt idx="14">
                  <c:v>6.7</c:v>
                </c:pt>
                <c:pt idx="1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FB1-4D84-AB72-81DD3F36D07B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49925528"/>
        <c:axId val="549928152"/>
      </c:barChart>
      <c:catAx>
        <c:axId val="5499255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549928152"/>
        <c:crosses val="autoZero"/>
        <c:auto val="1"/>
        <c:lblAlgn val="ctr"/>
        <c:lblOffset val="100"/>
        <c:noMultiLvlLbl val="0"/>
      </c:catAx>
      <c:valAx>
        <c:axId val="549928152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it-IT"/>
          </a:p>
        </c:txPr>
        <c:crossAx val="5499255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it-IT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11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Giulio Caridà</dc:creator>
  <cp:keywords/>
  <dc:description/>
  <cp:lastModifiedBy>Giulio Caridà</cp:lastModifiedBy>
  <cp:revision>31</cp:revision>
  <dcterms:created xsi:type="dcterms:W3CDTF">2021-12-14T19:34:00Z</dcterms:created>
  <dcterms:modified xsi:type="dcterms:W3CDTF">2022-03-12T09:36:00Z</dcterms:modified>
</cp:coreProperties>
</file>