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274" w:rsidRPr="006D7DDE" w:rsidRDefault="00772274" w:rsidP="00772274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napToGrid w:val="0"/>
          <w:color w:val="000000" w:themeColor="text1"/>
          <w:szCs w:val="21"/>
          <w:lang w:eastAsia="en-US" w:bidi="en-US"/>
        </w:rPr>
      </w:pPr>
      <w:r w:rsidRPr="006D7DDE">
        <w:rPr>
          <w:rFonts w:ascii="Times New Roman" w:hAnsi="Times New Roman" w:cs="Times New Roman"/>
          <w:b/>
          <w:snapToGrid w:val="0"/>
          <w:color w:val="000000" w:themeColor="text1"/>
          <w:szCs w:val="21"/>
          <w:lang w:eastAsia="en-US" w:bidi="en-US"/>
        </w:rPr>
        <w:t xml:space="preserve">Supplementary </w:t>
      </w:r>
      <w:r>
        <w:rPr>
          <w:rFonts w:ascii="Times New Roman" w:hAnsi="Times New Roman" w:cs="Times New Roman"/>
          <w:b/>
          <w:snapToGrid w:val="0"/>
          <w:color w:val="000000" w:themeColor="text1"/>
          <w:szCs w:val="21"/>
          <w:lang w:eastAsia="en-US" w:bidi="en-US"/>
        </w:rPr>
        <w:t>Figures To</w:t>
      </w:r>
    </w:p>
    <w:p w:rsidR="003B3154" w:rsidRDefault="003B3154"/>
    <w:p w:rsidR="00772274" w:rsidRDefault="00772274"/>
    <w:p w:rsidR="00772274" w:rsidRDefault="00772274" w:rsidP="00772274">
      <w:pPr>
        <w:pStyle w:val="MDPI17abstract"/>
        <w:spacing w:before="0" w:line="480" w:lineRule="auto"/>
        <w:ind w:left="0"/>
        <w:rPr>
          <w:rFonts w:ascii="Times New Roman" w:hAnsi="Times New Roman"/>
          <w:b/>
          <w:color w:val="000000" w:themeColor="text1"/>
          <w:sz w:val="28"/>
          <w:szCs w:val="20"/>
        </w:rPr>
      </w:pPr>
      <w:r w:rsidRPr="006D7DDE">
        <w:rPr>
          <w:rFonts w:ascii="Times New Roman" w:hAnsi="Times New Roman"/>
          <w:b/>
          <w:color w:val="000000" w:themeColor="text1"/>
          <w:sz w:val="28"/>
          <w:szCs w:val="20"/>
        </w:rPr>
        <w:t xml:space="preserve">Morphological physiological and transcriptional response to low nitrogen stress in </w:t>
      </w:r>
      <w:r w:rsidRPr="006D7DDE">
        <w:rPr>
          <w:rFonts w:ascii="Times New Roman" w:hAnsi="Times New Roman"/>
          <w:b/>
          <w:i/>
          <w:color w:val="000000" w:themeColor="text1"/>
          <w:sz w:val="28"/>
          <w:szCs w:val="20"/>
        </w:rPr>
        <w:t>Populus deltoides</w:t>
      </w:r>
      <w:r w:rsidRPr="006D7DDE">
        <w:rPr>
          <w:rFonts w:ascii="Times New Roman" w:hAnsi="Times New Roman"/>
          <w:b/>
          <w:color w:val="000000" w:themeColor="text1"/>
          <w:sz w:val="28"/>
          <w:szCs w:val="20"/>
        </w:rPr>
        <w:t xml:space="preserve"> Marsh. clones with</w:t>
      </w:r>
      <w:bookmarkStart w:id="0" w:name="OLE_LINK32"/>
      <w:bookmarkStart w:id="1" w:name="OLE_LINK52"/>
      <w:r w:rsidRPr="006D7DDE">
        <w:rPr>
          <w:rFonts w:ascii="Times New Roman" w:hAnsi="Times New Roman"/>
          <w:b/>
          <w:color w:val="000000" w:themeColor="text1"/>
          <w:sz w:val="28"/>
          <w:szCs w:val="20"/>
        </w:rPr>
        <w:t xml:space="preserve"> contrasting</w:t>
      </w:r>
      <w:bookmarkEnd w:id="0"/>
      <w:bookmarkEnd w:id="1"/>
      <w:r w:rsidRPr="006D7DDE">
        <w:rPr>
          <w:rFonts w:ascii="Times New Roman" w:hAnsi="Times New Roman"/>
          <w:b/>
          <w:color w:val="000000" w:themeColor="text1"/>
          <w:sz w:val="28"/>
          <w:szCs w:val="20"/>
        </w:rPr>
        <w:t xml:space="preserve"> nitrogen use efficiency</w:t>
      </w:r>
    </w:p>
    <w:p w:rsidR="00772274" w:rsidRPr="00772274" w:rsidRDefault="00772274" w:rsidP="00772274">
      <w:pPr>
        <w:rPr>
          <w:lang w:eastAsia="de-DE" w:bidi="en-US"/>
        </w:rPr>
      </w:pPr>
    </w:p>
    <w:p w:rsidR="00772274" w:rsidRPr="006D7DDE" w:rsidRDefault="00772274" w:rsidP="00772274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/>
          <w:szCs w:val="24"/>
        </w:rPr>
      </w:pPr>
      <w:r w:rsidRPr="006D7DDE">
        <w:rPr>
          <w:rFonts w:ascii="Times New Roman" w:hAnsi="Times New Roman" w:cs="Times New Roman"/>
          <w:color w:val="000000"/>
          <w:szCs w:val="24"/>
        </w:rPr>
        <w:t>Cun Chen</w:t>
      </w:r>
      <w:bookmarkStart w:id="2" w:name="OLE_LINK56"/>
      <w:bookmarkStart w:id="3" w:name="OLE_LINK57"/>
      <w:r w:rsidRPr="006D7DDE">
        <w:rPr>
          <w:rFonts w:ascii="Times New Roman" w:hAnsi="Times New Roman" w:cs="Times New Roman"/>
          <w:color w:val="000000"/>
          <w:szCs w:val="24"/>
          <w:vertAlign w:val="superscript"/>
        </w:rPr>
        <w:t xml:space="preserve"> 1</w:t>
      </w:r>
      <w:bookmarkEnd w:id="2"/>
      <w:bookmarkEnd w:id="3"/>
      <w:r w:rsidRPr="006D7DDE">
        <w:rPr>
          <w:rFonts w:ascii="Times New Roman" w:hAnsi="Times New Roman" w:cs="Times New Roman"/>
          <w:color w:val="000000"/>
          <w:szCs w:val="24"/>
          <w:vertAlign w:val="superscript"/>
        </w:rPr>
        <w:t xml:space="preserve">, 2 </w:t>
      </w:r>
      <w:r w:rsidRPr="006D7DDE">
        <w:rPr>
          <w:rFonts w:ascii="MS Gothic" w:hAnsi="MS Gothic" w:cs="MS Gothic"/>
          <w:color w:val="000000"/>
          <w:szCs w:val="24"/>
          <w:vertAlign w:val="superscript"/>
        </w:rPr>
        <w:t>✝</w:t>
      </w:r>
      <w:r w:rsidRPr="006D7DDE">
        <w:rPr>
          <w:rFonts w:ascii="Times New Roman" w:hAnsi="Times New Roman" w:cs="Times New Roman"/>
          <w:color w:val="000000"/>
          <w:szCs w:val="24"/>
        </w:rPr>
        <w:t>, Yanguang Chu</w:t>
      </w:r>
      <w:r w:rsidRPr="006D7DDE">
        <w:rPr>
          <w:rFonts w:ascii="Times New Roman" w:hAnsi="Times New Roman" w:cs="Times New Roman"/>
          <w:color w:val="000000"/>
          <w:szCs w:val="24"/>
          <w:vertAlign w:val="superscript"/>
        </w:rPr>
        <w:t xml:space="preserve"> 1, 2 </w:t>
      </w:r>
      <w:r w:rsidRPr="006D7DDE">
        <w:rPr>
          <w:rFonts w:ascii="MS Gothic" w:hAnsi="MS Gothic" w:cs="MS Gothic"/>
          <w:color w:val="000000"/>
          <w:szCs w:val="24"/>
          <w:vertAlign w:val="superscript"/>
        </w:rPr>
        <w:t>✝</w:t>
      </w:r>
      <w:r w:rsidRPr="006D7DDE">
        <w:rPr>
          <w:rFonts w:ascii="Times New Roman" w:hAnsi="Times New Roman" w:cs="Times New Roman"/>
          <w:color w:val="000000"/>
          <w:szCs w:val="24"/>
        </w:rPr>
        <w:t>, Qinjun Huang</w:t>
      </w:r>
      <w:r w:rsidRPr="006D7DDE">
        <w:rPr>
          <w:rFonts w:ascii="Times New Roman" w:hAnsi="Times New Roman" w:cs="Times New Roman"/>
          <w:color w:val="000000"/>
          <w:szCs w:val="24"/>
          <w:vertAlign w:val="superscript"/>
        </w:rPr>
        <w:t xml:space="preserve"> 1, 2</w:t>
      </w:r>
      <w:r w:rsidRPr="006D7DDE">
        <w:rPr>
          <w:rFonts w:ascii="Times New Roman" w:hAnsi="Times New Roman" w:cs="Times New Roman"/>
          <w:color w:val="000000"/>
          <w:szCs w:val="24"/>
        </w:rPr>
        <w:t>, Weixi Zhang</w:t>
      </w:r>
      <w:r w:rsidRPr="006D7DDE">
        <w:rPr>
          <w:rFonts w:ascii="Times New Roman" w:hAnsi="Times New Roman" w:cs="Times New Roman"/>
          <w:color w:val="000000"/>
          <w:szCs w:val="24"/>
          <w:vertAlign w:val="superscript"/>
        </w:rPr>
        <w:t xml:space="preserve"> 1, 2</w:t>
      </w:r>
      <w:r w:rsidRPr="006D7DDE">
        <w:rPr>
          <w:rFonts w:ascii="Times New Roman" w:hAnsi="Times New Roman" w:cs="Times New Roman"/>
          <w:color w:val="000000"/>
          <w:szCs w:val="24"/>
        </w:rPr>
        <w:t>, Changjun Ding</w:t>
      </w:r>
      <w:r w:rsidRPr="006D7DDE">
        <w:rPr>
          <w:rFonts w:ascii="Times New Roman" w:hAnsi="Times New Roman" w:cs="Times New Roman"/>
          <w:color w:val="000000"/>
          <w:szCs w:val="24"/>
          <w:vertAlign w:val="superscript"/>
        </w:rPr>
        <w:t xml:space="preserve"> 1, 2</w:t>
      </w:r>
      <w:r w:rsidRPr="006D7DDE">
        <w:rPr>
          <w:rFonts w:ascii="Times New Roman" w:hAnsi="Times New Roman" w:cs="Times New Roman"/>
          <w:color w:val="000000"/>
          <w:szCs w:val="24"/>
        </w:rPr>
        <w:t>, Jing Zhang</w:t>
      </w:r>
      <w:r w:rsidRPr="006D7DDE">
        <w:rPr>
          <w:rFonts w:ascii="Times New Roman" w:hAnsi="Times New Roman" w:cs="Times New Roman"/>
          <w:color w:val="000000"/>
          <w:szCs w:val="24"/>
          <w:vertAlign w:val="superscript"/>
        </w:rPr>
        <w:t xml:space="preserve"> 1, 2</w:t>
      </w:r>
      <w:r w:rsidRPr="006D7DDE">
        <w:rPr>
          <w:rFonts w:ascii="Times New Roman" w:hAnsi="Times New Roman" w:cs="Times New Roman"/>
          <w:color w:val="000000"/>
          <w:szCs w:val="24"/>
        </w:rPr>
        <w:t xml:space="preserve">, Bo Li </w:t>
      </w:r>
      <w:r w:rsidRPr="006D7DDE">
        <w:rPr>
          <w:rFonts w:ascii="Times New Roman" w:hAnsi="Times New Roman" w:cs="Times New Roman"/>
          <w:color w:val="000000"/>
          <w:szCs w:val="24"/>
          <w:vertAlign w:val="superscript"/>
        </w:rPr>
        <w:t>1, 2</w:t>
      </w:r>
      <w:r w:rsidRPr="006D7DDE">
        <w:rPr>
          <w:rFonts w:ascii="Times New Roman" w:hAnsi="Times New Roman" w:cs="Times New Roman"/>
          <w:color w:val="000000"/>
          <w:szCs w:val="24"/>
        </w:rPr>
        <w:t>, Tengqian Zhang</w:t>
      </w:r>
      <w:r w:rsidRPr="006D7DDE">
        <w:rPr>
          <w:rFonts w:ascii="Times New Roman" w:hAnsi="Times New Roman" w:cs="Times New Roman"/>
          <w:color w:val="000000"/>
          <w:szCs w:val="24"/>
          <w:vertAlign w:val="superscript"/>
        </w:rPr>
        <w:t xml:space="preserve"> 1, 2</w:t>
      </w:r>
      <w:r w:rsidRPr="006D7DDE">
        <w:rPr>
          <w:rFonts w:ascii="Times New Roman" w:hAnsi="Times New Roman" w:cs="Times New Roman"/>
          <w:color w:val="000000"/>
          <w:szCs w:val="24"/>
        </w:rPr>
        <w:t>, Zhenghong Li</w:t>
      </w:r>
      <w:r w:rsidRPr="006D7DDE">
        <w:rPr>
          <w:rFonts w:ascii="Times New Roman" w:hAnsi="Times New Roman" w:cs="Times New Roman"/>
          <w:color w:val="000000"/>
          <w:szCs w:val="24"/>
          <w:vertAlign w:val="superscript"/>
        </w:rPr>
        <w:t xml:space="preserve"> 1, 2</w:t>
      </w:r>
      <w:r w:rsidRPr="006D7DDE">
        <w:rPr>
          <w:rFonts w:ascii="Times New Roman" w:hAnsi="Times New Roman" w:cs="Times New Roman"/>
          <w:color w:val="000000"/>
          <w:szCs w:val="24"/>
        </w:rPr>
        <w:t>, Xiaohua Su</w:t>
      </w:r>
      <w:r w:rsidRPr="006D7DDE">
        <w:rPr>
          <w:rFonts w:ascii="Times New Roman" w:hAnsi="Times New Roman" w:cs="Times New Roman"/>
          <w:color w:val="000000"/>
          <w:szCs w:val="24"/>
          <w:vertAlign w:val="superscript"/>
        </w:rPr>
        <w:t xml:space="preserve"> 1, 2, 3,*</w:t>
      </w:r>
    </w:p>
    <w:p w:rsidR="00772274" w:rsidRPr="006D7DDE" w:rsidRDefault="00772274" w:rsidP="00772274">
      <w:pPr>
        <w:adjustRightInd w:val="0"/>
        <w:snapToGrid w:val="0"/>
        <w:spacing w:line="480" w:lineRule="auto"/>
        <w:rPr>
          <w:rFonts w:ascii="Times New Roman" w:hAnsi="Times New Roman" w:cs="Times New Roman"/>
          <w:lang w:eastAsia="de-DE" w:bidi="en-US"/>
        </w:rPr>
      </w:pPr>
    </w:p>
    <w:p w:rsidR="00772274" w:rsidRPr="006D7DDE" w:rsidRDefault="00772274" w:rsidP="00772274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/>
          <w:szCs w:val="24"/>
        </w:rPr>
      </w:pPr>
      <w:r w:rsidRPr="006D7DDE">
        <w:rPr>
          <w:rFonts w:ascii="Times New Roman" w:hAnsi="Times New Roman" w:cs="Times New Roman"/>
          <w:color w:val="000000"/>
          <w:szCs w:val="24"/>
          <w:vertAlign w:val="superscript"/>
        </w:rPr>
        <w:t xml:space="preserve">1 </w:t>
      </w:r>
      <w:r w:rsidRPr="006D7DDE">
        <w:rPr>
          <w:rFonts w:ascii="Times New Roman" w:hAnsi="Times New Roman" w:cs="Times New Roman"/>
          <w:color w:val="000000"/>
          <w:szCs w:val="24"/>
        </w:rPr>
        <w:t>State Key Laboratory of Tree Genetics and Breeding, Research Institute of Forestry, Chinese Academy of Forestry.</w:t>
      </w:r>
    </w:p>
    <w:p w:rsidR="00772274" w:rsidRPr="006D7DDE" w:rsidRDefault="00772274" w:rsidP="00772274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/>
          <w:szCs w:val="24"/>
        </w:rPr>
      </w:pPr>
      <w:r w:rsidRPr="006D7DDE">
        <w:rPr>
          <w:rFonts w:ascii="Times New Roman" w:hAnsi="Times New Roman" w:cs="Times New Roman"/>
          <w:color w:val="000000"/>
          <w:szCs w:val="24"/>
          <w:vertAlign w:val="superscript"/>
        </w:rPr>
        <w:t xml:space="preserve">2 </w:t>
      </w:r>
      <w:r w:rsidRPr="006D7DDE">
        <w:rPr>
          <w:rFonts w:ascii="Times New Roman" w:hAnsi="Times New Roman" w:cs="Times New Roman"/>
          <w:color w:val="000000"/>
          <w:szCs w:val="24"/>
        </w:rPr>
        <w:t>Key Laboratory of Tree Breeding and Cultivation, State Forestry and Grassland Administration, Beijing, China.</w:t>
      </w:r>
    </w:p>
    <w:p w:rsidR="00772274" w:rsidRPr="006D7DDE" w:rsidRDefault="00772274" w:rsidP="00772274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/>
          <w:szCs w:val="24"/>
        </w:rPr>
      </w:pPr>
      <w:r w:rsidRPr="006D7DDE">
        <w:rPr>
          <w:rFonts w:ascii="Times New Roman" w:hAnsi="Times New Roman" w:cs="Times New Roman"/>
          <w:color w:val="000000"/>
          <w:szCs w:val="24"/>
          <w:vertAlign w:val="superscript"/>
        </w:rPr>
        <w:t xml:space="preserve">3 </w:t>
      </w:r>
      <w:r w:rsidRPr="006D7DDE">
        <w:rPr>
          <w:rFonts w:ascii="Times New Roman" w:hAnsi="Times New Roman" w:cs="Times New Roman"/>
          <w:color w:val="000000"/>
          <w:szCs w:val="24"/>
        </w:rPr>
        <w:t>Co-Innovation Center for Sustainable Forestry in Southern China, Nanjing Forestry University, Nanjing, Jiangsu Province, China.</w:t>
      </w:r>
    </w:p>
    <w:p w:rsidR="00772274" w:rsidRPr="006D7DDE" w:rsidRDefault="00772274" w:rsidP="00772274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/>
          <w:sz w:val="16"/>
          <w:szCs w:val="24"/>
        </w:rPr>
      </w:pPr>
    </w:p>
    <w:p w:rsidR="00772274" w:rsidRDefault="00772274" w:rsidP="00772274">
      <w:pPr>
        <w:pStyle w:val="MDPI17abstract"/>
        <w:spacing w:before="0" w:line="480" w:lineRule="auto"/>
        <w:ind w:left="0"/>
        <w:rPr>
          <w:rFonts w:ascii="Times New Roman" w:hAnsi="Times New Roman"/>
          <w:snapToGrid w:val="0"/>
          <w:color w:val="000000" w:themeColor="text1"/>
          <w:sz w:val="21"/>
          <w:szCs w:val="28"/>
        </w:rPr>
      </w:pPr>
      <w:bookmarkStart w:id="4" w:name="_GoBack"/>
      <w:bookmarkEnd w:id="4"/>
      <w:r w:rsidRPr="006D7DDE">
        <w:rPr>
          <w:rFonts w:ascii="Segoe UI Symbol" w:hAnsi="Segoe UI Symbol" w:cs="Segoe UI Symbol"/>
          <w:snapToGrid w:val="0"/>
          <w:color w:val="000000" w:themeColor="text1"/>
          <w:sz w:val="21"/>
          <w:szCs w:val="28"/>
        </w:rPr>
        <w:t>✝</w:t>
      </w:r>
      <w:r w:rsidRPr="006D7DDE">
        <w:rPr>
          <w:rFonts w:ascii="Times New Roman" w:hAnsi="Times New Roman"/>
          <w:snapToGrid w:val="0"/>
          <w:color w:val="000000" w:themeColor="text1"/>
          <w:sz w:val="21"/>
          <w:szCs w:val="28"/>
        </w:rPr>
        <w:t xml:space="preserve"> These authors contributed equally to this work.</w:t>
      </w:r>
    </w:p>
    <w:p w:rsidR="00772274" w:rsidRPr="00772274" w:rsidRDefault="00772274" w:rsidP="00772274">
      <w:pPr>
        <w:rPr>
          <w:lang w:eastAsia="de-DE" w:bidi="en-US"/>
        </w:rPr>
      </w:pPr>
    </w:p>
    <w:p w:rsidR="00772274" w:rsidRDefault="00772274" w:rsidP="00772274">
      <w:pPr>
        <w:pStyle w:val="MDPI17abstract"/>
        <w:spacing w:before="0" w:line="480" w:lineRule="auto"/>
        <w:ind w:left="0"/>
        <w:rPr>
          <w:rFonts w:ascii="Times New Roman" w:hAnsi="Times New Roman"/>
          <w:snapToGrid w:val="0"/>
          <w:color w:val="000000" w:themeColor="text1"/>
          <w:sz w:val="21"/>
          <w:szCs w:val="28"/>
        </w:rPr>
      </w:pPr>
      <w:r w:rsidRPr="006D7DDE">
        <w:rPr>
          <w:rFonts w:ascii="Times New Roman" w:hAnsi="Times New Roman"/>
          <w:snapToGrid w:val="0"/>
          <w:color w:val="000000" w:themeColor="text1"/>
          <w:sz w:val="21"/>
          <w:szCs w:val="28"/>
        </w:rPr>
        <w:t xml:space="preserve">* Correspondence: </w:t>
      </w:r>
      <w:hyperlink r:id="rId6" w:history="1">
        <w:r w:rsidRPr="006D7DDE">
          <w:rPr>
            <w:rFonts w:ascii="Times New Roman" w:hAnsi="Times New Roman"/>
            <w:snapToGrid w:val="0"/>
            <w:sz w:val="21"/>
            <w:szCs w:val="28"/>
          </w:rPr>
          <w:t>suxh@caf.ac.cn</w:t>
        </w:r>
      </w:hyperlink>
      <w:r w:rsidRPr="006D7DDE">
        <w:rPr>
          <w:rFonts w:ascii="Times New Roman" w:hAnsi="Times New Roman"/>
          <w:snapToGrid w:val="0"/>
          <w:color w:val="000000" w:themeColor="text1"/>
          <w:sz w:val="21"/>
          <w:szCs w:val="28"/>
        </w:rPr>
        <w:t>; Tel.: 86-10-6288-9627</w:t>
      </w:r>
    </w:p>
    <w:p w:rsidR="00097CEF" w:rsidRPr="00097CEF" w:rsidRDefault="00097CEF" w:rsidP="00097CEF">
      <w:pPr>
        <w:rPr>
          <w:lang w:eastAsia="de-DE" w:bidi="en-US"/>
        </w:rPr>
      </w:pPr>
    </w:p>
    <w:p w:rsidR="00772274" w:rsidRDefault="00772274">
      <w:pPr>
        <w:sectPr w:rsidR="007722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72274" w:rsidRDefault="0025651B"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pt;height:259.8pt">
            <v:imagedata r:id="rId7" o:title="Figure S1"/>
          </v:shape>
        </w:pict>
      </w:r>
    </w:p>
    <w:p w:rsidR="00772274" w:rsidRDefault="00772274">
      <w:pPr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</w:pPr>
      <w:r w:rsidRPr="006D7DDE">
        <w:rPr>
          <w:rFonts w:ascii="Times New Roman" w:hAnsi="Times New Roman" w:cs="Times New Roman"/>
          <w:b/>
          <w:snapToGrid w:val="0"/>
          <w:color w:val="000000" w:themeColor="text1"/>
          <w:szCs w:val="21"/>
          <w:lang w:eastAsia="en-US" w:bidi="en-US"/>
        </w:rPr>
        <w:t>Figure S1.</w:t>
      </w:r>
      <w:r w:rsidRPr="006D7DDE"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t xml:space="preserve"> Transcriptome relationships among three biological replicates. A: N-efficient genotypes; C: N-inefficient genotypes. T0, T2, T4, and T6 represent 0, 5, 20, and 40 days of N treatment, respectively. LN: low N treatment.</w:t>
      </w:r>
    </w:p>
    <w:p w:rsidR="00772274" w:rsidRDefault="00772274">
      <w:pPr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sectPr w:rsidR="007722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72274" w:rsidRDefault="0025651B">
      <w:pPr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</w:pPr>
      <w:r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pict>
          <v:shape id="_x0000_i1026" type="#_x0000_t75" style="width:415.3pt;height:223.5pt">
            <v:imagedata r:id="rId8" o:title="Figure S2"/>
          </v:shape>
        </w:pict>
      </w:r>
    </w:p>
    <w:p w:rsidR="00772274" w:rsidRDefault="00772274">
      <w:pPr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sectPr w:rsidR="007722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7DDE">
        <w:rPr>
          <w:rFonts w:ascii="Times New Roman" w:hAnsi="Times New Roman" w:cs="Times New Roman"/>
          <w:b/>
          <w:snapToGrid w:val="0"/>
          <w:color w:val="000000" w:themeColor="text1"/>
          <w:szCs w:val="21"/>
          <w:lang w:eastAsia="en-US" w:bidi="en-US"/>
        </w:rPr>
        <w:t>Figure S2.</w:t>
      </w:r>
      <w:r w:rsidRPr="006D7DDE"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t xml:space="preserve"> Expression pattern analysis of genes in the ‘magenta’ module. Red: upregulated; blue: downregulated. A: N</w:t>
      </w:r>
      <w:r w:rsidRPr="006D7DDE"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noBreakHyphen/>
        <w:t>efficient genotypes; C: N-inefficient genotypes. T0, T2, T4, and T6 represent 0, 5, 20, and 40 days of N treatment, respectively. LN: low N treatment.</w:t>
      </w:r>
    </w:p>
    <w:p w:rsidR="00772274" w:rsidRDefault="0025651B">
      <w:pPr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</w:pPr>
      <w:r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pict>
          <v:shape id="_x0000_i1027" type="#_x0000_t75" style="width:411.25pt;height:539.7pt">
            <v:imagedata r:id="rId9" o:title="Figure S3"/>
          </v:shape>
        </w:pict>
      </w:r>
    </w:p>
    <w:p w:rsidR="00772274" w:rsidRDefault="00772274">
      <w:r w:rsidRPr="006D7DDE">
        <w:rPr>
          <w:rFonts w:ascii="Times New Roman" w:hAnsi="Times New Roman" w:cs="Times New Roman"/>
          <w:b/>
          <w:snapToGrid w:val="0"/>
          <w:color w:val="000000" w:themeColor="text1"/>
          <w:szCs w:val="21"/>
          <w:lang w:eastAsia="en-US" w:bidi="en-US"/>
        </w:rPr>
        <w:t>Figure S3.</w:t>
      </w:r>
      <w:r w:rsidRPr="006D7DDE"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t xml:space="preserve"> Expression of key genes in nitrogen metabolism in the leaves of genotypes A and C. (A), (B), (C), (D), (E), (F), (G) and (H) represent the expression trends of </w:t>
      </w:r>
      <w:r w:rsidRPr="006D7DDE">
        <w:rPr>
          <w:rFonts w:ascii="Times New Roman" w:hAnsi="Times New Roman" w:cs="Times New Roman"/>
          <w:i/>
          <w:snapToGrid w:val="0"/>
          <w:color w:val="000000" w:themeColor="text1"/>
          <w:szCs w:val="21"/>
          <w:lang w:eastAsia="en-US" w:bidi="en-US"/>
        </w:rPr>
        <w:t>NRT1;1</w:t>
      </w:r>
      <w:r w:rsidRPr="006D7DDE"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t xml:space="preserve">, </w:t>
      </w:r>
      <w:r w:rsidRPr="006D7DDE">
        <w:rPr>
          <w:rFonts w:ascii="Times New Roman" w:hAnsi="Times New Roman" w:cs="Times New Roman"/>
          <w:i/>
          <w:snapToGrid w:val="0"/>
          <w:color w:val="000000" w:themeColor="text1"/>
          <w:szCs w:val="21"/>
          <w:lang w:eastAsia="en-US" w:bidi="en-US"/>
        </w:rPr>
        <w:t>NRT1;2</w:t>
      </w:r>
      <w:r w:rsidRPr="006D7DDE"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t xml:space="preserve">, </w:t>
      </w:r>
      <w:r w:rsidRPr="006D7DDE">
        <w:rPr>
          <w:rFonts w:ascii="Times New Roman" w:hAnsi="Times New Roman" w:cs="Times New Roman"/>
          <w:i/>
          <w:snapToGrid w:val="0"/>
          <w:color w:val="000000" w:themeColor="text1"/>
          <w:szCs w:val="21"/>
          <w:lang w:eastAsia="en-US" w:bidi="en-US"/>
        </w:rPr>
        <w:t>AMT1;6</w:t>
      </w:r>
      <w:r w:rsidRPr="006D7DDE"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t xml:space="preserve">, </w:t>
      </w:r>
      <w:r w:rsidRPr="006D7DDE">
        <w:rPr>
          <w:rFonts w:ascii="Times New Roman" w:hAnsi="Times New Roman" w:cs="Times New Roman"/>
          <w:i/>
          <w:snapToGrid w:val="0"/>
          <w:color w:val="000000" w:themeColor="text1"/>
          <w:szCs w:val="21"/>
          <w:lang w:eastAsia="en-US" w:bidi="en-US"/>
        </w:rPr>
        <w:t>AMT2;1</w:t>
      </w:r>
      <w:r w:rsidRPr="006D7DDE"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t xml:space="preserve">, </w:t>
      </w:r>
      <w:r w:rsidRPr="006D7DDE">
        <w:rPr>
          <w:rFonts w:ascii="Times New Roman" w:hAnsi="Times New Roman" w:cs="Times New Roman"/>
          <w:i/>
          <w:snapToGrid w:val="0"/>
          <w:color w:val="000000" w:themeColor="text1"/>
          <w:szCs w:val="21"/>
          <w:lang w:eastAsia="en-US" w:bidi="en-US"/>
        </w:rPr>
        <w:t>NR</w:t>
      </w:r>
      <w:r w:rsidRPr="006D7DDE"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t xml:space="preserve">, </w:t>
      </w:r>
      <w:r w:rsidRPr="006D7DDE">
        <w:rPr>
          <w:rFonts w:ascii="Times New Roman" w:hAnsi="Times New Roman" w:cs="Times New Roman"/>
          <w:i/>
          <w:snapToGrid w:val="0"/>
          <w:color w:val="000000" w:themeColor="text1"/>
          <w:szCs w:val="21"/>
          <w:lang w:eastAsia="en-US" w:bidi="en-US"/>
        </w:rPr>
        <w:t>NiR</w:t>
      </w:r>
      <w:r w:rsidRPr="006D7DDE"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t xml:space="preserve">, </w:t>
      </w:r>
      <w:r w:rsidRPr="006D7DDE">
        <w:rPr>
          <w:rFonts w:ascii="Times New Roman" w:hAnsi="Times New Roman" w:cs="Times New Roman"/>
          <w:i/>
          <w:snapToGrid w:val="0"/>
          <w:color w:val="000000" w:themeColor="text1"/>
          <w:szCs w:val="21"/>
          <w:lang w:eastAsia="en-US" w:bidi="en-US"/>
        </w:rPr>
        <w:t>GS2,</w:t>
      </w:r>
      <w:r w:rsidRPr="006D7DDE"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t xml:space="preserve"> and </w:t>
      </w:r>
      <w:r w:rsidRPr="006D7DDE">
        <w:rPr>
          <w:rFonts w:ascii="Times New Roman" w:hAnsi="Times New Roman" w:cs="Times New Roman"/>
          <w:i/>
          <w:snapToGrid w:val="0"/>
          <w:color w:val="000000" w:themeColor="text1"/>
          <w:szCs w:val="21"/>
          <w:lang w:eastAsia="en-US" w:bidi="en-US"/>
        </w:rPr>
        <w:t>GDH2</w:t>
      </w:r>
      <w:r w:rsidRPr="006D7DDE">
        <w:rPr>
          <w:rFonts w:ascii="Times New Roman" w:hAnsi="Times New Roman" w:cs="Times New Roman"/>
          <w:snapToGrid w:val="0"/>
          <w:color w:val="000000" w:themeColor="text1"/>
          <w:szCs w:val="21"/>
          <w:lang w:eastAsia="en-US" w:bidi="en-US"/>
        </w:rPr>
        <w:t>, respectively. The columns represent the results of RNA sequencing, and the lines show the analysis results of qRT-PCR. Vertical bars indicate SDs (n = 3) in qRT-PCR analysis. A: N-efficient genotypes; C: N-inefficient genotypes.</w:t>
      </w:r>
    </w:p>
    <w:p w:rsidR="00772274" w:rsidRPr="00772274" w:rsidRDefault="00772274"/>
    <w:sectPr w:rsidR="00772274" w:rsidRPr="007722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2274" w:rsidRDefault="00772274" w:rsidP="00772274">
      <w:r>
        <w:separator/>
      </w:r>
    </w:p>
  </w:endnote>
  <w:endnote w:type="continuationSeparator" w:id="0">
    <w:p w:rsidR="00772274" w:rsidRDefault="00772274" w:rsidP="00772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2274" w:rsidRDefault="00772274" w:rsidP="00772274">
      <w:r>
        <w:separator/>
      </w:r>
    </w:p>
  </w:footnote>
  <w:footnote w:type="continuationSeparator" w:id="0">
    <w:p w:rsidR="00772274" w:rsidRDefault="00772274" w:rsidP="007722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81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A0tjQ0MzYzNjY1tDBX0lEKTi0uzszPAykwqgUAgkvCBiwAAAA="/>
  </w:docVars>
  <w:rsids>
    <w:rsidRoot w:val="00822E88"/>
    <w:rsid w:val="00040985"/>
    <w:rsid w:val="00097CEF"/>
    <w:rsid w:val="0025651B"/>
    <w:rsid w:val="003B3154"/>
    <w:rsid w:val="0059363E"/>
    <w:rsid w:val="00772274"/>
    <w:rsid w:val="00822E88"/>
    <w:rsid w:val="00892AAA"/>
    <w:rsid w:val="00A6786F"/>
    <w:rsid w:val="00F74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5:chartTrackingRefBased/>
  <w15:docId w15:val="{AA568D54-8CF4-4E93-9C92-F335D9D6E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22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2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22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2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2274"/>
    <w:rPr>
      <w:sz w:val="18"/>
      <w:szCs w:val="18"/>
    </w:rPr>
  </w:style>
  <w:style w:type="paragraph" w:customStyle="1" w:styleId="MDPI17abstract">
    <w:name w:val="MDPI_1.7_abstract"/>
    <w:basedOn w:val="a"/>
    <w:next w:val="a"/>
    <w:qFormat/>
    <w:rsid w:val="00772274"/>
    <w:pPr>
      <w:widowControl/>
      <w:adjustRightInd w:val="0"/>
      <w:snapToGrid w:val="0"/>
      <w:spacing w:before="240" w:line="260" w:lineRule="atLeast"/>
      <w:ind w:left="113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xh@caf.ac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274</Words>
  <Characters>1563</Characters>
  <Application>Microsoft Office Word</Application>
  <DocSecurity>0</DocSecurity>
  <Lines>13</Lines>
  <Paragraphs>3</Paragraphs>
  <ScaleCrop>false</ScaleCrop>
  <Company>微软中国</Company>
  <LinksUpToDate>false</LinksUpToDate>
  <CharactersWithSpaces>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cun</dc:creator>
  <cp:keywords/>
  <dc:description/>
  <cp:lastModifiedBy>微软用户</cp:lastModifiedBy>
  <cp:revision>6</cp:revision>
  <dcterms:created xsi:type="dcterms:W3CDTF">2020-11-27T08:26:00Z</dcterms:created>
  <dcterms:modified xsi:type="dcterms:W3CDTF">2021-01-17T07:23:00Z</dcterms:modified>
</cp:coreProperties>
</file>