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662BD" w14:textId="77777777" w:rsidR="00AF132D" w:rsidRDefault="00AF132D" w:rsidP="00AF132D">
      <w:pPr>
        <w:pStyle w:val="SMHeading"/>
        <w:spacing w:line="480" w:lineRule="auto"/>
      </w:pPr>
      <w:r>
        <w:t>Extended Data</w:t>
      </w:r>
    </w:p>
    <w:p w14:paraId="2486A0F6" w14:textId="23AED95A" w:rsidR="00AF132D" w:rsidRDefault="00AF132D" w:rsidP="00AF132D">
      <w:pPr>
        <w:pStyle w:val="SMHeading"/>
        <w:spacing w:line="480" w:lineRule="auto"/>
      </w:pPr>
      <w:r>
        <w:rPr>
          <w:noProof/>
        </w:rPr>
        <w:drawing>
          <wp:inline distT="0" distB="0" distL="0" distR="0" wp14:anchorId="0F03E081" wp14:editId="306EBF54">
            <wp:extent cx="5734050" cy="6610350"/>
            <wp:effectExtent l="0" t="0" r="0" b="0"/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661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9CEF6" w14:textId="77777777" w:rsidR="00AF132D" w:rsidRDefault="00AF132D" w:rsidP="00AF132D">
      <w:pPr>
        <w:pStyle w:val="SMHeading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Extended Data Fig. 1</w:t>
      </w:r>
    </w:p>
    <w:p w14:paraId="4DE5AC27" w14:textId="77777777" w:rsidR="00AF132D" w:rsidRDefault="00AF132D" w:rsidP="00AF132D">
      <w:pPr>
        <w:spacing w:line="48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lastRenderedPageBreak/>
        <w:t>a,</w:t>
      </w:r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Scores scatterplot of the PLS-DA model (neg. mode) for the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</w:rPr>
        <w:t xml:space="preserve"> knockout (KO) (A) and control (ctrl) (B) groups.</w:t>
      </w:r>
      <w:r>
        <w:rPr>
          <w:rFonts w:ascii="Times New Roman" w:hAnsi="Times New Roman" w:cs="Times New Roman"/>
          <w:b/>
          <w:bCs/>
        </w:rPr>
        <w:t xml:space="preserve"> b, </w:t>
      </w:r>
      <w:r>
        <w:rPr>
          <w:rFonts w:ascii="Times New Roman" w:hAnsi="Times New Roman" w:cs="Times New Roman"/>
        </w:rPr>
        <w:t xml:space="preserve">Volcano plot for group (B) vs group (A). The ranges of Y&gt;1.30 and X&gt;1 </w:t>
      </w:r>
      <w:proofErr w:type="gramStart"/>
      <w:r>
        <w:rPr>
          <w:rFonts w:ascii="Times New Roman" w:hAnsi="Times New Roman" w:cs="Times New Roman"/>
        </w:rPr>
        <w:t>were</w:t>
      </w:r>
      <w:proofErr w:type="gramEnd"/>
      <w:r>
        <w:rPr>
          <w:rFonts w:ascii="Times New Roman" w:hAnsi="Times New Roman" w:cs="Times New Roman"/>
        </w:rPr>
        <w:t xml:space="preserve"> significantly increased, while Y&gt;1.30 and X&lt;-1 were significantly decreased</w:t>
      </w:r>
      <w:r>
        <w:rPr>
          <w:rFonts w:ascii="Times New Roman" w:hAnsi="Times New Roman" w:cs="Times New Roman"/>
          <w:b/>
          <w:bCs/>
        </w:rPr>
        <w:t xml:space="preserve">. c, </w:t>
      </w:r>
      <w:r>
        <w:rPr>
          <w:rFonts w:ascii="Times New Roman" w:hAnsi="Times New Roman" w:cs="Times New Roman"/>
        </w:rPr>
        <w:t>Hierarchical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cluster analysis of significantly changed metabolites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</w:rPr>
        <w:t xml:space="preserve"> KO MCF7 cells,</w:t>
      </w:r>
      <w:r>
        <w:rPr>
          <w:rFonts w:ascii="Times New Roman" w:hAnsi="Times New Roman" w:cs="Times New Roman"/>
          <w:b/>
          <w:bCs/>
        </w:rPr>
        <w:t xml:space="preserve"> d, </w:t>
      </w:r>
      <w:r>
        <w:rPr>
          <w:rFonts w:ascii="Times New Roman" w:hAnsi="Times New Roman" w:cs="Times New Roman"/>
        </w:rPr>
        <w:t xml:space="preserve">Enrichment overview of the top 25 metabolic pathways in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</w:rPr>
        <w:t xml:space="preserve"> KO MCF7 cells.</w:t>
      </w:r>
      <w:r>
        <w:rPr>
          <w:rFonts w:ascii="Times New Roman" w:hAnsi="Times New Roman" w:cs="Times New Roman"/>
          <w:b/>
          <w:bCs/>
        </w:rPr>
        <w:t xml:space="preserve"> e, </w:t>
      </w:r>
      <w:r>
        <w:rPr>
          <w:rFonts w:ascii="Times New Roman" w:hAnsi="Times New Roman" w:cs="Times New Roman"/>
        </w:rPr>
        <w:t>Network diagram of enrichment analysis.</w:t>
      </w:r>
      <w:r>
        <w:rPr>
          <w:rFonts w:ascii="Times New Roman" w:hAnsi="Times New Roman" w:cs="Times New Roman"/>
          <w:b/>
          <w:bCs/>
        </w:rPr>
        <w:t xml:space="preserve"> f, </w:t>
      </w:r>
      <w:r>
        <w:rPr>
          <w:rFonts w:ascii="Times New Roman" w:hAnsi="Times New Roman" w:cs="Times New Roman"/>
        </w:rPr>
        <w:t xml:space="preserve">Western blot analysis of TCA cycle enzymes in MCF7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</w:rPr>
        <w:t xml:space="preserve"> KO14 cells.</w:t>
      </w:r>
    </w:p>
    <w:p w14:paraId="7F0A2683" w14:textId="7B0E38F1" w:rsidR="00AF132D" w:rsidRDefault="00AF132D" w:rsidP="00AF132D">
      <w:pPr>
        <w:pStyle w:val="SMHeading"/>
        <w:spacing w:line="480" w:lineRule="auto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22C87D8C" wp14:editId="0B7DFAE1">
            <wp:extent cx="5734050" cy="6905625"/>
            <wp:effectExtent l="0" t="0" r="0" b="9525"/>
            <wp:docPr id="6" name="Picture 6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690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46155" w14:textId="77777777" w:rsidR="00AF132D" w:rsidRDefault="00AF132D" w:rsidP="00AF132D">
      <w:pPr>
        <w:spacing w:line="480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2C6C987" w14:textId="77777777" w:rsidR="00AF132D" w:rsidRDefault="00AF132D" w:rsidP="00AF132D">
      <w:pPr>
        <w:spacing w:line="48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Extended Data Fig. 2. </w:t>
      </w:r>
    </w:p>
    <w:p w14:paraId="7F2E1D1A" w14:textId="77777777" w:rsidR="00AF132D" w:rsidRDefault="00AF132D" w:rsidP="00AF132D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lastRenderedPageBreak/>
        <w:t>a</w:t>
      </w:r>
      <w:r>
        <w:rPr>
          <w:rFonts w:ascii="Times New Roman" w:hAnsi="Times New Roman" w:cs="Times New Roman"/>
          <w:sz w:val="22"/>
          <w:szCs w:val="22"/>
        </w:rPr>
        <w:t xml:space="preserve">, Increased </w:t>
      </w:r>
      <w:r>
        <w:rPr>
          <w:rFonts w:ascii="Times New Roman" w:hAnsi="Times New Roman" w:cs="Times New Roman"/>
          <w:i/>
          <w:sz w:val="22"/>
          <w:szCs w:val="22"/>
        </w:rPr>
        <w:t xml:space="preserve">NUDT22 </w:t>
      </w:r>
      <w:r>
        <w:rPr>
          <w:rFonts w:ascii="Times New Roman" w:hAnsi="Times New Roman" w:cs="Times New Roman"/>
          <w:sz w:val="22"/>
          <w:szCs w:val="22"/>
        </w:rPr>
        <w:t>expression after glucose starvation (</w:t>
      </w:r>
      <w:r>
        <w:rPr>
          <w:rFonts w:ascii="Times New Roman" w:hAnsi="Times New Roman" w:cs="Times New Roman"/>
          <w:i/>
          <w:sz w:val="22"/>
          <w:szCs w:val="22"/>
        </w:rPr>
        <w:t xml:space="preserve">NUDT22 </w:t>
      </w:r>
      <w:r>
        <w:rPr>
          <w:rFonts w:ascii="Times New Roman" w:hAnsi="Times New Roman" w:cs="Times New Roman"/>
          <w:sz w:val="22"/>
          <w:szCs w:val="22"/>
        </w:rPr>
        <w:t xml:space="preserve">P=0.0082;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cMYC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 0.0021; </w:t>
      </w:r>
      <w:r>
        <w:rPr>
          <w:rFonts w:ascii="Times New Roman" w:hAnsi="Times New Roman" w:cs="Times New Roman"/>
          <w:i/>
          <w:sz w:val="22"/>
          <w:szCs w:val="22"/>
        </w:rPr>
        <w:t>GRP78</w:t>
      </w:r>
      <w:r>
        <w:rPr>
          <w:rFonts w:ascii="Times New Roman" w:hAnsi="Times New Roman" w:cs="Times New Roman"/>
          <w:sz w:val="22"/>
          <w:szCs w:val="22"/>
        </w:rPr>
        <w:t xml:space="preserve"> P=0.0006)</w:t>
      </w:r>
      <w:r>
        <w:rPr>
          <w:rFonts w:ascii="Times New Roman" w:hAnsi="Times New Roman" w:cs="Times New Roman"/>
          <w:b/>
          <w:sz w:val="22"/>
          <w:szCs w:val="22"/>
        </w:rPr>
        <w:t xml:space="preserve"> b</w:t>
      </w:r>
      <w:r>
        <w:rPr>
          <w:rFonts w:ascii="Times New Roman" w:hAnsi="Times New Roman" w:cs="Times New Roman"/>
          <w:sz w:val="22"/>
          <w:szCs w:val="22"/>
        </w:rPr>
        <w:t xml:space="preserve">, Increased </w:t>
      </w:r>
      <w:r>
        <w:rPr>
          <w:rFonts w:ascii="Times New Roman" w:hAnsi="Times New Roman" w:cs="Times New Roman"/>
          <w:i/>
          <w:sz w:val="22"/>
          <w:szCs w:val="22"/>
        </w:rPr>
        <w:t xml:space="preserve">NUDT22 </w:t>
      </w:r>
      <w:r>
        <w:rPr>
          <w:rFonts w:ascii="Times New Roman" w:hAnsi="Times New Roman" w:cs="Times New Roman"/>
          <w:sz w:val="22"/>
          <w:szCs w:val="22"/>
        </w:rPr>
        <w:t>expression after inhibition of HK2 with 2-DG (</w:t>
      </w:r>
      <w:r>
        <w:rPr>
          <w:rFonts w:ascii="Times New Roman" w:hAnsi="Times New Roman" w:cs="Times New Roman"/>
          <w:i/>
          <w:sz w:val="22"/>
          <w:szCs w:val="22"/>
        </w:rPr>
        <w:t xml:space="preserve">NUDT22 </w:t>
      </w:r>
      <w:r>
        <w:rPr>
          <w:rFonts w:ascii="Times New Roman" w:hAnsi="Times New Roman" w:cs="Times New Roman"/>
          <w:sz w:val="22"/>
          <w:szCs w:val="22"/>
        </w:rPr>
        <w:t xml:space="preserve">P=0.0254;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cMYC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P=0.0001; GRP78 P=0.0016).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cMYC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and </w:t>
      </w:r>
      <w:r>
        <w:rPr>
          <w:rFonts w:ascii="Times New Roman" w:hAnsi="Times New Roman" w:cs="Times New Roman"/>
          <w:i/>
          <w:sz w:val="22"/>
          <w:szCs w:val="22"/>
        </w:rPr>
        <w:t>GRP78</w:t>
      </w:r>
      <w:r>
        <w:rPr>
          <w:rFonts w:ascii="Times New Roman" w:hAnsi="Times New Roman" w:cs="Times New Roman"/>
          <w:sz w:val="22"/>
          <w:szCs w:val="22"/>
        </w:rPr>
        <w:t xml:space="preserve"> are positive controls. </w:t>
      </w:r>
      <w:r>
        <w:rPr>
          <w:rFonts w:ascii="Times New Roman" w:hAnsi="Times New Roman" w:cs="Times New Roman"/>
          <w:b/>
          <w:sz w:val="22"/>
          <w:szCs w:val="22"/>
        </w:rPr>
        <w:t>c</w:t>
      </w:r>
      <w:r>
        <w:rPr>
          <w:rFonts w:ascii="Times New Roman" w:hAnsi="Times New Roman" w:cs="Times New Roman"/>
          <w:sz w:val="22"/>
          <w:szCs w:val="22"/>
        </w:rPr>
        <w:t xml:space="preserve">, Increased </w:t>
      </w:r>
      <w:r>
        <w:rPr>
          <w:rFonts w:ascii="Times New Roman" w:hAnsi="Times New Roman" w:cs="Times New Roman"/>
          <w:i/>
          <w:sz w:val="22"/>
          <w:szCs w:val="22"/>
        </w:rPr>
        <w:t xml:space="preserve">NUDT22 </w:t>
      </w:r>
      <w:r>
        <w:rPr>
          <w:rFonts w:ascii="Times New Roman" w:hAnsi="Times New Roman" w:cs="Times New Roman"/>
          <w:sz w:val="22"/>
          <w:szCs w:val="22"/>
        </w:rPr>
        <w:t>expression after HK2 depletion with siRNA (HK2 P=0.006; NUDT22</w:t>
      </w:r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P&lt;0.001). </w:t>
      </w:r>
      <w:r>
        <w:rPr>
          <w:rFonts w:ascii="Times New Roman" w:hAnsi="Times New Roman" w:cs="Times New Roman"/>
          <w:b/>
          <w:bCs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cMYC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-overexpressing cells induced </w:t>
      </w:r>
      <w:r>
        <w:rPr>
          <w:rFonts w:ascii="Times New Roman" w:hAnsi="Times New Roman" w:cs="Times New Roman"/>
        </w:rPr>
        <w:t>NUDT22</w:t>
      </w:r>
      <w:r>
        <w:rPr>
          <w:rFonts w:ascii="Times New Roman" w:hAnsi="Times New Roman" w:cs="Times New Roman"/>
          <w:sz w:val="22"/>
          <w:szCs w:val="22"/>
        </w:rPr>
        <w:t xml:space="preserve"> expression. </w:t>
      </w:r>
      <w:r>
        <w:rPr>
          <w:rFonts w:ascii="Times New Roman" w:hAnsi="Times New Roman" w:cs="Times New Roman"/>
          <w:b/>
          <w:bCs/>
          <w:sz w:val="22"/>
          <w:szCs w:val="22"/>
        </w:rPr>
        <w:t>e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cMYC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-induced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  <w:sz w:val="22"/>
          <w:szCs w:val="22"/>
        </w:rPr>
        <w:t xml:space="preserve"> expression (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cMYC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P=0.0006; </w:t>
      </w:r>
      <w:r>
        <w:rPr>
          <w:rFonts w:ascii="Times New Roman" w:hAnsi="Times New Roman" w:cs="Times New Roman"/>
          <w:i/>
          <w:sz w:val="22"/>
          <w:szCs w:val="22"/>
        </w:rPr>
        <w:t xml:space="preserve">NUDT22 </w:t>
      </w:r>
      <w:r>
        <w:rPr>
          <w:rFonts w:ascii="Times New Roman" w:hAnsi="Times New Roman" w:cs="Times New Roman"/>
          <w:sz w:val="22"/>
          <w:szCs w:val="22"/>
        </w:rPr>
        <w:t xml:space="preserve">P=0.0346). </w:t>
      </w:r>
      <w:r>
        <w:rPr>
          <w:rFonts w:ascii="Times New Roman" w:hAnsi="Times New Roman" w:cs="Times New Roman"/>
          <w:b/>
          <w:bCs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 xml:space="preserve">, Overexpression of </w:t>
      </w:r>
      <w:r>
        <w:rPr>
          <w:rFonts w:ascii="Times New Roman" w:hAnsi="Times New Roman" w:cs="Times New Roman"/>
          <w:i/>
          <w:sz w:val="22"/>
          <w:szCs w:val="22"/>
        </w:rPr>
        <w:t>CCNE</w:t>
      </w:r>
      <w:r>
        <w:rPr>
          <w:rFonts w:ascii="Times New Roman" w:hAnsi="Times New Roman" w:cs="Times New Roman"/>
          <w:sz w:val="22"/>
          <w:szCs w:val="22"/>
        </w:rPr>
        <w:t xml:space="preserve"> had no significant effect on the expression of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  <w:sz w:val="22"/>
          <w:szCs w:val="22"/>
        </w:rPr>
        <w:t xml:space="preserve"> (</w:t>
      </w:r>
      <w:r>
        <w:rPr>
          <w:rFonts w:ascii="Times New Roman" w:hAnsi="Times New Roman" w:cs="Times New Roman"/>
          <w:i/>
          <w:sz w:val="22"/>
          <w:szCs w:val="22"/>
        </w:rPr>
        <w:t>CCNE</w:t>
      </w:r>
      <w:r>
        <w:rPr>
          <w:rFonts w:ascii="Times New Roman" w:hAnsi="Times New Roman" w:cs="Times New Roman"/>
          <w:sz w:val="22"/>
          <w:szCs w:val="22"/>
        </w:rPr>
        <w:t xml:space="preserve"> P=0.0126). </w:t>
      </w:r>
      <w:r>
        <w:rPr>
          <w:rFonts w:ascii="Times New Roman" w:hAnsi="Times New Roman" w:cs="Times New Roman"/>
          <w:b/>
          <w:sz w:val="22"/>
          <w:szCs w:val="22"/>
        </w:rPr>
        <w:t>g</w:t>
      </w:r>
      <w:r>
        <w:rPr>
          <w:rFonts w:ascii="Times New Roman" w:hAnsi="Times New Roman" w:cs="Times New Roman"/>
          <w:sz w:val="22"/>
          <w:szCs w:val="22"/>
        </w:rPr>
        <w:t xml:space="preserve">, Overexpression of </w:t>
      </w:r>
      <w:r>
        <w:rPr>
          <w:rFonts w:ascii="Times New Roman" w:hAnsi="Times New Roman" w:cs="Times New Roman"/>
          <w:i/>
          <w:sz w:val="22"/>
          <w:szCs w:val="22"/>
        </w:rPr>
        <w:t>HRAS</w:t>
      </w:r>
      <w:r>
        <w:rPr>
          <w:rFonts w:ascii="Times New Roman" w:hAnsi="Times New Roman" w:cs="Times New Roman"/>
          <w:i/>
          <w:sz w:val="22"/>
          <w:szCs w:val="22"/>
          <w:vertAlign w:val="superscript"/>
        </w:rPr>
        <w:t>V12</w:t>
      </w:r>
      <w:r>
        <w:rPr>
          <w:rFonts w:ascii="Times New Roman" w:hAnsi="Times New Roman" w:cs="Times New Roman"/>
          <w:sz w:val="22"/>
          <w:szCs w:val="22"/>
        </w:rPr>
        <w:t xml:space="preserve"> had no effect on either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  <w:sz w:val="22"/>
          <w:szCs w:val="22"/>
        </w:rPr>
        <w:t xml:space="preserve"> or </w:t>
      </w:r>
      <w:r>
        <w:rPr>
          <w:rFonts w:ascii="Times New Roman" w:hAnsi="Times New Roman" w:cs="Times New Roman"/>
          <w:i/>
          <w:sz w:val="22"/>
          <w:szCs w:val="22"/>
        </w:rPr>
        <w:t xml:space="preserve">p53 </w:t>
      </w:r>
      <w:r>
        <w:rPr>
          <w:rFonts w:ascii="Times New Roman" w:hAnsi="Times New Roman" w:cs="Times New Roman"/>
          <w:sz w:val="22"/>
          <w:szCs w:val="22"/>
        </w:rPr>
        <w:t>expression (P=0.0028). P-values were calculated by paired t-test. Data are shown as the mean with SD.</w:t>
      </w:r>
    </w:p>
    <w:p w14:paraId="271F5F37" w14:textId="77777777" w:rsidR="00AF132D" w:rsidRDefault="00AF132D" w:rsidP="00AF132D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799482B0" w14:textId="0DEA5791" w:rsidR="00AF132D" w:rsidRDefault="00AF132D" w:rsidP="00AF132D">
      <w:pPr>
        <w:pStyle w:val="SMHeading"/>
        <w:spacing w:line="480" w:lineRule="auto"/>
      </w:pPr>
      <w:r>
        <w:rPr>
          <w:noProof/>
        </w:rPr>
        <w:lastRenderedPageBreak/>
        <w:drawing>
          <wp:inline distT="0" distB="0" distL="0" distR="0" wp14:anchorId="00851EAF" wp14:editId="6017D8F0">
            <wp:extent cx="5734050" cy="5010150"/>
            <wp:effectExtent l="0" t="0" r="0" b="0"/>
            <wp:docPr id="5" name="Picture 5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6A59A" w14:textId="77777777" w:rsidR="00AF132D" w:rsidRDefault="00AF132D" w:rsidP="00AF132D">
      <w:pPr>
        <w:pStyle w:val="SMHeading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Extended Data Fig. 3</w:t>
      </w:r>
    </w:p>
    <w:p w14:paraId="69EBF4F6" w14:textId="77777777" w:rsidR="00AF132D" w:rsidRDefault="00AF132D" w:rsidP="00AF132D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b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>,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Short-term activation of </w:t>
      </w:r>
      <w:proofErr w:type="spellStart"/>
      <w:r>
        <w:rPr>
          <w:rFonts w:ascii="Times New Roman" w:hAnsi="Times New Roman" w:cs="Times New Roman"/>
          <w:sz w:val="22"/>
          <w:szCs w:val="22"/>
        </w:rPr>
        <w:t>cMYC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induced expression of the direct target gene </w:t>
      </w:r>
      <w:r>
        <w:rPr>
          <w:rFonts w:ascii="Times New Roman" w:hAnsi="Times New Roman" w:cs="Times New Roman"/>
          <w:i/>
          <w:sz w:val="22"/>
          <w:szCs w:val="22"/>
        </w:rPr>
        <w:t xml:space="preserve">CCNE </w:t>
      </w:r>
      <w:r>
        <w:rPr>
          <w:rFonts w:ascii="Times New Roman" w:hAnsi="Times New Roman" w:cs="Times New Roman"/>
          <w:sz w:val="22"/>
          <w:szCs w:val="22"/>
        </w:rPr>
        <w:t>(P=0.0089)</w:t>
      </w:r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but not of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or </w:t>
      </w:r>
      <w:r>
        <w:rPr>
          <w:rFonts w:ascii="Times New Roman" w:hAnsi="Times New Roman" w:cs="Times New Roman"/>
          <w:i/>
          <w:sz w:val="22"/>
          <w:szCs w:val="22"/>
        </w:rPr>
        <w:t xml:space="preserve">p53. </w:t>
      </w:r>
      <w:r>
        <w:rPr>
          <w:rFonts w:ascii="Times New Roman" w:hAnsi="Times New Roman" w:cs="Times New Roman"/>
          <w:b/>
          <w:sz w:val="22"/>
          <w:szCs w:val="22"/>
        </w:rPr>
        <w:t>b</w:t>
      </w:r>
      <w:r>
        <w:rPr>
          <w:rFonts w:ascii="Times New Roman" w:hAnsi="Times New Roman" w:cs="Times New Roman"/>
          <w:sz w:val="22"/>
          <w:szCs w:val="22"/>
        </w:rPr>
        <w:t xml:space="preserve">, Increased expression of both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  <w:sz w:val="22"/>
          <w:szCs w:val="22"/>
        </w:rPr>
        <w:t xml:space="preserve"> and </w:t>
      </w:r>
      <w:r>
        <w:rPr>
          <w:rFonts w:ascii="Times New Roman" w:hAnsi="Times New Roman" w:cs="Times New Roman"/>
          <w:i/>
          <w:sz w:val="22"/>
          <w:szCs w:val="22"/>
        </w:rPr>
        <w:t>p53</w:t>
      </w:r>
      <w:r>
        <w:rPr>
          <w:rFonts w:ascii="Times New Roman" w:hAnsi="Times New Roman" w:cs="Times New Roman"/>
          <w:sz w:val="22"/>
          <w:szCs w:val="22"/>
        </w:rPr>
        <w:t xml:space="preserve"> after </w:t>
      </w:r>
      <w:proofErr w:type="spellStart"/>
      <w:r>
        <w:rPr>
          <w:rFonts w:ascii="Times New Roman" w:hAnsi="Times New Roman" w:cs="Times New Roman"/>
          <w:sz w:val="22"/>
          <w:szCs w:val="22"/>
        </w:rPr>
        <w:t>cMYC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ER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activation with tamoxifen (4-OHT) for 24 h (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  <w:sz w:val="22"/>
          <w:szCs w:val="22"/>
        </w:rPr>
        <w:t xml:space="preserve"> P=0.038; </w:t>
      </w:r>
      <w:r>
        <w:rPr>
          <w:rFonts w:ascii="Times New Roman" w:hAnsi="Times New Roman" w:cs="Times New Roman"/>
          <w:i/>
          <w:sz w:val="22"/>
          <w:szCs w:val="22"/>
        </w:rPr>
        <w:t>p53</w:t>
      </w:r>
      <w:r>
        <w:rPr>
          <w:rFonts w:ascii="Times New Roman" w:hAnsi="Times New Roman" w:cs="Times New Roman"/>
          <w:sz w:val="22"/>
          <w:szCs w:val="22"/>
        </w:rPr>
        <w:t xml:space="preserve"> P=0.0006; </w:t>
      </w:r>
      <w:r>
        <w:rPr>
          <w:rFonts w:ascii="Times New Roman" w:hAnsi="Times New Roman" w:cs="Times New Roman"/>
          <w:i/>
          <w:sz w:val="22"/>
          <w:szCs w:val="22"/>
        </w:rPr>
        <w:t>CCNE</w:t>
      </w:r>
      <w:r>
        <w:rPr>
          <w:rFonts w:ascii="Times New Roman" w:hAnsi="Times New Roman" w:cs="Times New Roman"/>
          <w:sz w:val="22"/>
          <w:szCs w:val="22"/>
        </w:rPr>
        <w:t xml:space="preserve"> P=0.01).</w:t>
      </w:r>
      <w:r>
        <w:rPr>
          <w:rFonts w:ascii="Times New Roman" w:hAnsi="Times New Roman" w:cs="Times New Roman"/>
          <w:b/>
          <w:sz w:val="22"/>
          <w:szCs w:val="22"/>
        </w:rPr>
        <w:t xml:space="preserve"> c</w:t>
      </w:r>
      <w:r>
        <w:rPr>
          <w:rFonts w:ascii="Times New Roman" w:hAnsi="Times New Roman" w:cs="Times New Roman"/>
          <w:sz w:val="22"/>
          <w:szCs w:val="22"/>
        </w:rPr>
        <w:t xml:space="preserve">, Activation of </w:t>
      </w:r>
      <w:proofErr w:type="spellStart"/>
      <w:r>
        <w:rPr>
          <w:rFonts w:ascii="Times New Roman" w:hAnsi="Times New Roman" w:cs="Times New Roman"/>
          <w:sz w:val="22"/>
          <w:szCs w:val="22"/>
        </w:rPr>
        <w:t>cMYC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ER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(4-OHT) for 72 h increased the expression of </w:t>
      </w:r>
      <w:r>
        <w:rPr>
          <w:rFonts w:ascii="Times New Roman" w:hAnsi="Times New Roman" w:cs="Times New Roman"/>
          <w:i/>
          <w:sz w:val="22"/>
          <w:szCs w:val="22"/>
        </w:rPr>
        <w:t>CCNE</w:t>
      </w:r>
      <w:r>
        <w:rPr>
          <w:rFonts w:ascii="Times New Roman" w:hAnsi="Times New Roman" w:cs="Times New Roman"/>
          <w:sz w:val="22"/>
          <w:szCs w:val="22"/>
        </w:rPr>
        <w:t xml:space="preserve"> and </w:t>
      </w:r>
      <w:r>
        <w:rPr>
          <w:rFonts w:ascii="Times New Roman" w:hAnsi="Times New Roman" w:cs="Times New Roman"/>
          <w:i/>
          <w:sz w:val="22"/>
          <w:szCs w:val="22"/>
        </w:rPr>
        <w:t>p53</w:t>
      </w:r>
      <w:r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cMYC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P=0.0041; </w:t>
      </w:r>
      <w:r>
        <w:rPr>
          <w:rFonts w:ascii="Times New Roman" w:hAnsi="Times New Roman" w:cs="Times New Roman"/>
          <w:i/>
          <w:sz w:val="22"/>
          <w:szCs w:val="22"/>
        </w:rPr>
        <w:t>CCNE</w:t>
      </w:r>
      <w:r>
        <w:rPr>
          <w:rFonts w:ascii="Times New Roman" w:hAnsi="Times New Roman" w:cs="Times New Roman"/>
          <w:sz w:val="22"/>
          <w:szCs w:val="22"/>
        </w:rPr>
        <w:t xml:space="preserve"> P=0.0007; </w:t>
      </w:r>
      <w:r>
        <w:rPr>
          <w:rFonts w:ascii="Times New Roman" w:hAnsi="Times New Roman" w:cs="Times New Roman"/>
          <w:i/>
          <w:sz w:val="22"/>
          <w:szCs w:val="22"/>
        </w:rPr>
        <w:t>p53</w:t>
      </w:r>
      <w:r>
        <w:rPr>
          <w:rFonts w:ascii="Times New Roman" w:hAnsi="Times New Roman" w:cs="Times New Roman"/>
          <w:sz w:val="22"/>
          <w:szCs w:val="22"/>
        </w:rPr>
        <w:t xml:space="preserve"> P=0.0047). </w:t>
      </w:r>
      <w:r>
        <w:rPr>
          <w:rFonts w:ascii="Times New Roman" w:hAnsi="Times New Roman" w:cs="Times New Roman"/>
          <w:b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</w:rPr>
        <w:t xml:space="preserve">, The exposure of hTERT-RPE1 cells to 2-DG for 48 h induced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cMYC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and </w:t>
      </w:r>
      <w:r>
        <w:rPr>
          <w:rFonts w:ascii="Times New Roman" w:hAnsi="Times New Roman" w:cs="Times New Roman"/>
          <w:i/>
          <w:sz w:val="22"/>
          <w:szCs w:val="22"/>
        </w:rPr>
        <w:t>p53</w:t>
      </w:r>
      <w:r>
        <w:rPr>
          <w:rFonts w:ascii="Times New Roman" w:hAnsi="Times New Roman" w:cs="Times New Roman"/>
          <w:sz w:val="22"/>
          <w:szCs w:val="22"/>
        </w:rPr>
        <w:t xml:space="preserve"> expression (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cMYC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P=0.0037; </w:t>
      </w:r>
      <w:r>
        <w:rPr>
          <w:rFonts w:ascii="Times New Roman" w:hAnsi="Times New Roman" w:cs="Times New Roman"/>
          <w:i/>
          <w:sz w:val="22"/>
          <w:szCs w:val="22"/>
        </w:rPr>
        <w:t>p53</w:t>
      </w:r>
      <w:r>
        <w:rPr>
          <w:rFonts w:ascii="Times New Roman" w:hAnsi="Times New Roman" w:cs="Times New Roman"/>
          <w:sz w:val="22"/>
          <w:szCs w:val="22"/>
        </w:rPr>
        <w:t xml:space="preserve"> P=0.0033). </w:t>
      </w:r>
      <w:r>
        <w:rPr>
          <w:rFonts w:ascii="Times New Roman" w:hAnsi="Times New Roman" w:cs="Times New Roman"/>
          <w:b/>
          <w:sz w:val="22"/>
          <w:szCs w:val="22"/>
        </w:rPr>
        <w:t>e</w:t>
      </w:r>
      <w:r>
        <w:rPr>
          <w:rFonts w:ascii="Times New Roman" w:hAnsi="Times New Roman" w:cs="Times New Roman"/>
          <w:sz w:val="22"/>
          <w:szCs w:val="22"/>
        </w:rPr>
        <w:t xml:space="preserve"> Exposure of U2OS cells to 2-DG for 48 h induced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cMYC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and </w:t>
      </w:r>
      <w:r>
        <w:rPr>
          <w:rFonts w:ascii="Times New Roman" w:hAnsi="Times New Roman" w:cs="Times New Roman"/>
          <w:i/>
          <w:sz w:val="22"/>
          <w:szCs w:val="22"/>
        </w:rPr>
        <w:t>p53</w:t>
      </w:r>
      <w:r>
        <w:rPr>
          <w:rFonts w:ascii="Times New Roman" w:hAnsi="Times New Roman" w:cs="Times New Roman"/>
          <w:sz w:val="22"/>
          <w:szCs w:val="22"/>
        </w:rPr>
        <w:t xml:space="preserve"> expression (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cMYC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P=0.0152; </w:t>
      </w:r>
      <w:r>
        <w:rPr>
          <w:rFonts w:ascii="Times New Roman" w:hAnsi="Times New Roman" w:cs="Times New Roman"/>
          <w:i/>
          <w:sz w:val="22"/>
          <w:szCs w:val="22"/>
        </w:rPr>
        <w:t>p53</w:t>
      </w:r>
      <w:r>
        <w:rPr>
          <w:rFonts w:ascii="Times New Roman" w:hAnsi="Times New Roman" w:cs="Times New Roman"/>
          <w:sz w:val="22"/>
          <w:szCs w:val="22"/>
        </w:rPr>
        <w:t xml:space="preserve"> P=0.0054). </w:t>
      </w:r>
      <w:r>
        <w:rPr>
          <w:rFonts w:ascii="Times New Roman" w:hAnsi="Times New Roman" w:cs="Times New Roman"/>
          <w:b/>
          <w:bCs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>, Increased</w:t>
      </w:r>
      <w:r>
        <w:rPr>
          <w:rFonts w:ascii="Times New Roman" w:hAnsi="Times New Roman" w:cs="Times New Roman"/>
          <w:i/>
          <w:sz w:val="22"/>
          <w:szCs w:val="22"/>
        </w:rPr>
        <w:t xml:space="preserve"> p53</w:t>
      </w:r>
      <w:r>
        <w:rPr>
          <w:rFonts w:ascii="Times New Roman" w:hAnsi="Times New Roman" w:cs="Times New Roman"/>
          <w:sz w:val="22"/>
          <w:szCs w:val="22"/>
        </w:rPr>
        <w:t xml:space="preserve"> expression after </w:t>
      </w:r>
      <w:r>
        <w:rPr>
          <w:rFonts w:ascii="Times New Roman" w:hAnsi="Times New Roman" w:cs="Times New Roman"/>
          <w:i/>
          <w:sz w:val="22"/>
          <w:szCs w:val="22"/>
        </w:rPr>
        <w:t>HK2</w:t>
      </w:r>
      <w:r>
        <w:rPr>
          <w:rFonts w:ascii="Times New Roman" w:hAnsi="Times New Roman" w:cs="Times New Roman"/>
          <w:i/>
          <w:sz w:val="22"/>
          <w:szCs w:val="22"/>
          <w:vertAlign w:val="superscript"/>
        </w:rPr>
        <w:t>siRNA</w:t>
      </w:r>
      <w:r>
        <w:rPr>
          <w:rFonts w:ascii="Times New Roman" w:hAnsi="Times New Roman" w:cs="Times New Roman"/>
          <w:sz w:val="22"/>
          <w:szCs w:val="22"/>
        </w:rPr>
        <w:t xml:space="preserve"> transfection (</w:t>
      </w:r>
      <w:r>
        <w:rPr>
          <w:rFonts w:ascii="Times New Roman" w:hAnsi="Times New Roman" w:cs="Times New Roman"/>
          <w:i/>
          <w:sz w:val="22"/>
          <w:szCs w:val="22"/>
        </w:rPr>
        <w:t>HK2</w:t>
      </w:r>
      <w:r>
        <w:rPr>
          <w:rFonts w:ascii="Times New Roman" w:hAnsi="Times New Roman" w:cs="Times New Roman"/>
          <w:sz w:val="22"/>
          <w:szCs w:val="22"/>
        </w:rPr>
        <w:t xml:space="preserve"> P=0.0314; </w:t>
      </w:r>
      <w:r>
        <w:rPr>
          <w:rFonts w:ascii="Times New Roman" w:hAnsi="Times New Roman" w:cs="Times New Roman"/>
          <w:i/>
          <w:sz w:val="22"/>
          <w:szCs w:val="22"/>
        </w:rPr>
        <w:t xml:space="preserve">p53 </w:t>
      </w:r>
      <w:r>
        <w:rPr>
          <w:rFonts w:ascii="Times New Roman" w:hAnsi="Times New Roman" w:cs="Times New Roman"/>
          <w:sz w:val="22"/>
          <w:szCs w:val="22"/>
        </w:rPr>
        <w:t xml:space="preserve">P=0.0234). </w:t>
      </w:r>
      <w:r>
        <w:rPr>
          <w:rFonts w:ascii="Times New Roman" w:hAnsi="Times New Roman" w:cs="Times New Roman"/>
          <w:b/>
          <w:bCs/>
          <w:sz w:val="22"/>
          <w:szCs w:val="22"/>
        </w:rPr>
        <w:t>g</w:t>
      </w:r>
      <w:r>
        <w:rPr>
          <w:rFonts w:ascii="Times New Roman" w:hAnsi="Times New Roman" w:cs="Times New Roman"/>
          <w:sz w:val="22"/>
          <w:szCs w:val="22"/>
        </w:rPr>
        <w:t xml:space="preserve">, Nutlin3a exposure induced </w:t>
      </w:r>
      <w:r>
        <w:rPr>
          <w:rFonts w:ascii="Times New Roman" w:hAnsi="Times New Roman" w:cs="Times New Roman"/>
          <w:i/>
          <w:sz w:val="22"/>
          <w:szCs w:val="22"/>
        </w:rPr>
        <w:t xml:space="preserve">NUDT22 </w:t>
      </w:r>
      <w:r>
        <w:rPr>
          <w:rFonts w:ascii="Times New Roman" w:hAnsi="Times New Roman" w:cs="Times New Roman"/>
          <w:sz w:val="22"/>
          <w:szCs w:val="22"/>
        </w:rPr>
        <w:t>expression only in the</w:t>
      </w:r>
      <w:r>
        <w:rPr>
          <w:rFonts w:ascii="Times New Roman" w:hAnsi="Times New Roman" w:cs="Times New Roman"/>
          <w:i/>
          <w:sz w:val="22"/>
          <w:szCs w:val="22"/>
        </w:rPr>
        <w:t xml:space="preserve"> p53</w:t>
      </w:r>
      <w:r>
        <w:rPr>
          <w:rFonts w:ascii="Times New Roman" w:hAnsi="Times New Roman" w:cs="Times New Roman"/>
          <w:i/>
          <w:sz w:val="22"/>
          <w:szCs w:val="22"/>
          <w:vertAlign w:val="superscript"/>
        </w:rPr>
        <w:t xml:space="preserve">+/+ </w:t>
      </w:r>
      <w:r>
        <w:rPr>
          <w:rFonts w:ascii="Times New Roman" w:hAnsi="Times New Roman" w:cs="Times New Roman"/>
          <w:sz w:val="22"/>
          <w:szCs w:val="22"/>
        </w:rPr>
        <w:t xml:space="preserve">HCT116 </w:t>
      </w:r>
      <w:r>
        <w:rPr>
          <w:rFonts w:ascii="Times New Roman" w:hAnsi="Times New Roman" w:cs="Times New Roman"/>
          <w:sz w:val="22"/>
          <w:szCs w:val="22"/>
        </w:rPr>
        <w:lastRenderedPageBreak/>
        <w:t xml:space="preserve">cell line and not in the isogenic </w:t>
      </w:r>
      <w:r>
        <w:rPr>
          <w:rFonts w:ascii="Times New Roman" w:hAnsi="Times New Roman" w:cs="Times New Roman"/>
          <w:i/>
          <w:sz w:val="22"/>
          <w:szCs w:val="22"/>
        </w:rPr>
        <w:t>p53</w:t>
      </w:r>
      <w:r>
        <w:rPr>
          <w:rFonts w:ascii="Times New Roman" w:hAnsi="Times New Roman" w:cs="Times New Roman"/>
          <w:i/>
          <w:sz w:val="22"/>
          <w:szCs w:val="22"/>
          <w:vertAlign w:val="superscript"/>
        </w:rPr>
        <w:t>-/-</w:t>
      </w:r>
      <w:r>
        <w:rPr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HCT116 cell line (</w:t>
      </w:r>
      <w:r>
        <w:rPr>
          <w:rFonts w:ascii="Times New Roman" w:hAnsi="Times New Roman" w:cs="Times New Roman"/>
          <w:i/>
          <w:sz w:val="22"/>
          <w:szCs w:val="22"/>
        </w:rPr>
        <w:t xml:space="preserve">NUDT22 </w:t>
      </w:r>
      <w:r>
        <w:rPr>
          <w:rFonts w:ascii="Times New Roman" w:hAnsi="Times New Roman" w:cs="Times New Roman"/>
          <w:sz w:val="22"/>
          <w:szCs w:val="22"/>
        </w:rPr>
        <w:t xml:space="preserve">P=0.001). </w:t>
      </w:r>
      <w:r>
        <w:rPr>
          <w:rFonts w:ascii="Times New Roman" w:hAnsi="Times New Roman" w:cs="Times New Roman"/>
          <w:b/>
          <w:sz w:val="22"/>
          <w:szCs w:val="22"/>
        </w:rPr>
        <w:t>h,</w:t>
      </w:r>
      <w:r>
        <w:rPr>
          <w:rFonts w:ascii="Times New Roman" w:hAnsi="Times New Roman" w:cs="Times New Roman"/>
          <w:sz w:val="22"/>
          <w:szCs w:val="22"/>
        </w:rPr>
        <w:t xml:space="preserve"> Increased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expression after </w:t>
      </w:r>
      <w:r>
        <w:rPr>
          <w:rFonts w:ascii="Times New Roman" w:hAnsi="Times New Roman" w:cs="Times New Roman"/>
          <w:i/>
          <w:sz w:val="22"/>
          <w:szCs w:val="22"/>
        </w:rPr>
        <w:t xml:space="preserve">p53 </w:t>
      </w:r>
      <w:r>
        <w:rPr>
          <w:rFonts w:ascii="Times New Roman" w:hAnsi="Times New Roman" w:cs="Times New Roman"/>
          <w:sz w:val="22"/>
          <w:szCs w:val="22"/>
        </w:rPr>
        <w:t xml:space="preserve">overexpression (hTERT-RPE1 P=0.0314; U2OS P=0.0144). </w:t>
      </w:r>
      <w:proofErr w:type="spellStart"/>
      <w:r>
        <w:rPr>
          <w:rFonts w:ascii="Times New Roman" w:hAnsi="Times New Roman" w:cs="Times New Roman"/>
          <w:b/>
          <w:bCs/>
          <w:sz w:val="22"/>
          <w:szCs w:val="22"/>
        </w:rPr>
        <w:t>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qPCR for the </w:t>
      </w:r>
      <w:r>
        <w:rPr>
          <w:rFonts w:ascii="Times New Roman" w:hAnsi="Times New Roman" w:cs="Times New Roman"/>
          <w:i/>
          <w:sz w:val="22"/>
          <w:szCs w:val="22"/>
        </w:rPr>
        <w:t>P21</w:t>
      </w:r>
      <w:r>
        <w:rPr>
          <w:rFonts w:ascii="Times New Roman" w:hAnsi="Times New Roman" w:cs="Times New Roman"/>
          <w:sz w:val="22"/>
          <w:szCs w:val="22"/>
        </w:rPr>
        <w:t xml:space="preserve"> promoter after </w:t>
      </w:r>
      <w:proofErr w:type="spellStart"/>
      <w:r>
        <w:rPr>
          <w:rFonts w:ascii="Times New Roman" w:hAnsi="Times New Roman" w:cs="Times New Roman"/>
          <w:sz w:val="22"/>
          <w:szCs w:val="22"/>
        </w:rPr>
        <w:t>ChIP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with a p53(DO1) antibody. GFP served as a transfection control, (</w:t>
      </w:r>
      <w:r>
        <w:rPr>
          <w:rFonts w:ascii="Times New Roman" w:hAnsi="Times New Roman" w:cs="Times New Roman"/>
          <w:i/>
          <w:sz w:val="22"/>
          <w:szCs w:val="22"/>
        </w:rPr>
        <w:t>P21</w:t>
      </w:r>
      <w:r>
        <w:rPr>
          <w:rFonts w:ascii="Times New Roman" w:hAnsi="Times New Roman" w:cs="Times New Roman"/>
          <w:sz w:val="22"/>
          <w:szCs w:val="22"/>
        </w:rPr>
        <w:t xml:space="preserve"> P=0.034 and 0.033). P-values were calculated by paired t-test. Data are presented as the mean values with standard deviation.</w:t>
      </w:r>
    </w:p>
    <w:p w14:paraId="1C21706A" w14:textId="77777777" w:rsidR="00AF132D" w:rsidRDefault="00AF132D" w:rsidP="00AF132D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9E24D54" w14:textId="1121B747" w:rsidR="00AF132D" w:rsidRDefault="00AF132D" w:rsidP="00AF132D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0DF6C33E" wp14:editId="62667EF7">
            <wp:extent cx="5734050" cy="5238750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23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D598C" w14:textId="77777777" w:rsidR="00AF132D" w:rsidRDefault="00AF132D" w:rsidP="00AF132D">
      <w:pPr>
        <w:pStyle w:val="SMHeading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>Extended Data Fig. 4</w:t>
      </w:r>
    </w:p>
    <w:p w14:paraId="40211505" w14:textId="77777777" w:rsidR="00AF132D" w:rsidRDefault="00AF132D" w:rsidP="00AF132D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U2OS and hTERT-RPE1 cells were treated with doxorubicin and actinomycin D for 24 h.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  <w:sz w:val="22"/>
          <w:szCs w:val="22"/>
        </w:rPr>
        <w:t xml:space="preserve"> expression was increased in both cell lines. This is consistent with the stabilization of p53 (</w:t>
      </w:r>
      <w:r>
        <w:rPr>
          <w:rFonts w:ascii="Times New Roman" w:hAnsi="Times New Roman" w:cs="Times New Roman"/>
          <w:b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doxo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P=0.0013; </w:t>
      </w:r>
      <w:proofErr w:type="spellStart"/>
      <w:r>
        <w:rPr>
          <w:rFonts w:ascii="Times New Roman" w:hAnsi="Times New Roman" w:cs="Times New Roman"/>
          <w:sz w:val="22"/>
          <w:szCs w:val="22"/>
        </w:rPr>
        <w:t>actD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P=0.0013, </w:t>
      </w:r>
      <w:r>
        <w:rPr>
          <w:rFonts w:ascii="Times New Roman" w:hAnsi="Times New Roman" w:cs="Times New Roman"/>
          <w:b/>
          <w:sz w:val="22"/>
          <w:szCs w:val="22"/>
        </w:rPr>
        <w:t>b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doxo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P=0.0004; </w:t>
      </w:r>
      <w:proofErr w:type="spellStart"/>
      <w:r>
        <w:rPr>
          <w:rFonts w:ascii="Times New Roman" w:hAnsi="Times New Roman" w:cs="Times New Roman"/>
          <w:sz w:val="22"/>
          <w:szCs w:val="22"/>
        </w:rPr>
        <w:t>actD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P=0.0021). </w:t>
      </w:r>
      <w:r>
        <w:rPr>
          <w:rFonts w:ascii="Times New Roman" w:hAnsi="Times New Roman" w:cs="Times New Roman"/>
          <w:b/>
          <w:sz w:val="22"/>
          <w:szCs w:val="22"/>
        </w:rPr>
        <w:t>c</w:t>
      </w:r>
      <w:r>
        <w:rPr>
          <w:rFonts w:ascii="Times New Roman" w:hAnsi="Times New Roman" w:cs="Times New Roman"/>
          <w:sz w:val="22"/>
          <w:szCs w:val="22"/>
        </w:rPr>
        <w:t xml:space="preserve">, DNA damaging agents induce transcriptional activation of the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  <w:sz w:val="22"/>
          <w:szCs w:val="22"/>
        </w:rPr>
        <w:t xml:space="preserve"> reporter. </w:t>
      </w:r>
      <w:r>
        <w:rPr>
          <w:rFonts w:ascii="Times New Roman" w:hAnsi="Times New Roman" w:cs="Times New Roman"/>
          <w:b/>
          <w:bCs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gramStart"/>
      <w:r>
        <w:rPr>
          <w:rFonts w:ascii="Times New Roman" w:hAnsi="Times New Roman" w:cs="Times New Roman"/>
          <w:sz w:val="22"/>
          <w:szCs w:val="22"/>
        </w:rPr>
        <w:t>The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p53-luciferase reporter served as a control. Drug concentrations: </w:t>
      </w:r>
      <w:proofErr w:type="spellStart"/>
      <w:r>
        <w:rPr>
          <w:rFonts w:ascii="Times New Roman" w:hAnsi="Times New Roman" w:cs="Times New Roman"/>
          <w:sz w:val="22"/>
          <w:szCs w:val="22"/>
        </w:rPr>
        <w:t>doxorubicine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>
        <w:rPr>
          <w:rFonts w:ascii="Times New Roman" w:hAnsi="Times New Roman" w:cs="Times New Roman"/>
          <w:sz w:val="22"/>
          <w:szCs w:val="22"/>
        </w:rPr>
        <w:t>doxo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) 5 </w:t>
      </w:r>
      <w:r>
        <w:rPr>
          <w:rFonts w:ascii="Times New Roman" w:hAnsi="Times New Roman" w:cs="Times New Roman"/>
          <w:sz w:val="22"/>
          <w:szCs w:val="22"/>
          <w:lang w:val="sv-SE"/>
        </w:rPr>
        <w:t>μ</w:t>
      </w:r>
      <w:r>
        <w:rPr>
          <w:rFonts w:ascii="Times New Roman" w:hAnsi="Times New Roman" w:cs="Times New Roman"/>
          <w:sz w:val="22"/>
          <w:szCs w:val="22"/>
        </w:rPr>
        <w:t>M, actinomycin D (</w:t>
      </w:r>
      <w:proofErr w:type="spellStart"/>
      <w:r>
        <w:rPr>
          <w:rFonts w:ascii="Times New Roman" w:hAnsi="Times New Roman" w:cs="Times New Roman"/>
          <w:sz w:val="22"/>
          <w:szCs w:val="22"/>
        </w:rPr>
        <w:t>actD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) 5 </w:t>
      </w:r>
      <w:proofErr w:type="spellStart"/>
      <w:r>
        <w:rPr>
          <w:rFonts w:ascii="Times New Roman" w:hAnsi="Times New Roman" w:cs="Times New Roman"/>
          <w:sz w:val="22"/>
          <w:szCs w:val="22"/>
        </w:rPr>
        <w:t>nM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hydroxyurea (HU) 2 mM, </w:t>
      </w:r>
      <w:proofErr w:type="spellStart"/>
      <w:r>
        <w:rPr>
          <w:rFonts w:ascii="Times New Roman" w:hAnsi="Times New Roman" w:cs="Times New Roman"/>
          <w:sz w:val="22"/>
          <w:szCs w:val="22"/>
        </w:rPr>
        <w:t>olaparib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10 </w:t>
      </w:r>
      <w:r>
        <w:rPr>
          <w:rFonts w:ascii="Times New Roman" w:hAnsi="Times New Roman" w:cs="Times New Roman"/>
          <w:sz w:val="22"/>
          <w:szCs w:val="22"/>
          <w:lang w:val="sv-SE"/>
        </w:rPr>
        <w:t>μ</w:t>
      </w:r>
      <w:r>
        <w:rPr>
          <w:rFonts w:ascii="Times New Roman" w:hAnsi="Times New Roman" w:cs="Times New Roman"/>
          <w:sz w:val="22"/>
          <w:szCs w:val="22"/>
        </w:rPr>
        <w:t xml:space="preserve">M, </w:t>
      </w:r>
      <w:proofErr w:type="spellStart"/>
      <w:r>
        <w:rPr>
          <w:rFonts w:ascii="Times New Roman" w:hAnsi="Times New Roman" w:cs="Times New Roman"/>
          <w:sz w:val="22"/>
          <w:szCs w:val="22"/>
        </w:rPr>
        <w:t>camptothecin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10 </w:t>
      </w:r>
      <w:r>
        <w:rPr>
          <w:rFonts w:ascii="Times New Roman" w:hAnsi="Times New Roman" w:cs="Times New Roman"/>
          <w:sz w:val="22"/>
          <w:szCs w:val="22"/>
          <w:lang w:val="sv-SE"/>
        </w:rPr>
        <w:t>μ</w:t>
      </w:r>
      <w:r>
        <w:rPr>
          <w:rFonts w:ascii="Times New Roman" w:hAnsi="Times New Roman" w:cs="Times New Roman"/>
          <w:sz w:val="22"/>
          <w:szCs w:val="22"/>
        </w:rPr>
        <w:t xml:space="preserve">M, nutlin3a 2 </w:t>
      </w:r>
      <w:r>
        <w:rPr>
          <w:rFonts w:ascii="Times New Roman" w:hAnsi="Times New Roman" w:cs="Times New Roman"/>
          <w:sz w:val="22"/>
          <w:szCs w:val="22"/>
          <w:lang w:val="sv-SE"/>
        </w:rPr>
        <w:t>μ</w:t>
      </w:r>
      <w:r>
        <w:rPr>
          <w:rFonts w:ascii="Times New Roman" w:hAnsi="Times New Roman" w:cs="Times New Roman"/>
          <w:sz w:val="22"/>
          <w:szCs w:val="22"/>
        </w:rPr>
        <w:t>M (P-values calculated to DMSO control (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  <w:sz w:val="22"/>
          <w:szCs w:val="22"/>
        </w:rPr>
        <w:t xml:space="preserve">): </w:t>
      </w:r>
      <w:proofErr w:type="spellStart"/>
      <w:r>
        <w:rPr>
          <w:rFonts w:ascii="Times New Roman" w:hAnsi="Times New Roman" w:cs="Times New Roman"/>
          <w:sz w:val="22"/>
          <w:szCs w:val="22"/>
        </w:rPr>
        <w:t>doxo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P=0.0094; </w:t>
      </w:r>
      <w:proofErr w:type="spellStart"/>
      <w:r>
        <w:rPr>
          <w:rFonts w:ascii="Times New Roman" w:hAnsi="Times New Roman" w:cs="Times New Roman"/>
          <w:sz w:val="22"/>
          <w:szCs w:val="22"/>
        </w:rPr>
        <w:t>actD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P=0.0036; HU P=0.0088; </w:t>
      </w:r>
      <w:proofErr w:type="spellStart"/>
      <w:r>
        <w:rPr>
          <w:rFonts w:ascii="Times New Roman" w:hAnsi="Times New Roman" w:cs="Times New Roman"/>
          <w:sz w:val="22"/>
          <w:szCs w:val="22"/>
        </w:rPr>
        <w:t>olaparib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P=0.0042; CPT P=0.0021; nutlin3a P=0.0003. (</w:t>
      </w:r>
      <w:r>
        <w:rPr>
          <w:rFonts w:ascii="Times New Roman" w:hAnsi="Times New Roman" w:cs="Times New Roman"/>
          <w:i/>
          <w:iCs/>
          <w:sz w:val="22"/>
          <w:szCs w:val="22"/>
        </w:rPr>
        <w:t>p53</w:t>
      </w:r>
      <w:r>
        <w:rPr>
          <w:rFonts w:ascii="Times New Roman" w:hAnsi="Times New Roman" w:cs="Times New Roman"/>
          <w:sz w:val="22"/>
          <w:szCs w:val="22"/>
        </w:rPr>
        <w:t xml:space="preserve">) </w:t>
      </w:r>
      <w:proofErr w:type="spellStart"/>
      <w:r>
        <w:rPr>
          <w:rFonts w:ascii="Times New Roman" w:hAnsi="Times New Roman" w:cs="Times New Roman"/>
          <w:sz w:val="22"/>
          <w:szCs w:val="22"/>
        </w:rPr>
        <w:t>doxo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P=0.0068; </w:t>
      </w:r>
      <w:proofErr w:type="spellStart"/>
      <w:r>
        <w:rPr>
          <w:rFonts w:ascii="Times New Roman" w:hAnsi="Times New Roman" w:cs="Times New Roman"/>
          <w:sz w:val="22"/>
          <w:szCs w:val="22"/>
        </w:rPr>
        <w:t>actD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P=0.0008; HU P=0.0344; </w:t>
      </w:r>
      <w:proofErr w:type="spellStart"/>
      <w:r>
        <w:rPr>
          <w:rFonts w:ascii="Times New Roman" w:hAnsi="Times New Roman" w:cs="Times New Roman"/>
          <w:sz w:val="22"/>
          <w:szCs w:val="22"/>
        </w:rPr>
        <w:t>olaparib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P=ns; CPT P=0.0003; nutlin3a p&lt;0.0001). </w:t>
      </w:r>
      <w:r>
        <w:rPr>
          <w:rFonts w:ascii="Times New Roman" w:hAnsi="Times New Roman" w:cs="Times New Roman"/>
          <w:b/>
          <w:sz w:val="22"/>
          <w:szCs w:val="22"/>
        </w:rPr>
        <w:t>e</w:t>
      </w:r>
      <w:r>
        <w:rPr>
          <w:rFonts w:ascii="Times New Roman" w:hAnsi="Times New Roman" w:cs="Times New Roman"/>
          <w:sz w:val="22"/>
          <w:szCs w:val="22"/>
        </w:rPr>
        <w:t>, Increased p53 stability and activity in U2OS cells after</w:t>
      </w:r>
      <w:r>
        <w:rPr>
          <w:rFonts w:ascii="Times New Roman" w:hAnsi="Times New Roman" w:cs="Times New Roman"/>
          <w:i/>
          <w:iCs/>
        </w:rPr>
        <w:t xml:space="preserve"> NUDT22</w:t>
      </w:r>
      <w:r>
        <w:rPr>
          <w:rFonts w:ascii="Times New Roman" w:hAnsi="Times New Roman" w:cs="Times New Roman"/>
          <w:sz w:val="22"/>
          <w:szCs w:val="22"/>
        </w:rPr>
        <w:t xml:space="preserve"> knockout. </w:t>
      </w:r>
      <w:r>
        <w:rPr>
          <w:rFonts w:ascii="Times New Roman" w:hAnsi="Times New Roman" w:cs="Times New Roman"/>
          <w:b/>
          <w:bCs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 xml:space="preserve">, NUDT22 protein levels accumulate after proteasome inhibition with 5 </w:t>
      </w:r>
      <w:r>
        <w:rPr>
          <w:rFonts w:ascii="Symbol" w:hAnsi="Symbol" w:cs="Times New Roman"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 xml:space="preserve">M MG132. </w:t>
      </w:r>
      <w:r>
        <w:rPr>
          <w:rFonts w:ascii="Times New Roman" w:hAnsi="Times New Roman" w:cs="Times New Roman"/>
          <w:b/>
          <w:bCs/>
          <w:sz w:val="22"/>
          <w:szCs w:val="22"/>
        </w:rPr>
        <w:t>g</w:t>
      </w:r>
      <w:r>
        <w:rPr>
          <w:rFonts w:ascii="Times New Roman" w:hAnsi="Times New Roman" w:cs="Times New Roman"/>
          <w:sz w:val="22"/>
          <w:szCs w:val="22"/>
        </w:rPr>
        <w:t xml:space="preserve">, NUDT22 protein levels were significantly reduced after 6 h of translation inhibition with 10 </w:t>
      </w:r>
      <w:r>
        <w:rPr>
          <w:rFonts w:ascii="Symbol" w:hAnsi="Symbol" w:cs="Times New Roman"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>g/ml CHX. RAD51 served as a positive control. P-values are calculated by paired t-test in GraphPad Prism. Data are shown as the mean with SD.</w:t>
      </w:r>
    </w:p>
    <w:p w14:paraId="50302D64" w14:textId="7D69755A" w:rsidR="00AF132D" w:rsidRDefault="00AF132D" w:rsidP="00AF132D">
      <w:pPr>
        <w:pStyle w:val="SMHeading"/>
        <w:spacing w:line="480" w:lineRule="auto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4EACE6AF" wp14:editId="4AECE712">
            <wp:extent cx="5734050" cy="6467475"/>
            <wp:effectExtent l="0" t="0" r="0" b="9525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646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4A4798" w14:textId="77777777" w:rsidR="00AF132D" w:rsidRDefault="00AF132D" w:rsidP="00AF132D">
      <w:pPr>
        <w:pStyle w:val="SMHeading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Extended Data Fig. 5</w:t>
      </w:r>
    </w:p>
    <w:p w14:paraId="33A96C22" w14:textId="77777777" w:rsidR="00AF132D" w:rsidRDefault="00AF132D" w:rsidP="00AF132D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a</w:t>
      </w:r>
      <w:r>
        <w:rPr>
          <w:rFonts w:ascii="Times New Roman" w:hAnsi="Times New Roman" w:cs="Times New Roman"/>
          <w:bCs/>
          <w:sz w:val="22"/>
          <w:szCs w:val="22"/>
        </w:rPr>
        <w:t xml:space="preserve">, U2OS knockout (KO) cells. Two independent clones (1-2; 3-6) are shown. </w:t>
      </w:r>
      <w:r>
        <w:rPr>
          <w:rFonts w:ascii="Times New Roman" w:hAnsi="Times New Roman" w:cs="Times New Roman"/>
          <w:b/>
          <w:sz w:val="22"/>
          <w:szCs w:val="22"/>
        </w:rPr>
        <w:t>b</w:t>
      </w:r>
      <w:r>
        <w:rPr>
          <w:rFonts w:ascii="Times New Roman" w:hAnsi="Times New Roman" w:cs="Times New Roman"/>
          <w:bCs/>
          <w:sz w:val="22"/>
          <w:szCs w:val="22"/>
        </w:rPr>
        <w:t xml:space="preserve">, hTERT-RPE1 knockout (KO) cells. Two independent clones (1-5; 2-1) are shown. </w:t>
      </w:r>
      <w:r>
        <w:rPr>
          <w:rFonts w:ascii="Times New Roman" w:hAnsi="Times New Roman" w:cs="Times New Roman"/>
          <w:b/>
          <w:sz w:val="22"/>
          <w:szCs w:val="22"/>
        </w:rPr>
        <w:t>c</w:t>
      </w:r>
      <w:r>
        <w:rPr>
          <w:rFonts w:ascii="Times New Roman" w:hAnsi="Times New Roman" w:cs="Times New Roman"/>
          <w:bCs/>
          <w:sz w:val="22"/>
          <w:szCs w:val="22"/>
        </w:rPr>
        <w:t xml:space="preserve">, LC-MS analysis of hTERT-RPE1 cells. </w:t>
      </w:r>
      <w:r>
        <w:rPr>
          <w:rFonts w:ascii="Times New Roman" w:hAnsi="Times New Roman" w:cs="Times New Roman"/>
          <w:b/>
          <w:sz w:val="22"/>
          <w:szCs w:val="22"/>
        </w:rPr>
        <w:t>d</w:t>
      </w:r>
      <w:r>
        <w:rPr>
          <w:rFonts w:ascii="Times New Roman" w:hAnsi="Times New Roman" w:cs="Times New Roman"/>
          <w:bCs/>
          <w:sz w:val="22"/>
          <w:szCs w:val="22"/>
        </w:rPr>
        <w:t>,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Replication fork speed (</w:t>
      </w:r>
      <w:proofErr w:type="spellStart"/>
      <w:r>
        <w:rPr>
          <w:rFonts w:ascii="Times New Roman" w:hAnsi="Times New Roman" w:cs="Times New Roman"/>
          <w:sz w:val="22"/>
          <w:szCs w:val="22"/>
        </w:rPr>
        <w:t>CldU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incorporation) in ctrl and </w:t>
      </w:r>
      <w:r>
        <w:rPr>
          <w:rFonts w:ascii="Times New Roman" w:hAnsi="Times New Roman" w:cs="Times New Roman"/>
          <w:i/>
          <w:iCs/>
        </w:rPr>
        <w:t xml:space="preserve">NUDT22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cells.</w:t>
      </w:r>
      <w:r>
        <w:rPr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>e</w:t>
      </w:r>
      <w:r>
        <w:rPr>
          <w:rFonts w:ascii="Times New Roman" w:hAnsi="Times New Roman" w:cs="Times New Roman"/>
          <w:sz w:val="22"/>
          <w:szCs w:val="22"/>
        </w:rPr>
        <w:t xml:space="preserve">, Quantification of the </w:t>
      </w:r>
      <w:r>
        <w:rPr>
          <w:rFonts w:ascii="Times New Roman" w:hAnsi="Times New Roman" w:cs="Times New Roman"/>
          <w:sz w:val="22"/>
          <w:szCs w:val="22"/>
        </w:rPr>
        <w:lastRenderedPageBreak/>
        <w:t xml:space="preserve">percentage of </w:t>
      </w:r>
      <w:proofErr w:type="spellStart"/>
      <w:r>
        <w:rPr>
          <w:rFonts w:ascii="Times New Roman" w:hAnsi="Times New Roman" w:cs="Times New Roman"/>
          <w:sz w:val="22"/>
          <w:szCs w:val="22"/>
        </w:rPr>
        <w:t>EdU</w:t>
      </w:r>
      <w:proofErr w:type="spellEnd"/>
      <w:r>
        <w:rPr>
          <w:rFonts w:ascii="Times New Roman" w:hAnsi="Times New Roman" w:cs="Times New Roman"/>
          <w:sz w:val="22"/>
          <w:szCs w:val="22"/>
        </w:rPr>
        <w:t>-positive cells (</w:t>
      </w:r>
      <w:proofErr w:type="gramStart"/>
      <w:r>
        <w:rPr>
          <w:rFonts w:ascii="Times New Roman" w:hAnsi="Times New Roman" w:cs="Times New Roman"/>
          <w:sz w:val="22"/>
          <w:szCs w:val="22"/>
        </w:rPr>
        <w:t>ctrl::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1-2 P=0.0109; ctrl::3-6 P=0.0003; 1-2 DMSO::1-2 </w:t>
      </w:r>
      <w:proofErr w:type="spellStart"/>
      <w:r>
        <w:rPr>
          <w:rFonts w:ascii="Times New Roman" w:hAnsi="Times New Roman" w:cs="Times New Roman"/>
          <w:sz w:val="22"/>
          <w:szCs w:val="22"/>
        </w:rPr>
        <w:t>pyrazofurin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P=0.0227; 3-6 DMSO::3-6 </w:t>
      </w:r>
      <w:proofErr w:type="spellStart"/>
      <w:r>
        <w:rPr>
          <w:rFonts w:ascii="Times New Roman" w:hAnsi="Times New Roman" w:cs="Times New Roman"/>
          <w:sz w:val="22"/>
          <w:szCs w:val="22"/>
        </w:rPr>
        <w:t>pyrazofurin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P=0.0109)|. P-values were calculated by unpaired t-test. Errors as the mean with SD) and representative images. </w:t>
      </w:r>
      <w:r>
        <w:rPr>
          <w:rFonts w:ascii="Times New Roman" w:hAnsi="Times New Roman" w:cs="Times New Roman"/>
          <w:b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 xml:space="preserve">, Growth rates of U2OS cells. g, Growth rates of hTERT-RPE1 cells. </w:t>
      </w:r>
      <w:r>
        <w:rPr>
          <w:rFonts w:ascii="Times New Roman" w:hAnsi="Times New Roman" w:cs="Times New Roman"/>
          <w:b/>
          <w:bCs/>
          <w:sz w:val="22"/>
          <w:szCs w:val="22"/>
        </w:rPr>
        <w:t>h</w:t>
      </w:r>
      <w:r>
        <w:rPr>
          <w:rFonts w:ascii="Times New Roman" w:hAnsi="Times New Roman" w:cs="Times New Roman"/>
          <w:sz w:val="22"/>
          <w:szCs w:val="22"/>
        </w:rPr>
        <w:t xml:space="preserve">, Dose response curves of ctrl and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  <w:sz w:val="22"/>
          <w:szCs w:val="22"/>
        </w:rPr>
        <w:t xml:space="preserve"> KO hTERT-RPE1 cells exposed to </w:t>
      </w:r>
      <w:proofErr w:type="spellStart"/>
      <w:r>
        <w:rPr>
          <w:rFonts w:ascii="Times New Roman" w:hAnsi="Times New Roman" w:cs="Times New Roman"/>
          <w:sz w:val="22"/>
          <w:szCs w:val="22"/>
        </w:rPr>
        <w:t>pyrazofurin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  <w:sz w:val="22"/>
          <w:szCs w:val="22"/>
        </w:rPr>
        <w:t>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Growth rate comparison between U2OS and hTERT-RPE1 cells. </w:t>
      </w:r>
      <w:r>
        <w:rPr>
          <w:rFonts w:ascii="Times New Roman" w:hAnsi="Times New Roman" w:cs="Times New Roman"/>
          <w:b/>
          <w:bCs/>
          <w:sz w:val="22"/>
          <w:szCs w:val="22"/>
        </w:rPr>
        <w:t>j</w:t>
      </w:r>
      <w:r>
        <w:rPr>
          <w:rFonts w:ascii="Times New Roman" w:hAnsi="Times New Roman" w:cs="Times New Roman"/>
          <w:sz w:val="22"/>
          <w:szCs w:val="22"/>
        </w:rPr>
        <w:t xml:space="preserve">, Dose response curves of ctrl and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  <w:sz w:val="22"/>
          <w:szCs w:val="22"/>
        </w:rPr>
        <w:t xml:space="preserve"> KO hTERT-RPE1 cells exposed to hydroxyurea. </w:t>
      </w:r>
      <w:r>
        <w:rPr>
          <w:rFonts w:ascii="Times New Roman" w:hAnsi="Times New Roman" w:cs="Times New Roman"/>
          <w:b/>
          <w:bCs/>
          <w:sz w:val="22"/>
          <w:szCs w:val="22"/>
        </w:rPr>
        <w:t>k</w:t>
      </w:r>
      <w:r>
        <w:rPr>
          <w:rFonts w:ascii="Times New Roman" w:hAnsi="Times New Roman" w:cs="Times New Roman"/>
          <w:sz w:val="22"/>
          <w:szCs w:val="22"/>
        </w:rPr>
        <w:t xml:space="preserve">, Dose response curves of ctrl and </w:t>
      </w:r>
      <w:r>
        <w:rPr>
          <w:rFonts w:ascii="Times New Roman" w:hAnsi="Times New Roman" w:cs="Times New Roman"/>
          <w:i/>
          <w:iCs/>
        </w:rPr>
        <w:t>NUDT22</w:t>
      </w:r>
      <w:r>
        <w:rPr>
          <w:rFonts w:ascii="Times New Roman" w:hAnsi="Times New Roman" w:cs="Times New Roman"/>
          <w:sz w:val="22"/>
          <w:szCs w:val="22"/>
        </w:rPr>
        <w:t xml:space="preserve"> KO hTERT-RPE1 cells under glutamine starvation. </w:t>
      </w:r>
      <w:r>
        <w:rPr>
          <w:rFonts w:ascii="Times New Roman" w:hAnsi="Times New Roman" w:cs="Times New Roman"/>
          <w:b/>
          <w:bCs/>
          <w:sz w:val="22"/>
          <w:szCs w:val="22"/>
        </w:rPr>
        <w:t>l</w:t>
      </w:r>
      <w:r>
        <w:rPr>
          <w:rFonts w:ascii="Times New Roman" w:hAnsi="Times New Roman" w:cs="Times New Roman"/>
          <w:sz w:val="22"/>
          <w:szCs w:val="22"/>
        </w:rPr>
        <w:t xml:space="preserve">, Expression levels of pyrimidine synthesis genes after 24 h of glutamine starvation relative to </w:t>
      </w:r>
      <w:r>
        <w:rPr>
          <w:rFonts w:ascii="Symbol" w:hAnsi="Symbol" w:cs="Times New Roman"/>
          <w:sz w:val="22"/>
          <w:szCs w:val="22"/>
        </w:rPr>
        <w:t>b</w:t>
      </w:r>
      <w:r>
        <w:rPr>
          <w:rFonts w:ascii="Times New Roman" w:hAnsi="Times New Roman" w:cs="Times New Roman"/>
          <w:sz w:val="22"/>
          <w:szCs w:val="22"/>
        </w:rPr>
        <w:t>-actin. Statistical analysis between hTERT-RPE1 and U2OS cells (</w:t>
      </w:r>
      <w:r>
        <w:rPr>
          <w:rFonts w:ascii="Times New Roman" w:hAnsi="Times New Roman" w:cs="Times New Roman"/>
          <w:i/>
          <w:iCs/>
          <w:sz w:val="22"/>
          <w:szCs w:val="22"/>
        </w:rPr>
        <w:t>NUDT22</w:t>
      </w:r>
      <w:r>
        <w:rPr>
          <w:rFonts w:ascii="Times New Roman" w:hAnsi="Times New Roman" w:cs="Times New Roman"/>
          <w:sz w:val="22"/>
          <w:szCs w:val="22"/>
        </w:rPr>
        <w:t xml:space="preserve"> P=0.0135; </w:t>
      </w:r>
      <w:r>
        <w:rPr>
          <w:rFonts w:ascii="Times New Roman" w:hAnsi="Times New Roman" w:cs="Times New Roman"/>
          <w:i/>
          <w:iCs/>
          <w:sz w:val="22"/>
          <w:szCs w:val="22"/>
        </w:rPr>
        <w:t>TK1</w:t>
      </w:r>
      <w:r>
        <w:rPr>
          <w:rFonts w:ascii="Times New Roman" w:hAnsi="Times New Roman" w:cs="Times New Roman"/>
          <w:sz w:val="22"/>
          <w:szCs w:val="22"/>
        </w:rPr>
        <w:t xml:space="preserve"> P=0.0071; </w:t>
      </w:r>
      <w:r>
        <w:rPr>
          <w:rFonts w:ascii="Times New Roman" w:hAnsi="Times New Roman" w:cs="Times New Roman"/>
          <w:i/>
          <w:iCs/>
          <w:sz w:val="22"/>
          <w:szCs w:val="22"/>
        </w:rPr>
        <w:t>DCK</w:t>
      </w:r>
      <w:r>
        <w:rPr>
          <w:rFonts w:ascii="Times New Roman" w:hAnsi="Times New Roman" w:cs="Times New Roman"/>
          <w:sz w:val="22"/>
          <w:szCs w:val="22"/>
        </w:rPr>
        <w:t xml:space="preserve"> P=0.0132; 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DHODH </w:t>
      </w:r>
      <w:r>
        <w:rPr>
          <w:rFonts w:ascii="Times New Roman" w:hAnsi="Times New Roman" w:cs="Times New Roman"/>
          <w:sz w:val="22"/>
          <w:szCs w:val="22"/>
        </w:rPr>
        <w:t xml:space="preserve">P=ns; </w:t>
      </w:r>
      <w:r>
        <w:rPr>
          <w:rFonts w:ascii="Times New Roman" w:hAnsi="Times New Roman" w:cs="Times New Roman"/>
          <w:i/>
          <w:iCs/>
          <w:sz w:val="22"/>
          <w:szCs w:val="22"/>
        </w:rPr>
        <w:t>UMPS</w:t>
      </w:r>
      <w:r>
        <w:rPr>
          <w:rFonts w:ascii="Times New Roman" w:hAnsi="Times New Roman" w:cs="Times New Roman"/>
          <w:sz w:val="22"/>
          <w:szCs w:val="22"/>
        </w:rPr>
        <w:t xml:space="preserve"> P=0.004; </w:t>
      </w:r>
      <w:r>
        <w:rPr>
          <w:rFonts w:ascii="Times New Roman" w:hAnsi="Times New Roman" w:cs="Times New Roman"/>
          <w:i/>
          <w:iCs/>
          <w:sz w:val="22"/>
          <w:szCs w:val="22"/>
        </w:rPr>
        <w:t>TYMS</w:t>
      </w:r>
      <w:r>
        <w:rPr>
          <w:rFonts w:ascii="Times New Roman" w:hAnsi="Times New Roman" w:cs="Times New Roman"/>
          <w:sz w:val="22"/>
          <w:szCs w:val="22"/>
        </w:rPr>
        <w:t xml:space="preserve"> P=0.01; </w:t>
      </w:r>
      <w:r>
        <w:rPr>
          <w:rFonts w:ascii="Times New Roman" w:hAnsi="Times New Roman" w:cs="Times New Roman"/>
          <w:i/>
          <w:iCs/>
          <w:sz w:val="22"/>
          <w:szCs w:val="22"/>
        </w:rPr>
        <w:t>RNR</w:t>
      </w:r>
      <w:r>
        <w:rPr>
          <w:rFonts w:ascii="Times New Roman" w:hAnsi="Times New Roman" w:cs="Times New Roman"/>
          <w:sz w:val="22"/>
          <w:szCs w:val="22"/>
        </w:rPr>
        <w:t xml:space="preserve"> P=0.0026). P-values were calculated by paired t-test. Data are presented as the mean values with SD. </w:t>
      </w:r>
    </w:p>
    <w:p w14:paraId="05A62CFF" w14:textId="77777777" w:rsidR="00AF132D" w:rsidRDefault="00AF132D" w:rsidP="00AF132D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318E18A" w14:textId="0ED83F3E" w:rsidR="00AF132D" w:rsidRDefault="00AF132D" w:rsidP="00AF132D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5A1A9FA7" wp14:editId="1CFF727F">
            <wp:extent cx="5734050" cy="6257925"/>
            <wp:effectExtent l="0" t="0" r="0" b="9525"/>
            <wp:docPr id="2" name="Picture 2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16018" w14:textId="77777777" w:rsidR="00AF132D" w:rsidRDefault="00AF132D" w:rsidP="00AF132D">
      <w:pPr>
        <w:pStyle w:val="SMHeading"/>
        <w:spacing w:before="0" w:after="0" w:line="480" w:lineRule="auto"/>
        <w:rPr>
          <w:sz w:val="22"/>
          <w:szCs w:val="22"/>
        </w:rPr>
      </w:pPr>
      <w:r>
        <w:rPr>
          <w:sz w:val="22"/>
          <w:szCs w:val="22"/>
        </w:rPr>
        <w:t>Extended Data Fig. 6</w:t>
      </w:r>
    </w:p>
    <w:p w14:paraId="7020674F" w14:textId="77777777" w:rsidR="00AF132D" w:rsidRDefault="00AF132D" w:rsidP="00AF132D">
      <w:pPr>
        <w:pStyle w:val="SMHeading"/>
        <w:spacing w:before="0" w:after="0" w:line="480" w:lineRule="auto"/>
        <w:jc w:val="both"/>
        <w:rPr>
          <w:b w:val="0"/>
          <w:bCs w:val="0"/>
          <w:sz w:val="22"/>
          <w:szCs w:val="22"/>
        </w:rPr>
      </w:pPr>
      <w:proofErr w:type="gramStart"/>
      <w:r>
        <w:rPr>
          <w:sz w:val="22"/>
          <w:szCs w:val="22"/>
        </w:rPr>
        <w:t>a</w:t>
      </w:r>
      <w:r>
        <w:rPr>
          <w:b w:val="0"/>
          <w:bCs w:val="0"/>
          <w:sz w:val="22"/>
          <w:szCs w:val="22"/>
        </w:rPr>
        <w:t>,</w:t>
      </w:r>
      <w:proofErr w:type="gramEnd"/>
      <w:r>
        <w:rPr>
          <w:b w:val="0"/>
          <w:bCs w:val="0"/>
          <w:sz w:val="22"/>
          <w:szCs w:val="22"/>
        </w:rPr>
        <w:t xml:space="preserve"> Dose response curves of </w:t>
      </w:r>
      <w:r>
        <w:rPr>
          <w:b w:val="0"/>
          <w:bCs w:val="0"/>
          <w:i/>
          <w:iCs/>
        </w:rPr>
        <w:t>NUDT22</w:t>
      </w:r>
      <w:r>
        <w:rPr>
          <w:b w:val="0"/>
          <w:bCs w:val="0"/>
          <w:sz w:val="22"/>
          <w:szCs w:val="22"/>
          <w:vertAlign w:val="superscript"/>
        </w:rPr>
        <w:t xml:space="preserve"> </w:t>
      </w:r>
      <w:r>
        <w:rPr>
          <w:b w:val="0"/>
          <w:bCs w:val="0"/>
          <w:sz w:val="22"/>
          <w:szCs w:val="22"/>
        </w:rPr>
        <w:t xml:space="preserve">KO hTERT-RPE1 and U2OS cells exposed to MPA and </w:t>
      </w:r>
      <w:r>
        <w:rPr>
          <w:sz w:val="22"/>
          <w:szCs w:val="22"/>
        </w:rPr>
        <w:t>b</w:t>
      </w:r>
      <w:r>
        <w:rPr>
          <w:b w:val="0"/>
          <w:bCs w:val="0"/>
          <w:sz w:val="22"/>
          <w:szCs w:val="22"/>
        </w:rPr>
        <w:t xml:space="preserve">, 6-MP for 96 h. </w:t>
      </w:r>
      <w:r>
        <w:rPr>
          <w:sz w:val="22"/>
          <w:szCs w:val="22"/>
        </w:rPr>
        <w:t>c</w:t>
      </w:r>
      <w:r>
        <w:rPr>
          <w:b w:val="0"/>
          <w:bCs w:val="0"/>
          <w:sz w:val="22"/>
          <w:szCs w:val="22"/>
        </w:rPr>
        <w:t xml:space="preserve">, </w:t>
      </w:r>
      <w:proofErr w:type="spellStart"/>
      <w:r>
        <w:rPr>
          <w:b w:val="0"/>
          <w:bCs w:val="0"/>
          <w:sz w:val="22"/>
          <w:szCs w:val="22"/>
        </w:rPr>
        <w:t>Pyrazofurin</w:t>
      </w:r>
      <w:proofErr w:type="spellEnd"/>
      <w:r>
        <w:rPr>
          <w:b w:val="0"/>
          <w:bCs w:val="0"/>
          <w:sz w:val="22"/>
          <w:szCs w:val="22"/>
        </w:rPr>
        <w:t xml:space="preserve"> at the EC50 for 96 h stabilizes p53 but MPA and 6-MP do not. </w:t>
      </w:r>
      <w:r>
        <w:rPr>
          <w:sz w:val="22"/>
          <w:szCs w:val="22"/>
        </w:rPr>
        <w:t>d</w:t>
      </w:r>
      <w:r>
        <w:rPr>
          <w:b w:val="0"/>
          <w:bCs w:val="0"/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proofErr w:type="gramStart"/>
      <w:r>
        <w:rPr>
          <w:b w:val="0"/>
          <w:bCs w:val="0"/>
          <w:sz w:val="22"/>
          <w:szCs w:val="22"/>
        </w:rPr>
        <w:t>No</w:t>
      </w:r>
      <w:proofErr w:type="gramEnd"/>
      <w:r>
        <w:rPr>
          <w:b w:val="0"/>
          <w:bCs w:val="0"/>
          <w:sz w:val="22"/>
          <w:szCs w:val="22"/>
        </w:rPr>
        <w:t xml:space="preserve"> cell cycle checkpoint activation was observed in </w:t>
      </w:r>
      <w:r>
        <w:rPr>
          <w:b w:val="0"/>
          <w:bCs w:val="0"/>
          <w:i/>
          <w:sz w:val="22"/>
          <w:szCs w:val="22"/>
        </w:rPr>
        <w:t>NUDT22</w:t>
      </w:r>
      <w:r>
        <w:rPr>
          <w:b w:val="0"/>
          <w:bCs w:val="0"/>
          <w:i/>
          <w:sz w:val="22"/>
          <w:szCs w:val="22"/>
          <w:vertAlign w:val="superscript"/>
        </w:rPr>
        <w:t xml:space="preserve"> </w:t>
      </w:r>
      <w:r>
        <w:rPr>
          <w:b w:val="0"/>
          <w:bCs w:val="0"/>
          <w:sz w:val="22"/>
          <w:szCs w:val="22"/>
        </w:rPr>
        <w:t xml:space="preserve">KO hTERT-RPE1 cells. </w:t>
      </w:r>
      <w:r>
        <w:rPr>
          <w:sz w:val="22"/>
          <w:szCs w:val="22"/>
        </w:rPr>
        <w:t>e</w:t>
      </w:r>
      <w:r>
        <w:rPr>
          <w:b w:val="0"/>
          <w:bCs w:val="0"/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>
        <w:rPr>
          <w:b w:val="0"/>
          <w:bCs w:val="0"/>
          <w:sz w:val="22"/>
          <w:szCs w:val="22"/>
        </w:rPr>
        <w:t xml:space="preserve">Quantification of the nuclear intensity of RPA and </w:t>
      </w:r>
      <w:r>
        <w:rPr>
          <w:rFonts w:ascii="Symbol" w:hAnsi="Symbol"/>
          <w:b w:val="0"/>
          <w:bCs w:val="0"/>
          <w:sz w:val="22"/>
          <w:szCs w:val="22"/>
        </w:rPr>
        <w:t>g</w:t>
      </w:r>
      <w:r>
        <w:rPr>
          <w:b w:val="0"/>
          <w:bCs w:val="0"/>
          <w:sz w:val="22"/>
          <w:szCs w:val="22"/>
        </w:rPr>
        <w:t xml:space="preserve">H2A.X in </w:t>
      </w:r>
      <w:r>
        <w:rPr>
          <w:b w:val="0"/>
          <w:bCs w:val="0"/>
          <w:i/>
          <w:sz w:val="22"/>
          <w:szCs w:val="22"/>
        </w:rPr>
        <w:t xml:space="preserve">NUDT22 </w:t>
      </w:r>
      <w:r>
        <w:rPr>
          <w:b w:val="0"/>
          <w:bCs w:val="0"/>
          <w:iCs/>
          <w:sz w:val="22"/>
          <w:szCs w:val="22"/>
        </w:rPr>
        <w:t>KO</w:t>
      </w:r>
      <w:r>
        <w:rPr>
          <w:b w:val="0"/>
          <w:bCs w:val="0"/>
          <w:i/>
          <w:sz w:val="22"/>
          <w:szCs w:val="22"/>
        </w:rPr>
        <w:t xml:space="preserve"> </w:t>
      </w:r>
      <w:r>
        <w:rPr>
          <w:b w:val="0"/>
          <w:bCs w:val="0"/>
          <w:sz w:val="22"/>
          <w:szCs w:val="22"/>
        </w:rPr>
        <w:t xml:space="preserve">U2OS cells (P&lt;0.0001. P-values were calculated by the </w:t>
      </w:r>
      <w:r>
        <w:rPr>
          <w:b w:val="0"/>
          <w:bCs w:val="0"/>
          <w:sz w:val="22"/>
          <w:szCs w:val="22"/>
        </w:rPr>
        <w:lastRenderedPageBreak/>
        <w:t xml:space="preserve">Mann-Whitney test. Data are presented as the mean values with SD). </w:t>
      </w:r>
      <w:r>
        <w:rPr>
          <w:sz w:val="22"/>
          <w:szCs w:val="22"/>
        </w:rPr>
        <w:t>f</w:t>
      </w:r>
      <w:r>
        <w:rPr>
          <w:b w:val="0"/>
          <w:bCs w:val="0"/>
          <w:sz w:val="22"/>
          <w:szCs w:val="22"/>
        </w:rPr>
        <w:t xml:space="preserve">, Increased DNA damage in hTERT-RPE1 cells after </w:t>
      </w:r>
      <w:proofErr w:type="spellStart"/>
      <w:r>
        <w:rPr>
          <w:b w:val="0"/>
          <w:bCs w:val="0"/>
          <w:sz w:val="22"/>
          <w:szCs w:val="22"/>
        </w:rPr>
        <w:t>pyrazofurin</w:t>
      </w:r>
      <w:proofErr w:type="spellEnd"/>
      <w:r>
        <w:rPr>
          <w:b w:val="0"/>
          <w:bCs w:val="0"/>
          <w:sz w:val="22"/>
          <w:szCs w:val="22"/>
        </w:rPr>
        <w:t xml:space="preserve"> exposure but no further increase in </w:t>
      </w:r>
      <w:r>
        <w:rPr>
          <w:b w:val="0"/>
          <w:bCs w:val="0"/>
          <w:i/>
          <w:iCs/>
          <w:sz w:val="22"/>
          <w:szCs w:val="22"/>
        </w:rPr>
        <w:t>NUDT22</w:t>
      </w:r>
      <w:r>
        <w:rPr>
          <w:b w:val="0"/>
          <w:bCs w:val="0"/>
          <w:sz w:val="22"/>
          <w:szCs w:val="22"/>
        </w:rPr>
        <w:t xml:space="preserve"> KO cells.</w:t>
      </w:r>
    </w:p>
    <w:p w14:paraId="262845CD" w14:textId="77777777" w:rsidR="00AF132D" w:rsidRDefault="00AF132D" w:rsidP="00AF132D">
      <w:pPr>
        <w:pStyle w:val="SMHeading"/>
        <w:spacing w:before="0" w:after="0" w:line="480" w:lineRule="auto"/>
        <w:jc w:val="both"/>
        <w:rPr>
          <w:b w:val="0"/>
          <w:bCs w:val="0"/>
          <w:sz w:val="22"/>
          <w:szCs w:val="22"/>
        </w:rPr>
      </w:pPr>
    </w:p>
    <w:p w14:paraId="720A85F0" w14:textId="1600FEED" w:rsidR="00AF132D" w:rsidRDefault="00AF132D" w:rsidP="00AF132D">
      <w:pPr>
        <w:pStyle w:val="SMHeading"/>
        <w:spacing w:before="0" w:after="0" w:line="480" w:lineRule="auto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4A6BA42E" wp14:editId="21996D40">
            <wp:extent cx="5724525" cy="5657850"/>
            <wp:effectExtent l="0" t="0" r="9525" b="0"/>
            <wp:docPr id="1" name="Picture 1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65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1386F" w14:textId="77777777" w:rsidR="00AF132D" w:rsidRDefault="00AF132D" w:rsidP="00AF132D">
      <w:pPr>
        <w:pStyle w:val="SMHeading"/>
        <w:spacing w:before="0" w:after="0" w:line="480" w:lineRule="auto"/>
        <w:rPr>
          <w:sz w:val="22"/>
          <w:szCs w:val="22"/>
        </w:rPr>
      </w:pPr>
      <w:r>
        <w:rPr>
          <w:sz w:val="22"/>
          <w:szCs w:val="22"/>
        </w:rPr>
        <w:t>Extended Data Fig. 7</w:t>
      </w:r>
    </w:p>
    <w:p w14:paraId="3627000F" w14:textId="2C3B5CC4" w:rsidR="00AF2E74" w:rsidRPr="00AF132D" w:rsidRDefault="00AF132D" w:rsidP="00AF132D">
      <w:pPr>
        <w:pStyle w:val="SMHeading"/>
        <w:spacing w:before="0" w:after="0" w:line="480" w:lineRule="auto"/>
        <w:jc w:val="both"/>
        <w:rPr>
          <w:b w:val="0"/>
          <w:bCs w:val="0"/>
          <w:sz w:val="22"/>
          <w:szCs w:val="22"/>
        </w:rPr>
      </w:pPr>
      <w:proofErr w:type="gramStart"/>
      <w:r>
        <w:rPr>
          <w:sz w:val="22"/>
          <w:szCs w:val="22"/>
        </w:rPr>
        <w:t>a,</w:t>
      </w:r>
      <w:proofErr w:type="gramEnd"/>
      <w:r>
        <w:rPr>
          <w:sz w:val="22"/>
          <w:szCs w:val="22"/>
        </w:rPr>
        <w:t xml:space="preserve"> </w:t>
      </w:r>
      <w:r>
        <w:rPr>
          <w:b w:val="0"/>
          <w:bCs w:val="0"/>
          <w:sz w:val="22"/>
          <w:szCs w:val="22"/>
        </w:rPr>
        <w:t xml:space="preserve">Cell cycle checkpoint activation of ctrl and </w:t>
      </w:r>
      <w:r>
        <w:rPr>
          <w:b w:val="0"/>
          <w:bCs w:val="0"/>
          <w:i/>
          <w:sz w:val="22"/>
          <w:szCs w:val="22"/>
        </w:rPr>
        <w:t>NUDT22</w:t>
      </w:r>
      <w:r>
        <w:rPr>
          <w:b w:val="0"/>
          <w:bCs w:val="0"/>
          <w:sz w:val="22"/>
          <w:szCs w:val="22"/>
        </w:rPr>
        <w:t xml:space="preserve"> KO MCF7 cells was rescued by uridine supplementation. </w:t>
      </w:r>
      <w:r>
        <w:rPr>
          <w:sz w:val="22"/>
          <w:szCs w:val="22"/>
        </w:rPr>
        <w:t>b</w:t>
      </w:r>
      <w:r>
        <w:rPr>
          <w:b w:val="0"/>
          <w:bCs w:val="0"/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>
        <w:rPr>
          <w:b w:val="0"/>
          <w:bCs w:val="0"/>
          <w:sz w:val="22"/>
          <w:szCs w:val="22"/>
        </w:rPr>
        <w:t xml:space="preserve">MCF7 </w:t>
      </w:r>
      <w:r>
        <w:rPr>
          <w:b w:val="0"/>
          <w:bCs w:val="0"/>
          <w:i/>
          <w:sz w:val="22"/>
          <w:szCs w:val="22"/>
        </w:rPr>
        <w:t>NUDT22</w:t>
      </w:r>
      <w:r>
        <w:rPr>
          <w:b w:val="0"/>
          <w:bCs w:val="0"/>
          <w:sz w:val="22"/>
          <w:szCs w:val="22"/>
        </w:rPr>
        <w:t xml:space="preserve"> KO cells grew slower than their parental control cells.</w:t>
      </w:r>
      <w:r>
        <w:rPr>
          <w:sz w:val="22"/>
          <w:szCs w:val="22"/>
        </w:rPr>
        <w:t xml:space="preserve"> c, </w:t>
      </w:r>
      <w:r>
        <w:rPr>
          <w:b w:val="0"/>
          <w:bCs w:val="0"/>
          <w:i/>
          <w:sz w:val="22"/>
          <w:szCs w:val="22"/>
        </w:rPr>
        <w:t>NUDT22</w:t>
      </w:r>
      <w:r>
        <w:rPr>
          <w:b w:val="0"/>
          <w:bCs w:val="0"/>
          <w:sz w:val="22"/>
          <w:szCs w:val="22"/>
        </w:rPr>
        <w:t xml:space="preserve"> KO MCF7 cells have reduced </w:t>
      </w:r>
      <w:proofErr w:type="spellStart"/>
      <w:r>
        <w:rPr>
          <w:b w:val="0"/>
          <w:bCs w:val="0"/>
          <w:sz w:val="22"/>
          <w:szCs w:val="22"/>
        </w:rPr>
        <w:t>EdU</w:t>
      </w:r>
      <w:proofErr w:type="spellEnd"/>
      <w:r>
        <w:rPr>
          <w:b w:val="0"/>
          <w:bCs w:val="0"/>
          <w:sz w:val="22"/>
          <w:szCs w:val="22"/>
        </w:rPr>
        <w:t xml:space="preserve"> incorporation, which is further reduced by </w:t>
      </w:r>
      <w:proofErr w:type="spellStart"/>
      <w:r>
        <w:rPr>
          <w:b w:val="0"/>
          <w:bCs w:val="0"/>
          <w:sz w:val="22"/>
          <w:szCs w:val="22"/>
        </w:rPr>
        <w:t>pyrazofurin</w:t>
      </w:r>
      <w:proofErr w:type="spellEnd"/>
      <w:r>
        <w:rPr>
          <w:b w:val="0"/>
          <w:bCs w:val="0"/>
          <w:sz w:val="22"/>
          <w:szCs w:val="22"/>
        </w:rPr>
        <w:t xml:space="preserve"> exposure. </w:t>
      </w:r>
      <w:r>
        <w:rPr>
          <w:sz w:val="22"/>
          <w:szCs w:val="22"/>
        </w:rPr>
        <w:t>d</w:t>
      </w:r>
      <w:r>
        <w:rPr>
          <w:b w:val="0"/>
          <w:bCs w:val="0"/>
          <w:sz w:val="22"/>
          <w:szCs w:val="22"/>
        </w:rPr>
        <w:t xml:space="preserve">, Reduced replication fork speed in </w:t>
      </w:r>
      <w:r>
        <w:rPr>
          <w:b w:val="0"/>
          <w:bCs w:val="0"/>
          <w:i/>
          <w:sz w:val="22"/>
          <w:szCs w:val="22"/>
        </w:rPr>
        <w:t>NUDT22</w:t>
      </w:r>
      <w:r>
        <w:rPr>
          <w:b w:val="0"/>
          <w:bCs w:val="0"/>
          <w:sz w:val="22"/>
          <w:szCs w:val="22"/>
        </w:rPr>
        <w:t xml:space="preserve"> KO MCF7 cells can be rescued by uridine supplementation.</w:t>
      </w:r>
      <w:r>
        <w:rPr>
          <w:sz w:val="22"/>
          <w:szCs w:val="22"/>
        </w:rPr>
        <w:t xml:space="preserve"> e,</w:t>
      </w:r>
      <w:r>
        <w:rPr>
          <w:b w:val="0"/>
          <w:bCs w:val="0"/>
          <w:sz w:val="22"/>
          <w:szCs w:val="22"/>
        </w:rPr>
        <w:t xml:space="preserve"> </w:t>
      </w:r>
      <w:r>
        <w:rPr>
          <w:b w:val="0"/>
          <w:bCs w:val="0"/>
          <w:i/>
          <w:sz w:val="22"/>
          <w:szCs w:val="22"/>
        </w:rPr>
        <w:t>NUDT22</w:t>
      </w:r>
      <w:r>
        <w:rPr>
          <w:b w:val="0"/>
          <w:bCs w:val="0"/>
          <w:sz w:val="22"/>
          <w:szCs w:val="22"/>
        </w:rPr>
        <w:t xml:space="preserve"> </w:t>
      </w:r>
      <w:r>
        <w:rPr>
          <w:b w:val="0"/>
          <w:bCs w:val="0"/>
          <w:sz w:val="22"/>
          <w:szCs w:val="22"/>
        </w:rPr>
        <w:lastRenderedPageBreak/>
        <w:t xml:space="preserve">KO MCF7 cells have increased </w:t>
      </w:r>
      <w:r>
        <w:rPr>
          <w:rFonts w:ascii="Symbol" w:hAnsi="Symbol"/>
          <w:b w:val="0"/>
          <w:bCs w:val="0"/>
          <w:sz w:val="22"/>
          <w:szCs w:val="22"/>
        </w:rPr>
        <w:t>g</w:t>
      </w:r>
      <w:r>
        <w:rPr>
          <w:b w:val="0"/>
          <w:bCs w:val="0"/>
          <w:sz w:val="22"/>
          <w:szCs w:val="22"/>
        </w:rPr>
        <w:t xml:space="preserve">H2A.X foci formation, which was further increased with </w:t>
      </w:r>
      <w:proofErr w:type="spellStart"/>
      <w:r>
        <w:rPr>
          <w:b w:val="0"/>
          <w:bCs w:val="0"/>
          <w:sz w:val="22"/>
          <w:szCs w:val="22"/>
        </w:rPr>
        <w:t>brequinar</w:t>
      </w:r>
      <w:proofErr w:type="spellEnd"/>
      <w:r>
        <w:rPr>
          <w:b w:val="0"/>
          <w:bCs w:val="0"/>
          <w:sz w:val="22"/>
          <w:szCs w:val="22"/>
        </w:rPr>
        <w:t xml:space="preserve">, leflunomide and </w:t>
      </w:r>
      <w:proofErr w:type="spellStart"/>
      <w:r>
        <w:rPr>
          <w:b w:val="0"/>
          <w:bCs w:val="0"/>
          <w:sz w:val="22"/>
          <w:szCs w:val="22"/>
        </w:rPr>
        <w:t>pyrazofurin</w:t>
      </w:r>
      <w:proofErr w:type="spellEnd"/>
      <w:r>
        <w:rPr>
          <w:b w:val="0"/>
          <w:bCs w:val="0"/>
          <w:sz w:val="22"/>
          <w:szCs w:val="22"/>
        </w:rPr>
        <w:t xml:space="preserve"> (P&lt;0.0001). P-values were calculated by the Mann-Whitney t-test. Data are shown as the mean with SD.</w:t>
      </w:r>
    </w:p>
    <w:sectPr w:rsidR="00AF2E74" w:rsidRPr="00AF13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32D"/>
    <w:rsid w:val="00AF132D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8304E"/>
  <w15:chartTrackingRefBased/>
  <w15:docId w15:val="{3727DD8B-995C-4077-91F9-BC362B9DA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32D"/>
    <w:pPr>
      <w:spacing w:after="0" w:line="240" w:lineRule="auto"/>
    </w:pPr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132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AF132D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AF132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377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943</Words>
  <Characters>5377</Characters>
  <Application>Microsoft Office Word</Application>
  <DocSecurity>0</DocSecurity>
  <Lines>44</Lines>
  <Paragraphs>12</Paragraphs>
  <ScaleCrop>false</ScaleCrop>
  <Company/>
  <LinksUpToDate>false</LinksUpToDate>
  <CharactersWithSpaces>6308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2022-03-29T18:52:00Z</dcterms:created>
  <dcterms:modified xsi:type="dcterms:W3CDTF">2022-03-29T18:52:00Z</dcterms:modified>
</cp:coreProperties>
</file>