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6EF0A" w14:textId="3BBF9372" w:rsidR="007E25ED" w:rsidRPr="00553A4D" w:rsidRDefault="007E25ED" w:rsidP="007E25ED">
      <w:pPr>
        <w:widowControl/>
        <w:spacing w:line="480" w:lineRule="auto"/>
        <w:rPr>
          <w:b/>
          <w:bCs/>
        </w:rPr>
      </w:pPr>
      <w:r>
        <w:rPr>
          <w:rFonts w:eastAsiaTheme="minorEastAsia"/>
        </w:rPr>
        <w:t xml:space="preserve">Supplementary </w:t>
      </w:r>
      <w:r w:rsidRPr="001B0560">
        <w:rPr>
          <w:rFonts w:eastAsiaTheme="minorEastAsia"/>
        </w:rPr>
        <w:t>Fig</w:t>
      </w:r>
      <w:r w:rsidR="00F56E40">
        <w:rPr>
          <w:rFonts w:eastAsiaTheme="minorEastAsia"/>
        </w:rPr>
        <w:t>.</w:t>
      </w:r>
      <w:r w:rsidRPr="001B0560">
        <w:rPr>
          <w:rFonts w:eastAsiaTheme="minorEastAsia"/>
        </w:rPr>
        <w:t xml:space="preserve"> 1. The 1-year and 2-year overall mortality rates for advanced oropharyngeal cancer patients were 29% (95% CI: 23-37%) and 52% (95% CI: 44-60%), respectively</w:t>
      </w:r>
      <w:r>
        <w:rPr>
          <w:rFonts w:eastAsiaTheme="minorEastAsia"/>
        </w:rPr>
        <w:t>.</w:t>
      </w:r>
    </w:p>
    <w:p w14:paraId="1FBCB403" w14:textId="7A68186B" w:rsidR="00A17471" w:rsidRPr="007E25ED" w:rsidRDefault="00041F12">
      <w:r w:rsidRPr="00041F12">
        <w:rPr>
          <w:noProof/>
        </w:rPr>
        <w:drawing>
          <wp:inline distT="0" distB="0" distL="0" distR="0" wp14:anchorId="38A3A421" wp14:editId="119CA263">
            <wp:extent cx="5274310" cy="3869354"/>
            <wp:effectExtent l="0" t="0" r="2540" b="0"/>
            <wp:docPr id="1" name="圖片 1" descr="C:\Users\User\Desktop\武嘉\亞東醫院\論文\2021 口咽癌early mortality分析\Stage III-IV oropharyngeal ca early mortality analysis\投稿\Laryngoscope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武嘉\亞東醫院\論文\2021 口咽癌early mortality分析\Stage III-IV oropharyngeal ca early mortality analysis\投稿\Laryngoscope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6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7471" w:rsidRPr="007E25E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D0AB3" w14:textId="77777777" w:rsidR="00F31F35" w:rsidRDefault="00F31F35" w:rsidP="007E25ED">
      <w:r>
        <w:separator/>
      </w:r>
    </w:p>
  </w:endnote>
  <w:endnote w:type="continuationSeparator" w:id="0">
    <w:p w14:paraId="00E40CDC" w14:textId="77777777" w:rsidR="00F31F35" w:rsidRDefault="00F31F35" w:rsidP="007E2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1096303"/>
      <w:docPartObj>
        <w:docPartGallery w:val="Page Numbers (Bottom of Page)"/>
        <w:docPartUnique/>
      </w:docPartObj>
    </w:sdtPr>
    <w:sdtEndPr/>
    <w:sdtContent>
      <w:p w14:paraId="2B3D317E" w14:textId="098C4283" w:rsidR="0075493A" w:rsidRDefault="00483A6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F12" w:rsidRPr="00041F12">
          <w:rPr>
            <w:noProof/>
            <w:lang w:val="zh-TW"/>
          </w:rPr>
          <w:t>1</w:t>
        </w:r>
        <w:r>
          <w:fldChar w:fldCharType="end"/>
        </w:r>
      </w:p>
    </w:sdtContent>
  </w:sdt>
  <w:p w14:paraId="65A086F6" w14:textId="77777777" w:rsidR="0075493A" w:rsidRDefault="00F31F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8F334" w14:textId="77777777" w:rsidR="00F31F35" w:rsidRDefault="00F31F35" w:rsidP="007E25ED">
      <w:r>
        <w:separator/>
      </w:r>
    </w:p>
  </w:footnote>
  <w:footnote w:type="continuationSeparator" w:id="0">
    <w:p w14:paraId="2D19E5DA" w14:textId="77777777" w:rsidR="00F31F35" w:rsidRDefault="00F31F35" w:rsidP="007E25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F79"/>
    <w:rsid w:val="00041F12"/>
    <w:rsid w:val="003A19EA"/>
    <w:rsid w:val="00483A6A"/>
    <w:rsid w:val="00526F79"/>
    <w:rsid w:val="007E25ED"/>
    <w:rsid w:val="00A17471"/>
    <w:rsid w:val="00F31F35"/>
    <w:rsid w:val="00F5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87B11"/>
  <w15:chartTrackingRefBased/>
  <w15:docId w15:val="{A6045982-31EC-4890-A3BC-D81BBEB7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5E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2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25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25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25E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羅武嘉</dc:creator>
  <cp:keywords/>
  <dc:description/>
  <cp:lastModifiedBy>User</cp:lastModifiedBy>
  <cp:revision>2</cp:revision>
  <dcterms:created xsi:type="dcterms:W3CDTF">2022-04-03T03:17:00Z</dcterms:created>
  <dcterms:modified xsi:type="dcterms:W3CDTF">2022-04-03T03:17:00Z</dcterms:modified>
</cp:coreProperties>
</file>