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CA4" w:rsidRPr="004E1569" w:rsidRDefault="00471CA4" w:rsidP="00471CA4">
      <w:pPr>
        <w:pStyle w:val="SupplementaryMaterial"/>
      </w:pPr>
      <w:r w:rsidRPr="004E1569">
        <w:t>Supplementary Material</w:t>
      </w:r>
    </w:p>
    <w:p w:rsidR="00471CA4" w:rsidRPr="004E1569" w:rsidRDefault="00471CA4" w:rsidP="00471CA4">
      <w:pPr>
        <w:pStyle w:val="1"/>
      </w:pPr>
      <w:r w:rsidRPr="004E1569">
        <w:t>Supplementary Figures and Tables</w:t>
      </w:r>
    </w:p>
    <w:p w:rsidR="00471CA4" w:rsidRPr="004E1569" w:rsidRDefault="00471CA4" w:rsidP="00471CA4">
      <w:pPr>
        <w:pStyle w:val="2"/>
      </w:pPr>
      <w:r w:rsidRPr="004E1569">
        <w:t>Supplementary Figures</w:t>
      </w:r>
    </w:p>
    <w:p w:rsidR="00471CA4" w:rsidRPr="004E1569" w:rsidRDefault="003B4AD2" w:rsidP="00471CA4">
      <w:pPr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372.5pt;height:363.75pt">
            <v:imagedata r:id="rId7" o:title="s fig 1"/>
          </v:shape>
        </w:pict>
      </w:r>
    </w:p>
    <w:p w:rsidR="00577E00" w:rsidRPr="004E1569" w:rsidRDefault="00471CA4" w:rsidP="00712C99">
      <w:pPr>
        <w:pStyle w:val="p0"/>
        <w:spacing w:line="360" w:lineRule="auto"/>
        <w:rPr>
          <w:color w:val="0D0D0D" w:themeColor="text1" w:themeTint="F2"/>
          <w:sz w:val="24"/>
          <w:szCs w:val="24"/>
        </w:rPr>
      </w:pPr>
      <w:r w:rsidRPr="004E1569">
        <w:rPr>
          <w:b/>
          <w:sz w:val="24"/>
          <w:szCs w:val="24"/>
        </w:rPr>
        <w:t xml:space="preserve">Supplementary Figure </w:t>
      </w:r>
      <w:r w:rsidRPr="004E1569">
        <w:rPr>
          <w:b/>
          <w:sz w:val="24"/>
          <w:szCs w:val="24"/>
        </w:rPr>
        <w:fldChar w:fldCharType="begin"/>
      </w:r>
      <w:r w:rsidRPr="004E1569">
        <w:rPr>
          <w:b/>
          <w:sz w:val="24"/>
          <w:szCs w:val="24"/>
        </w:rPr>
        <w:instrText xml:space="preserve"> SEQ Figure \* ARABIC </w:instrText>
      </w:r>
      <w:r w:rsidRPr="004E1569">
        <w:rPr>
          <w:b/>
          <w:sz w:val="24"/>
          <w:szCs w:val="24"/>
        </w:rPr>
        <w:fldChar w:fldCharType="separate"/>
      </w:r>
      <w:r w:rsidR="00B8639E">
        <w:rPr>
          <w:b/>
          <w:noProof/>
          <w:sz w:val="24"/>
          <w:szCs w:val="24"/>
        </w:rPr>
        <w:t>1</w:t>
      </w:r>
      <w:r w:rsidRPr="004E1569">
        <w:rPr>
          <w:b/>
          <w:sz w:val="24"/>
          <w:szCs w:val="24"/>
        </w:rPr>
        <w:fldChar w:fldCharType="end"/>
      </w:r>
      <w:r w:rsidR="00577E00" w:rsidRPr="004E1569">
        <w:rPr>
          <w:b/>
          <w:sz w:val="24"/>
          <w:szCs w:val="24"/>
        </w:rPr>
        <w:t xml:space="preserve">: </w:t>
      </w:r>
      <w:r w:rsidR="002C312C" w:rsidRPr="004E1569">
        <w:rPr>
          <w:b/>
          <w:sz w:val="24"/>
        </w:rPr>
        <w:t>RNPC1</w:t>
      </w:r>
      <w:r w:rsidR="00577E00" w:rsidRPr="004E1569">
        <w:rPr>
          <w:b/>
          <w:sz w:val="24"/>
        </w:rPr>
        <w:t xml:space="preserve"> overexpressed in</w:t>
      </w:r>
      <w:r w:rsidR="00577E00" w:rsidRPr="004E1569">
        <w:rPr>
          <w:b/>
          <w:color w:val="0D0D0D" w:themeColor="text1" w:themeTint="F2"/>
          <w:sz w:val="24"/>
        </w:rPr>
        <w:t xml:space="preserve">creased the </w:t>
      </w:r>
      <w:r w:rsidR="00577E00" w:rsidRPr="004E1569">
        <w:rPr>
          <w:b/>
          <w:color w:val="0D0D0D" w:themeColor="text1" w:themeTint="F2"/>
          <w:sz w:val="24"/>
          <w:szCs w:val="24"/>
        </w:rPr>
        <w:t>viability of GES-1 cells.</w:t>
      </w:r>
      <w:r w:rsidR="00577E00" w:rsidRPr="004E1569">
        <w:rPr>
          <w:color w:val="0D0D0D" w:themeColor="text1" w:themeTint="F2"/>
          <w:sz w:val="24"/>
          <w:szCs w:val="24"/>
        </w:rPr>
        <w:t>(A,B)</w:t>
      </w:r>
      <w:r w:rsidR="00577E00" w:rsidRPr="004E1569">
        <w:rPr>
          <w:color w:val="0D0D0D" w:themeColor="text1" w:themeTint="F2"/>
          <w:sz w:val="24"/>
        </w:rPr>
        <w:t xml:space="preserve"> Western blot and </w:t>
      </w:r>
      <w:r w:rsidR="00577E00" w:rsidRPr="004E1569">
        <w:rPr>
          <w:color w:val="0D0D0D" w:themeColor="text1" w:themeTint="F2"/>
          <w:sz w:val="24"/>
          <w:szCs w:val="24"/>
        </w:rPr>
        <w:t xml:space="preserve">qRT-PCR were used to verify the efficiency </w:t>
      </w:r>
      <w:r w:rsidR="00577E00" w:rsidRPr="004E1569">
        <w:rPr>
          <w:color w:val="0D0D0D" w:themeColor="text1" w:themeTint="F2"/>
          <w:sz w:val="24"/>
        </w:rPr>
        <w:t xml:space="preserve">of </w:t>
      </w:r>
      <w:r w:rsidR="002C312C" w:rsidRPr="004E1569">
        <w:rPr>
          <w:color w:val="0D0D0D" w:themeColor="text1" w:themeTint="F2"/>
          <w:sz w:val="24"/>
        </w:rPr>
        <w:t>RNPC1</w:t>
      </w:r>
      <w:r w:rsidR="00577E00" w:rsidRPr="004E1569">
        <w:rPr>
          <w:color w:val="0D0D0D" w:themeColor="text1" w:themeTint="F2"/>
          <w:sz w:val="24"/>
        </w:rPr>
        <w:t xml:space="preserve"> overexpressed in</w:t>
      </w:r>
      <w:r w:rsidR="00577E00" w:rsidRPr="004E1569">
        <w:rPr>
          <w:color w:val="0D0D0D" w:themeColor="text1" w:themeTint="F2"/>
          <w:sz w:val="24"/>
          <w:szCs w:val="24"/>
        </w:rPr>
        <w:t xml:space="preserve"> GES-1 cells</w:t>
      </w:r>
      <w:r w:rsidR="00577E00" w:rsidRPr="004E1569">
        <w:rPr>
          <w:color w:val="0D0D0D" w:themeColor="text1" w:themeTint="F2"/>
          <w:sz w:val="24"/>
        </w:rPr>
        <w:t xml:space="preserve">. (C)The </w:t>
      </w:r>
      <w:r w:rsidR="00577E00" w:rsidRPr="004E1569">
        <w:rPr>
          <w:color w:val="0D0D0D" w:themeColor="text1" w:themeTint="F2"/>
          <w:sz w:val="24"/>
          <w:szCs w:val="24"/>
        </w:rPr>
        <w:t>viability</w:t>
      </w:r>
      <w:r w:rsidR="00577E00" w:rsidRPr="004E1569">
        <w:rPr>
          <w:color w:val="0D0D0D" w:themeColor="text1" w:themeTint="F2"/>
          <w:sz w:val="24"/>
        </w:rPr>
        <w:t xml:space="preserve"> of gastric cancer cells were measured by CCK-8 assays,</w:t>
      </w:r>
      <w:r w:rsidR="00577E00" w:rsidRPr="004E1569">
        <w:rPr>
          <w:color w:val="0D0D0D" w:themeColor="text1" w:themeTint="F2"/>
          <w:sz w:val="24"/>
          <w:szCs w:val="24"/>
        </w:rPr>
        <w:t xml:space="preserve"> </w:t>
      </w:r>
      <w:r w:rsidR="002C312C" w:rsidRPr="004E1569">
        <w:rPr>
          <w:color w:val="0D0D0D" w:themeColor="text1" w:themeTint="F2"/>
          <w:sz w:val="24"/>
          <w:szCs w:val="24"/>
        </w:rPr>
        <w:t>RNPC1</w:t>
      </w:r>
      <w:r w:rsidR="00577E00" w:rsidRPr="004E1569">
        <w:rPr>
          <w:color w:val="0D0D0D" w:themeColor="text1" w:themeTint="F2"/>
          <w:sz w:val="24"/>
          <w:szCs w:val="24"/>
        </w:rPr>
        <w:t xml:space="preserve"> increased the viability of GES-1 cells.</w:t>
      </w:r>
    </w:p>
    <w:p w:rsidR="00471CA4" w:rsidRPr="004E1569" w:rsidRDefault="003B4AD2" w:rsidP="00712C99">
      <w:pPr>
        <w:pStyle w:val="p0"/>
        <w:spacing w:line="360" w:lineRule="auto"/>
        <w:rPr>
          <w:color w:val="FF0000"/>
          <w:sz w:val="24"/>
          <w:szCs w:val="24"/>
        </w:rPr>
      </w:pPr>
      <w:r>
        <w:rPr>
          <w:color w:val="0D0D0D" w:themeColor="text1" w:themeTint="F2"/>
          <w:sz w:val="24"/>
          <w:szCs w:val="24"/>
        </w:rPr>
        <w:lastRenderedPageBreak/>
        <w:pict>
          <v:shape id="_x0000_i1032" type="#_x0000_t75" style="width:414.95pt;height:425.35pt">
            <v:imagedata r:id="rId8" o:title="s fig 2"/>
          </v:shape>
        </w:pict>
      </w:r>
    </w:p>
    <w:p w:rsidR="00577E00" w:rsidRPr="004E1569" w:rsidRDefault="00471CA4" w:rsidP="00712C99">
      <w:pPr>
        <w:spacing w:line="360" w:lineRule="auto"/>
        <w:rPr>
          <w:rFonts w:ascii="Times New Roman" w:hAnsi="Times New Roman" w:cs="Times New Roman"/>
          <w:sz w:val="24"/>
        </w:rPr>
      </w:pPr>
      <w:r w:rsidRPr="004E1569">
        <w:rPr>
          <w:rFonts w:ascii="Times New Roman" w:hAnsi="Times New Roman" w:cs="Times New Roman"/>
          <w:b/>
          <w:sz w:val="24"/>
          <w:szCs w:val="24"/>
        </w:rPr>
        <w:t>Supplementary Figure 2</w:t>
      </w:r>
      <w:r w:rsidR="00577E00" w:rsidRPr="004E1569">
        <w:rPr>
          <w:rFonts w:ascii="Times New Roman" w:hAnsi="Times New Roman" w:cs="Times New Roman"/>
          <w:b/>
          <w:sz w:val="24"/>
          <w:szCs w:val="24"/>
        </w:rPr>
        <w:t>:</w:t>
      </w:r>
      <w:r w:rsidR="00577E00" w:rsidRPr="004E1569">
        <w:rPr>
          <w:rFonts w:ascii="Times New Roman" w:hAnsi="Times New Roman" w:cs="Times New Roman"/>
          <w:b/>
          <w:sz w:val="24"/>
        </w:rPr>
        <w:t xml:space="preserve"> </w:t>
      </w:r>
      <w:r w:rsidR="002C312C" w:rsidRPr="004E1569">
        <w:rPr>
          <w:rFonts w:ascii="Times New Roman" w:hAnsi="Times New Roman" w:cs="Times New Roman"/>
          <w:b/>
          <w:sz w:val="24"/>
        </w:rPr>
        <w:t>RNPC1</w:t>
      </w:r>
      <w:r w:rsidR="00577E00" w:rsidRPr="004E1569">
        <w:rPr>
          <w:rFonts w:ascii="Times New Roman" w:hAnsi="Times New Roman" w:cs="Times New Roman"/>
          <w:b/>
          <w:sz w:val="24"/>
        </w:rPr>
        <w:t xml:space="preserve"> promoted the migration and invasionability of gastric cancer cells.</w:t>
      </w:r>
      <w:r w:rsidR="00577E00" w:rsidRPr="004E1569">
        <w:rPr>
          <w:rFonts w:ascii="Times New Roman" w:hAnsi="Times New Roman" w:cs="Times New Roman"/>
          <w:sz w:val="24"/>
        </w:rPr>
        <w:t xml:space="preserve">(A)Wound healing assay showed that the </w:t>
      </w:r>
      <w:r w:rsidR="00577E00" w:rsidRPr="004E1569">
        <w:rPr>
          <w:rFonts w:ascii="Times New Roman" w:hAnsi="Times New Roman" w:cs="Times New Roman"/>
          <w:bCs/>
          <w:sz w:val="24"/>
        </w:rPr>
        <w:t>distance migrated of</w:t>
      </w:r>
      <w:r w:rsidR="00577E00" w:rsidRPr="004E1569">
        <w:rPr>
          <w:rFonts w:ascii="Times New Roman" w:hAnsi="Times New Roman" w:cs="Times New Roman"/>
          <w:sz w:val="24"/>
        </w:rPr>
        <w:t xml:space="preserve"> </w:t>
      </w:r>
      <w:r w:rsidR="002C312C" w:rsidRPr="004E1569">
        <w:rPr>
          <w:rFonts w:ascii="Times New Roman" w:hAnsi="Times New Roman" w:cs="Times New Roman"/>
          <w:sz w:val="24"/>
        </w:rPr>
        <w:t>RNPC1</w:t>
      </w:r>
      <w:r w:rsidR="00577E00" w:rsidRPr="004E1569">
        <w:rPr>
          <w:rFonts w:ascii="Times New Roman" w:hAnsi="Times New Roman" w:cs="Times New Roman"/>
          <w:bCs/>
          <w:sz w:val="24"/>
        </w:rPr>
        <w:t xml:space="preserve"> knockdown(sh</w:t>
      </w:r>
      <w:r w:rsidR="002C312C" w:rsidRPr="004E1569">
        <w:rPr>
          <w:rFonts w:ascii="Times New Roman" w:hAnsi="Times New Roman" w:cs="Times New Roman"/>
          <w:bCs/>
          <w:sz w:val="24"/>
        </w:rPr>
        <w:t>RNPC1</w:t>
      </w:r>
      <w:r w:rsidR="00577E00" w:rsidRPr="004E1569">
        <w:rPr>
          <w:rFonts w:ascii="Times New Roman" w:hAnsi="Times New Roman" w:cs="Times New Roman"/>
          <w:bCs/>
          <w:sz w:val="24"/>
        </w:rPr>
        <w:t>-1,sh</w:t>
      </w:r>
      <w:r w:rsidR="002C312C" w:rsidRPr="004E1569">
        <w:rPr>
          <w:rFonts w:ascii="Times New Roman" w:hAnsi="Times New Roman" w:cs="Times New Roman"/>
          <w:bCs/>
          <w:sz w:val="24"/>
        </w:rPr>
        <w:t>RNPC1</w:t>
      </w:r>
      <w:r w:rsidR="00577E00" w:rsidRPr="004E1569">
        <w:rPr>
          <w:rFonts w:ascii="Times New Roman" w:hAnsi="Times New Roman" w:cs="Times New Roman"/>
          <w:bCs/>
          <w:sz w:val="24"/>
        </w:rPr>
        <w:t xml:space="preserve">-2) decreased compared with the control(SCR) group in </w:t>
      </w:r>
      <w:r w:rsidR="00577E00" w:rsidRPr="004E1569">
        <w:rPr>
          <w:rFonts w:ascii="Times New Roman" w:hAnsi="Times New Roman" w:cs="Times New Roman"/>
          <w:sz w:val="24"/>
        </w:rPr>
        <w:t>gastric cancer cell lines MGC-803 and SGC-7901</w:t>
      </w:r>
      <w:r w:rsidR="00577E00" w:rsidRPr="004E1569">
        <w:rPr>
          <w:rFonts w:ascii="Times New Roman" w:hAnsi="Times New Roman" w:cs="Times New Roman"/>
          <w:bCs/>
          <w:sz w:val="24"/>
        </w:rPr>
        <w:t xml:space="preserve">. </w:t>
      </w:r>
      <w:r w:rsidR="00577E00" w:rsidRPr="004E1569">
        <w:rPr>
          <w:rFonts w:ascii="Times New Roman" w:hAnsi="Times New Roman" w:cs="Times New Roman"/>
          <w:sz w:val="24"/>
        </w:rPr>
        <w:t xml:space="preserve">(B) </w:t>
      </w:r>
      <w:r w:rsidR="002C312C" w:rsidRPr="004E1569">
        <w:rPr>
          <w:rFonts w:ascii="Times New Roman" w:hAnsi="Times New Roman" w:cs="Times New Roman"/>
          <w:sz w:val="24"/>
        </w:rPr>
        <w:t>RNPC1</w:t>
      </w:r>
      <w:r w:rsidR="00577E00" w:rsidRPr="004E1569">
        <w:rPr>
          <w:rFonts w:ascii="Times New Roman" w:hAnsi="Times New Roman" w:cs="Times New Roman"/>
          <w:sz w:val="24"/>
        </w:rPr>
        <w:t xml:space="preserve"> overexpression (</w:t>
      </w:r>
      <w:r w:rsidR="002C312C" w:rsidRPr="004E1569">
        <w:rPr>
          <w:rFonts w:ascii="Times New Roman" w:hAnsi="Times New Roman" w:cs="Times New Roman"/>
          <w:sz w:val="24"/>
        </w:rPr>
        <w:t>RNPC1</w:t>
      </w:r>
      <w:r w:rsidR="00577E00" w:rsidRPr="004E1569">
        <w:rPr>
          <w:rFonts w:ascii="Times New Roman" w:hAnsi="Times New Roman" w:cs="Times New Roman"/>
          <w:sz w:val="24"/>
        </w:rPr>
        <w:t>) resulted in a significant increase in the migratory capabilities of gastric cancer cells compared with the control (NC)</w:t>
      </w:r>
      <w:r w:rsidR="00841C9E" w:rsidRPr="004E1569">
        <w:rPr>
          <w:rFonts w:ascii="Times New Roman" w:hAnsi="Times New Roman" w:cs="Times New Roman"/>
          <w:sz w:val="24"/>
        </w:rPr>
        <w:t xml:space="preserve"> and empty vector(WT)</w:t>
      </w:r>
      <w:r w:rsidR="00577E00" w:rsidRPr="004E1569">
        <w:rPr>
          <w:rFonts w:ascii="Times New Roman" w:hAnsi="Times New Roman" w:cs="Times New Roman"/>
          <w:sz w:val="24"/>
        </w:rPr>
        <w:t xml:space="preserve"> cells.</w:t>
      </w:r>
      <w:r w:rsidR="00577E00" w:rsidRPr="004E1569">
        <w:rPr>
          <w:rFonts w:ascii="Times New Roman" w:hAnsi="Times New Roman" w:cs="Times New Roman"/>
          <w:bCs/>
          <w:sz w:val="24"/>
        </w:rPr>
        <w:t xml:space="preserve"> </w:t>
      </w:r>
      <w:r w:rsidR="00577E00" w:rsidRPr="004E1569">
        <w:rPr>
          <w:rFonts w:ascii="Times New Roman" w:hAnsi="Times New Roman" w:cs="Times New Roman"/>
          <w:sz w:val="24"/>
        </w:rPr>
        <w:t>Representative photographs (left) and qu</w:t>
      </w:r>
      <w:r w:rsidR="00841C9E" w:rsidRPr="004E1569">
        <w:rPr>
          <w:rFonts w:ascii="Times New Roman" w:hAnsi="Times New Roman" w:cs="Times New Roman"/>
          <w:sz w:val="24"/>
        </w:rPr>
        <w:t xml:space="preserve">antification (right) were shown. </w:t>
      </w:r>
      <w:r w:rsidR="00577E00" w:rsidRPr="004E1569">
        <w:rPr>
          <w:rFonts w:ascii="Times New Roman" w:hAnsi="Times New Roman" w:cs="Times New Roman"/>
          <w:sz w:val="24"/>
        </w:rPr>
        <w:t xml:space="preserve">(C) Knockdown of </w:t>
      </w:r>
      <w:r w:rsidR="002C312C" w:rsidRPr="004E1569">
        <w:rPr>
          <w:rFonts w:ascii="Times New Roman" w:hAnsi="Times New Roman" w:cs="Times New Roman"/>
          <w:sz w:val="24"/>
        </w:rPr>
        <w:t>RNPC1</w:t>
      </w:r>
      <w:r w:rsidR="00577E00" w:rsidRPr="004E1569">
        <w:rPr>
          <w:rFonts w:ascii="Times New Roman" w:hAnsi="Times New Roman" w:cs="Times New Roman"/>
          <w:sz w:val="24"/>
        </w:rPr>
        <w:t xml:space="preserve"> resulted in a significant decrease in the migratory and invasive capabilities of MGC-803 and SGC-7901 cells compared with the control(SCR) cells.( D) On the contrary, the </w:t>
      </w:r>
      <w:r w:rsidR="002C312C" w:rsidRPr="004E1569">
        <w:rPr>
          <w:rFonts w:ascii="Times New Roman" w:hAnsi="Times New Roman" w:cs="Times New Roman"/>
          <w:sz w:val="24"/>
        </w:rPr>
        <w:t>RNPC1</w:t>
      </w:r>
      <w:r w:rsidR="00577E00" w:rsidRPr="004E1569">
        <w:rPr>
          <w:rFonts w:ascii="Times New Roman" w:hAnsi="Times New Roman" w:cs="Times New Roman"/>
          <w:sz w:val="24"/>
        </w:rPr>
        <w:t xml:space="preserve"> overexpression increased the migration and invasion ability. The representative photographs (left) and quantification (right) of transwell </w:t>
      </w:r>
      <w:r w:rsidR="00577E00" w:rsidRPr="004E1569">
        <w:rPr>
          <w:rFonts w:ascii="Times New Roman" w:hAnsi="Times New Roman" w:cs="Times New Roman"/>
          <w:sz w:val="24"/>
        </w:rPr>
        <w:lastRenderedPageBreak/>
        <w:t>migration assay and matrigel invasion assay were shown, (*</w:t>
      </w:r>
      <w:r w:rsidR="00577E00" w:rsidRPr="004E1569">
        <w:rPr>
          <w:rFonts w:ascii="Times New Roman" w:hAnsi="Times New Roman" w:cs="Times New Roman"/>
          <w:i/>
          <w:sz w:val="24"/>
        </w:rPr>
        <w:t>P</w:t>
      </w:r>
      <w:r w:rsidR="00577E00" w:rsidRPr="004E1569">
        <w:rPr>
          <w:rFonts w:ascii="Times New Roman" w:hAnsi="Times New Roman" w:cs="Times New Roman"/>
          <w:sz w:val="24"/>
        </w:rPr>
        <w:t>&lt;0.05, **</w:t>
      </w:r>
      <w:r w:rsidR="00577E00" w:rsidRPr="004E1569">
        <w:rPr>
          <w:rFonts w:ascii="Times New Roman" w:hAnsi="Times New Roman" w:cs="Times New Roman"/>
          <w:i/>
          <w:sz w:val="24"/>
        </w:rPr>
        <w:t>P</w:t>
      </w:r>
      <w:r w:rsidR="00577E00" w:rsidRPr="004E1569">
        <w:rPr>
          <w:rFonts w:ascii="Times New Roman" w:hAnsi="Times New Roman" w:cs="Times New Roman"/>
          <w:sz w:val="24"/>
        </w:rPr>
        <w:t>&lt;0.01).</w:t>
      </w:r>
    </w:p>
    <w:p w:rsidR="00471CA4" w:rsidRPr="004E1569" w:rsidRDefault="003B4AD2" w:rsidP="00712C9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>
          <v:shape id="_x0000_i1034" type="#_x0000_t75" style="width:414.5pt;height:444.5pt">
            <v:imagedata r:id="rId9" o:title="s fig 3"/>
          </v:shape>
        </w:pict>
      </w:r>
    </w:p>
    <w:p w:rsidR="000C0482" w:rsidRPr="004E1569" w:rsidRDefault="00471CA4" w:rsidP="00712C99">
      <w:pPr>
        <w:spacing w:line="360" w:lineRule="auto"/>
        <w:rPr>
          <w:rFonts w:ascii="Times New Roman" w:hAnsi="Times New Roman" w:cs="Times New Roman"/>
          <w:sz w:val="24"/>
        </w:rPr>
      </w:pPr>
      <w:r w:rsidRPr="004E1569">
        <w:rPr>
          <w:rFonts w:ascii="Times New Roman" w:hAnsi="Times New Roman" w:cs="Times New Roman"/>
          <w:b/>
          <w:sz w:val="24"/>
          <w:szCs w:val="24"/>
        </w:rPr>
        <w:t>Supplementary Figure 3</w:t>
      </w:r>
      <w:r w:rsidR="000C0482" w:rsidRPr="004E1569">
        <w:rPr>
          <w:rFonts w:ascii="Times New Roman" w:hAnsi="Times New Roman" w:cs="Times New Roman"/>
          <w:b/>
          <w:kern w:val="0"/>
          <w:sz w:val="24"/>
          <w:szCs w:val="24"/>
        </w:rPr>
        <w:t xml:space="preserve">: </w:t>
      </w:r>
      <w:r w:rsidR="000C0482" w:rsidRPr="004E1569">
        <w:rPr>
          <w:rFonts w:ascii="Times New Roman" w:hAnsi="Times New Roman" w:cs="Times New Roman"/>
          <w:b/>
          <w:kern w:val="0"/>
          <w:sz w:val="24"/>
        </w:rPr>
        <w:t xml:space="preserve">AURKB acted as an oncogene in gastric cancer cell. </w:t>
      </w:r>
      <w:r w:rsidR="000C0482" w:rsidRPr="004E1569">
        <w:rPr>
          <w:rFonts w:ascii="Times New Roman" w:hAnsi="Times New Roman" w:cs="Times New Roman"/>
          <w:kern w:val="0"/>
          <w:sz w:val="24"/>
        </w:rPr>
        <w:t>(A)</w:t>
      </w:r>
      <w:r w:rsidR="000C0482" w:rsidRPr="004E1569">
        <w:rPr>
          <w:rFonts w:ascii="Times New Roman" w:hAnsi="Times New Roman" w:cs="Times New Roman"/>
          <w:sz w:val="24"/>
        </w:rPr>
        <w:t xml:space="preserve"> Western blot and qRT-PCR were used to confirm the efficiency of AURKB knockdown (AURKB-S1,AURKB-S2). (B)The growth ability of cells was measured with CCK-8. AURKB knockdown inhibited the growth ability of gastric cancer cells. (C)AURKB knockdown inhibited the </w:t>
      </w:r>
      <w:r w:rsidR="000C0482" w:rsidRPr="004E1569">
        <w:rPr>
          <w:rStyle w:val="fontstyle01"/>
          <w:rFonts w:ascii="Times New Roman" w:hAnsi="Times New Roman" w:cs="Times New Roman"/>
          <w:sz w:val="24"/>
          <w:szCs w:val="24"/>
        </w:rPr>
        <w:t>invasion ability of gastric cancer cells,</w:t>
      </w:r>
      <w:r w:rsidR="000C0482" w:rsidRPr="004E1569">
        <w:rPr>
          <w:rFonts w:ascii="Times New Roman" w:hAnsi="Times New Roman" w:cs="Times New Roman"/>
          <w:sz w:val="24"/>
        </w:rPr>
        <w:t xml:space="preserve"> Representative photographs (left) and quantification (right) were shown. (*</w:t>
      </w:r>
      <w:r w:rsidR="000C0482" w:rsidRPr="004E1569">
        <w:rPr>
          <w:rFonts w:ascii="Times New Roman" w:hAnsi="Times New Roman" w:cs="Times New Roman"/>
          <w:i/>
          <w:sz w:val="24"/>
        </w:rPr>
        <w:t>P</w:t>
      </w:r>
      <w:r w:rsidR="000C0482" w:rsidRPr="004E1569">
        <w:rPr>
          <w:rFonts w:ascii="Times New Roman" w:hAnsi="Times New Roman" w:cs="Times New Roman"/>
          <w:sz w:val="24"/>
        </w:rPr>
        <w:t>&lt;0.05, **</w:t>
      </w:r>
      <w:r w:rsidR="000C0482" w:rsidRPr="004E1569">
        <w:rPr>
          <w:rFonts w:ascii="Times New Roman" w:hAnsi="Times New Roman" w:cs="Times New Roman"/>
          <w:i/>
          <w:sz w:val="24"/>
        </w:rPr>
        <w:t>P</w:t>
      </w:r>
      <w:r w:rsidR="000C0482" w:rsidRPr="004E1569">
        <w:rPr>
          <w:rFonts w:ascii="Times New Roman" w:hAnsi="Times New Roman" w:cs="Times New Roman"/>
          <w:sz w:val="24"/>
        </w:rPr>
        <w:t>&lt;0.01).</w:t>
      </w:r>
    </w:p>
    <w:p w:rsidR="00581897" w:rsidRPr="004E1569" w:rsidRDefault="00581897">
      <w:pPr>
        <w:rPr>
          <w:rFonts w:ascii="Times New Roman" w:hAnsi="Times New Roman" w:cs="Times New Roman"/>
        </w:rPr>
      </w:pP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3416F" w:rsidRPr="004E1569" w:rsidRDefault="00471CA4" w:rsidP="0003416F">
      <w:pPr>
        <w:pStyle w:val="2"/>
      </w:pPr>
      <w:r w:rsidRPr="004E1569">
        <w:rPr>
          <w:rFonts w:eastAsia="宋体"/>
        </w:rPr>
        <w:t xml:space="preserve"> </w:t>
      </w:r>
      <w:r w:rsidRPr="004E1569">
        <w:t xml:space="preserve">Supplementary Table </w:t>
      </w:r>
    </w:p>
    <w:p w:rsidR="0003416F" w:rsidRPr="004E1569" w:rsidRDefault="00471CA4" w:rsidP="0003416F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4E1569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03416F" w:rsidRPr="004E156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1:</w:t>
      </w:r>
      <w:r w:rsidR="0003416F" w:rsidRPr="004E1569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association of AURKB expression and clinicopathological characteristics of gastric cancer</w:t>
      </w:r>
      <w:r w:rsidR="0003416F" w:rsidRPr="004E1569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:rsidR="0003416F" w:rsidRPr="004E1569" w:rsidRDefault="0003416F" w:rsidP="0003416F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tbl>
      <w:tblPr>
        <w:tblStyle w:val="a4"/>
        <w:tblW w:w="716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1"/>
        <w:gridCol w:w="1313"/>
        <w:gridCol w:w="1437"/>
        <w:gridCol w:w="1156"/>
        <w:gridCol w:w="962"/>
      </w:tblGrid>
      <w:tr w:rsidR="0003416F" w:rsidRPr="004E1569" w:rsidTr="00295398">
        <w:tc>
          <w:tcPr>
            <w:tcW w:w="2301" w:type="dxa"/>
            <w:vMerge w:val="restart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 xml:space="preserve">Clinicopathological </w:t>
            </w:r>
          </w:p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 xml:space="preserve">　</w:t>
            </w:r>
            <w:r w:rsidRPr="004E1569">
              <w:rPr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No. of case</w:t>
            </w:r>
          </w:p>
        </w:tc>
        <w:tc>
          <w:tcPr>
            <w:tcW w:w="25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3416F" w:rsidRPr="004E1569" w:rsidRDefault="0003416F" w:rsidP="00295398">
            <w:pPr>
              <w:widowControl/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AURKB expression</w:t>
            </w:r>
          </w:p>
        </w:tc>
        <w:tc>
          <w:tcPr>
            <w:tcW w:w="962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i/>
                <w:sz w:val="24"/>
                <w:szCs w:val="24"/>
              </w:rPr>
            </w:pPr>
            <w:r w:rsidRPr="004E1569">
              <w:rPr>
                <w:i/>
                <w:sz w:val="24"/>
                <w:szCs w:val="24"/>
              </w:rPr>
              <w:t>P</w:t>
            </w:r>
          </w:p>
        </w:tc>
      </w:tr>
      <w:tr w:rsidR="0003416F" w:rsidRPr="004E1569" w:rsidTr="00295398">
        <w:tc>
          <w:tcPr>
            <w:tcW w:w="2301" w:type="dxa"/>
            <w:vMerge/>
            <w:tcBorders>
              <w:bottom w:val="single" w:sz="4" w:space="0" w:color="auto"/>
            </w:tcBorders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bottom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Low(%)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High(%)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i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gender</w:t>
            </w:r>
          </w:p>
        </w:tc>
        <w:tc>
          <w:tcPr>
            <w:tcW w:w="1313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Male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44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18(40.10)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26(59.09)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Female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41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16(39.02)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25(60.98)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1.000</w:t>
            </w: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Pathological grade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I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3(50.00)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3(50.00)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II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22(44.90)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27(55.10)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9(30.00)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21(70.00)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0.370</w:t>
            </w: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Age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&lt;=60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14(34.15)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27(65.85)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&gt;60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20(45.45)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24(54.55)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0.376</w:t>
            </w: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bookmarkStart w:id="0" w:name="OLE_LINK22"/>
            <w:bookmarkStart w:id="1" w:name="_Hlk490391355"/>
            <w:r w:rsidRPr="004E1569">
              <w:rPr>
                <w:color w:val="000000"/>
                <w:sz w:val="24"/>
                <w:szCs w:val="24"/>
              </w:rPr>
              <w:t>TNM stage</w:t>
            </w:r>
            <w:bookmarkEnd w:id="0"/>
            <w:bookmarkEnd w:id="1"/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I+ II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25(49.02)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26(50.98)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Ⅲ+Ⅳ</w:t>
            </w:r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9(26.47)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25(73.52)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bookmarkStart w:id="2" w:name="_Hlk490391546"/>
            <w:r w:rsidRPr="004E1569">
              <w:rPr>
                <w:color w:val="0D0D0D" w:themeColor="text1" w:themeTint="F2"/>
                <w:sz w:val="24"/>
                <w:szCs w:val="24"/>
              </w:rPr>
              <w:t>0.038</w:t>
            </w:r>
            <w:bookmarkEnd w:id="2"/>
          </w:p>
        </w:tc>
      </w:tr>
      <w:tr w:rsidR="0003416F" w:rsidRPr="004E1569" w:rsidTr="00295398">
        <w:tc>
          <w:tcPr>
            <w:tcW w:w="2301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bookmarkStart w:id="3" w:name="_Hlk490391367"/>
            <w:r w:rsidRPr="004E1569">
              <w:rPr>
                <w:color w:val="000000"/>
                <w:sz w:val="24"/>
                <w:szCs w:val="24"/>
              </w:rPr>
              <w:t>Lymph node metastasis</w:t>
            </w:r>
            <w:bookmarkEnd w:id="3"/>
          </w:p>
        </w:tc>
        <w:tc>
          <w:tcPr>
            <w:tcW w:w="1313" w:type="dxa"/>
            <w:vAlign w:val="center"/>
          </w:tcPr>
          <w:p w:rsidR="0003416F" w:rsidRPr="004E1569" w:rsidRDefault="0003416F" w:rsidP="00295398">
            <w:pPr>
              <w:widowControl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-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27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17(62.96)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10(37.04)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+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48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17(35.42)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31(64.58)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bookmarkStart w:id="4" w:name="_Hlk490391554"/>
            <w:r w:rsidRPr="004E1569">
              <w:rPr>
                <w:color w:val="0D0D0D" w:themeColor="text1" w:themeTint="F2"/>
                <w:sz w:val="24"/>
                <w:szCs w:val="24"/>
              </w:rPr>
              <w:t>0.021</w:t>
            </w:r>
            <w:bookmarkEnd w:id="4"/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Cancer type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Gastric cancer tissues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85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34(40.00)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51(60.00)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</w:p>
        </w:tc>
      </w:tr>
      <w:tr w:rsidR="0003416F" w:rsidRPr="004E1569" w:rsidTr="00295398">
        <w:tc>
          <w:tcPr>
            <w:tcW w:w="2301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color w:val="000000"/>
                <w:sz w:val="24"/>
                <w:szCs w:val="24"/>
              </w:rPr>
              <w:t>tumor-adjacent normal tissues</w:t>
            </w:r>
          </w:p>
        </w:tc>
        <w:tc>
          <w:tcPr>
            <w:tcW w:w="1313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26</w:t>
            </w:r>
          </w:p>
        </w:tc>
        <w:tc>
          <w:tcPr>
            <w:tcW w:w="1437" w:type="dxa"/>
          </w:tcPr>
          <w:p w:rsidR="0003416F" w:rsidRPr="004E1569" w:rsidRDefault="0003416F" w:rsidP="00295398">
            <w:pPr>
              <w:spacing w:line="360" w:lineRule="auto"/>
              <w:rPr>
                <w:sz w:val="24"/>
                <w:szCs w:val="24"/>
              </w:rPr>
            </w:pPr>
            <w:r w:rsidRPr="004E1569">
              <w:rPr>
                <w:sz w:val="24"/>
                <w:szCs w:val="24"/>
              </w:rPr>
              <w:t>22(84.62)</w:t>
            </w:r>
          </w:p>
        </w:tc>
        <w:tc>
          <w:tcPr>
            <w:tcW w:w="1156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4(15.38)</w:t>
            </w:r>
          </w:p>
        </w:tc>
        <w:tc>
          <w:tcPr>
            <w:tcW w:w="962" w:type="dxa"/>
          </w:tcPr>
          <w:p w:rsidR="0003416F" w:rsidRPr="004E1569" w:rsidRDefault="0003416F" w:rsidP="00295398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4E1569">
              <w:rPr>
                <w:color w:val="0D0D0D" w:themeColor="text1" w:themeTint="F2"/>
                <w:sz w:val="24"/>
                <w:szCs w:val="24"/>
              </w:rPr>
              <w:t>0.000</w:t>
            </w:r>
          </w:p>
        </w:tc>
      </w:tr>
    </w:tbl>
    <w:p w:rsidR="0003416F" w:rsidRPr="004E1569" w:rsidRDefault="0003416F" w:rsidP="0003416F">
      <w:pPr>
        <w:rPr>
          <w:rFonts w:ascii="Times New Roman" w:hAnsi="Times New Roman" w:cs="Times New Roman"/>
        </w:rPr>
      </w:pPr>
    </w:p>
    <w:p w:rsidR="00471CA4" w:rsidRPr="004E1569" w:rsidRDefault="00471CA4" w:rsidP="0003416F">
      <w:pPr>
        <w:rPr>
          <w:rFonts w:ascii="Times New Roman" w:hAnsi="Times New Roman" w:cs="Times New Roman"/>
        </w:rPr>
      </w:pPr>
    </w:p>
    <w:p w:rsidR="00471CA4" w:rsidRPr="004E1569" w:rsidRDefault="00471CA4" w:rsidP="0003416F">
      <w:pPr>
        <w:rPr>
          <w:rFonts w:ascii="Times New Roman" w:hAnsi="Times New Roman" w:cs="Times New Roman"/>
        </w:rPr>
      </w:pPr>
    </w:p>
    <w:p w:rsidR="00E54AE6" w:rsidRPr="004E1569" w:rsidRDefault="004E1569" w:rsidP="00E54AE6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E1569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 w:rsidRPr="004E156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2</w:t>
      </w:r>
      <w:r w:rsidR="00E54AE6" w:rsidRPr="004E156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: </w:t>
      </w:r>
      <w:r w:rsidR="00E54AE6" w:rsidRPr="004E15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The sequences</w:t>
      </w:r>
      <w:r w:rsidR="00471CA4" w:rsidRPr="004E156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used in this article.</w:t>
      </w:r>
    </w:p>
    <w:p w:rsidR="0003416F" w:rsidRDefault="0003416F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749"/>
      </w:tblGrid>
      <w:tr w:rsidR="00C040A1" w:rsidTr="0089641A">
        <w:tc>
          <w:tcPr>
            <w:tcW w:w="2547" w:type="dxa"/>
            <w:tcBorders>
              <w:bottom w:val="single" w:sz="4" w:space="0" w:color="auto"/>
            </w:tcBorders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N</w:t>
            </w:r>
            <w:r>
              <w:rPr>
                <w:bCs/>
                <w:sz w:val="24"/>
                <w:szCs w:val="24"/>
              </w:rPr>
              <w:t>ame</w:t>
            </w:r>
          </w:p>
        </w:tc>
        <w:tc>
          <w:tcPr>
            <w:tcW w:w="5749" w:type="dxa"/>
            <w:tcBorders>
              <w:bottom w:val="single" w:sz="4" w:space="0" w:color="auto"/>
            </w:tcBorders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S</w:t>
            </w:r>
            <w:r>
              <w:rPr>
                <w:bCs/>
                <w:sz w:val="24"/>
                <w:szCs w:val="24"/>
              </w:rPr>
              <w:t>equences</w:t>
            </w:r>
          </w:p>
        </w:tc>
      </w:tr>
      <w:tr w:rsidR="00C040A1" w:rsidTr="0089641A">
        <w:tc>
          <w:tcPr>
            <w:tcW w:w="2547" w:type="dxa"/>
            <w:tcBorders>
              <w:top w:val="single" w:sz="4" w:space="0" w:color="auto"/>
            </w:tcBorders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siRNA suqences</w:t>
            </w:r>
          </w:p>
        </w:tc>
        <w:tc>
          <w:tcPr>
            <w:tcW w:w="5749" w:type="dxa"/>
            <w:tcBorders>
              <w:top w:val="single" w:sz="4" w:space="0" w:color="auto"/>
            </w:tcBorders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 xml:space="preserve">siAURKB-1 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231F20"/>
                <w:sz w:val="24"/>
                <w:szCs w:val="24"/>
              </w:rPr>
              <w:t>5'-</w:t>
            </w:r>
            <w:r w:rsidRPr="00F500E1">
              <w:rPr>
                <w:sz w:val="24"/>
                <w:szCs w:val="24"/>
              </w:rPr>
              <w:t>GCAGAGAGAUCGAAAUCCAGGTT</w:t>
            </w: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siAURKB-2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231F20"/>
                <w:sz w:val="24"/>
                <w:szCs w:val="24"/>
              </w:rPr>
              <w:t>5'-</w:t>
            </w:r>
            <w:r w:rsidRPr="00F500E1">
              <w:rPr>
                <w:sz w:val="24"/>
                <w:szCs w:val="24"/>
              </w:rPr>
              <w:t>GCAGAAGAGCUGCACAUUUGATT</w:t>
            </w: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si</w:t>
            </w:r>
            <w:r>
              <w:rPr>
                <w:color w:val="0D0D0D" w:themeColor="text1" w:themeTint="F2"/>
                <w:sz w:val="24"/>
                <w:szCs w:val="24"/>
              </w:rPr>
              <w:t>RNPC1</w:t>
            </w:r>
            <w:r w:rsidRPr="00F500E1">
              <w:rPr>
                <w:color w:val="0D0D0D" w:themeColor="text1" w:themeTint="F2"/>
                <w:sz w:val="24"/>
                <w:szCs w:val="24"/>
              </w:rPr>
              <w:t>-1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231F20"/>
                <w:sz w:val="24"/>
                <w:szCs w:val="24"/>
              </w:rPr>
              <w:t>5'-</w:t>
            </w:r>
            <w:r w:rsidRPr="00F500E1">
              <w:rPr>
                <w:sz w:val="24"/>
                <w:szCs w:val="24"/>
              </w:rPr>
              <w:t>CCACGUUCACCAAGAUCUUTT</w:t>
            </w: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-3'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si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>RNPC1</w:t>
            </w: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231F20"/>
                <w:sz w:val="24"/>
                <w:szCs w:val="24"/>
              </w:rPr>
              <w:t>5'-</w:t>
            </w:r>
            <w:r>
              <w:rPr>
                <w:sz w:val="24"/>
                <w:szCs w:val="24"/>
              </w:rPr>
              <w:t>GGAAGUACUUCGAGGGCUUTT</w:t>
            </w:r>
            <w:r w:rsidRPr="00F500E1">
              <w:rPr>
                <w:rStyle w:val="fontstyle01"/>
                <w:rFonts w:ascii="Times New Roman" w:hAnsi="Times New Roman"/>
                <w:sz w:val="24"/>
                <w:szCs w:val="24"/>
              </w:rPr>
              <w:t>-3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color w:val="0D0D0D" w:themeColor="text1" w:themeTint="F2"/>
                <w:sz w:val="24"/>
                <w:szCs w:val="24"/>
              </w:rPr>
              <w:t>P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CR primers 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RNPC1 forward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5′-ACGCCTCGCTCAGGAAGTA-3′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RNPC1 reverse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5′-GTCTTTGCAAGCCCTCTCAG-3′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β-actin forward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5′-GCTGTGCTATCCCTGTACGC-3′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color w:val="0D0D0D" w:themeColor="text1" w:themeTint="F2"/>
                <w:sz w:val="24"/>
                <w:szCs w:val="24"/>
              </w:rPr>
              <w:t>β-actin reverse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5′-TGCCTCAGGGCAGCGGAACC-3′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F500E1">
              <w:rPr>
                <w:color w:val="000000" w:themeColor="text1"/>
                <w:sz w:val="24"/>
                <w:szCs w:val="24"/>
              </w:rPr>
              <w:t>AURKB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 forward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</w:t>
            </w:r>
            <w:r w:rsidRPr="00F500E1">
              <w:rPr>
                <w:color w:val="000000"/>
                <w:sz w:val="24"/>
                <w:szCs w:val="24"/>
              </w:rPr>
              <w:t xml:space="preserve"> CAGTGGGACACCCGACATC-</w:t>
            </w:r>
            <w:r w:rsidRPr="00F500E1">
              <w:rPr>
                <w:color w:val="0D0D0D" w:themeColor="text1" w:themeTint="F2"/>
                <w:sz w:val="24"/>
                <w:szCs w:val="24"/>
              </w:rPr>
              <w:t>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F500E1">
              <w:rPr>
                <w:color w:val="000000" w:themeColor="text1"/>
                <w:sz w:val="24"/>
                <w:szCs w:val="24"/>
              </w:rPr>
              <w:t>AURKB</w:t>
            </w:r>
            <w:r>
              <w:rPr>
                <w:color w:val="0D0D0D" w:themeColor="text1" w:themeTint="F2"/>
                <w:sz w:val="24"/>
                <w:szCs w:val="24"/>
              </w:rPr>
              <w:t xml:space="preserve"> reverse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  <w:r w:rsidRPr="00F500E1">
              <w:rPr>
                <w:color w:val="0D0D0D" w:themeColor="text1" w:themeTint="F2"/>
                <w:sz w:val="24"/>
                <w:szCs w:val="24"/>
              </w:rPr>
              <w:t>5′-</w:t>
            </w:r>
            <w:r w:rsidRPr="00F500E1">
              <w:rPr>
                <w:color w:val="000000"/>
                <w:sz w:val="24"/>
                <w:szCs w:val="24"/>
              </w:rPr>
              <w:t xml:space="preserve"> GTACACGTTTCCAAACTTGCC</w:t>
            </w:r>
            <w:r w:rsidRPr="00F500E1">
              <w:rPr>
                <w:color w:val="0D0D0D" w:themeColor="text1" w:themeTint="F2"/>
                <w:sz w:val="24"/>
                <w:szCs w:val="24"/>
              </w:rPr>
              <w:t xml:space="preserve"> -3′</w:t>
            </w: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/>
                <w:color w:val="0D0D0D"/>
                <w:sz w:val="24"/>
                <w:szCs w:val="24"/>
              </w:rPr>
              <w:t>P</w:t>
            </w:r>
            <w:r w:rsidRPr="00F500E1">
              <w:rPr>
                <w:rStyle w:val="fontstyle01"/>
                <w:rFonts w:ascii="Times New Roman" w:hAnsi="Times New Roman"/>
                <w:color w:val="0D0D0D"/>
                <w:sz w:val="24"/>
                <w:szCs w:val="24"/>
              </w:rPr>
              <w:t>rimers for AURKB probes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C040A1" w:rsidTr="0089641A">
        <w:tc>
          <w:tcPr>
            <w:tcW w:w="2547" w:type="dxa"/>
          </w:tcPr>
          <w:p w:rsidR="00C040A1" w:rsidRDefault="00C040A1" w:rsidP="0089641A">
            <w:pPr>
              <w:spacing w:line="360" w:lineRule="auto"/>
              <w:rPr>
                <w:color w:val="0D0D0D" w:themeColor="text1" w:themeTint="F2"/>
                <w:sz w:val="24"/>
                <w:szCs w:val="24"/>
              </w:rPr>
            </w:pPr>
            <w:r w:rsidRPr="00F500E1">
              <w:rPr>
                <w:sz w:val="24"/>
                <w:szCs w:val="24"/>
              </w:rPr>
              <w:t xml:space="preserve">AURKB </w:t>
            </w:r>
            <w:r>
              <w:rPr>
                <w:color w:val="0D0D0D" w:themeColor="text1" w:themeTint="F2"/>
                <w:sz w:val="24"/>
                <w:szCs w:val="24"/>
              </w:rPr>
              <w:t>3′-UTR</w:t>
            </w:r>
          </w:p>
        </w:tc>
        <w:tc>
          <w:tcPr>
            <w:tcW w:w="5749" w:type="dxa"/>
          </w:tcPr>
          <w:p w:rsidR="00C040A1" w:rsidRDefault="00C040A1" w:rsidP="0089641A">
            <w:pPr>
              <w:spacing w:line="360" w:lineRule="auto"/>
              <w:rPr>
                <w:color w:val="0D0D0D"/>
                <w:sz w:val="24"/>
                <w:szCs w:val="24"/>
              </w:rPr>
            </w:pPr>
            <w:r w:rsidRPr="00F500E1">
              <w:rPr>
                <w:color w:val="0D0D0D"/>
                <w:sz w:val="24"/>
                <w:szCs w:val="24"/>
              </w:rPr>
              <w:t>5′</w:t>
            </w:r>
            <w:r>
              <w:rPr>
                <w:color w:val="0D0D0D"/>
                <w:sz w:val="24"/>
                <w:szCs w:val="24"/>
              </w:rPr>
              <w:t>-</w:t>
            </w:r>
            <w:r w:rsidRPr="00F500E1">
              <w:rPr>
                <w:color w:val="0D0D0D"/>
                <w:sz w:val="24"/>
                <w:szCs w:val="24"/>
              </w:rPr>
              <w:t>UGGUCCCUGUCAUUCACUCGGGUGCGU</w:t>
            </w:r>
          </w:p>
          <w:p w:rsidR="00C040A1" w:rsidRDefault="00C040A1" w:rsidP="0089641A">
            <w:pPr>
              <w:spacing w:line="360" w:lineRule="auto"/>
              <w:rPr>
                <w:color w:val="0D0D0D"/>
                <w:sz w:val="24"/>
                <w:szCs w:val="24"/>
              </w:rPr>
            </w:pPr>
            <w:r w:rsidRPr="00F500E1">
              <w:rPr>
                <w:color w:val="0D0D0D"/>
                <w:sz w:val="24"/>
                <w:szCs w:val="24"/>
              </w:rPr>
              <w:t>GUGUUUGUAUGUCUGUGUAUGUAUAGGG</w:t>
            </w:r>
          </w:p>
          <w:p w:rsidR="00C040A1" w:rsidRDefault="00C040A1" w:rsidP="0089641A">
            <w:pPr>
              <w:spacing w:line="360" w:lineRule="auto"/>
              <w:rPr>
                <w:color w:val="0D0D0D"/>
                <w:sz w:val="24"/>
                <w:szCs w:val="24"/>
              </w:rPr>
            </w:pPr>
            <w:r w:rsidRPr="00F500E1">
              <w:rPr>
                <w:color w:val="0D0D0D"/>
                <w:sz w:val="24"/>
                <w:szCs w:val="24"/>
              </w:rPr>
              <w:t>GAAAGAAGGGAUCCCUAACUGUUCCCUUA</w:t>
            </w:r>
          </w:p>
          <w:p w:rsidR="00C040A1" w:rsidRDefault="00C040A1" w:rsidP="0089641A">
            <w:pPr>
              <w:spacing w:line="360" w:lineRule="auto"/>
              <w:rPr>
                <w:color w:val="0D0D0D"/>
                <w:sz w:val="24"/>
                <w:szCs w:val="24"/>
              </w:rPr>
            </w:pPr>
            <w:r w:rsidRPr="00F500E1">
              <w:rPr>
                <w:color w:val="0D0D0D"/>
                <w:sz w:val="24"/>
                <w:szCs w:val="24"/>
              </w:rPr>
              <w:t>UCUGUUUUCUACCUCCUCCUUUGUUUAAU</w:t>
            </w:r>
          </w:p>
          <w:p w:rsidR="00C040A1" w:rsidRPr="00792EF9" w:rsidRDefault="00C040A1" w:rsidP="0089641A">
            <w:pPr>
              <w:spacing w:line="360" w:lineRule="auto"/>
              <w:rPr>
                <w:color w:val="0D0D0D"/>
                <w:sz w:val="24"/>
                <w:szCs w:val="24"/>
              </w:rPr>
            </w:pPr>
            <w:r w:rsidRPr="00F500E1">
              <w:rPr>
                <w:color w:val="0D0D0D"/>
                <w:sz w:val="24"/>
                <w:szCs w:val="24"/>
              </w:rPr>
              <w:t>AAAGGCUGAAGCUUUUUGUACUCAUG</w:t>
            </w:r>
            <w:r w:rsidRPr="00F500E1">
              <w:rPr>
                <w:rStyle w:val="fontstyle01"/>
                <w:rFonts w:ascii="Times New Roman" w:hAnsi="Times New Roman"/>
                <w:color w:val="0D0D0D"/>
                <w:sz w:val="24"/>
                <w:szCs w:val="24"/>
              </w:rPr>
              <w:t>-3′</w:t>
            </w:r>
          </w:p>
        </w:tc>
      </w:tr>
    </w:tbl>
    <w:p w:rsidR="00C040A1" w:rsidRDefault="00C040A1">
      <w:bookmarkStart w:id="5" w:name="_GoBack"/>
      <w:bookmarkEnd w:id="5"/>
    </w:p>
    <w:sectPr w:rsidR="00C04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FD2" w:rsidRDefault="00E47FD2" w:rsidP="00471CA4">
      <w:r>
        <w:separator/>
      </w:r>
    </w:p>
  </w:endnote>
  <w:endnote w:type="continuationSeparator" w:id="0">
    <w:p w:rsidR="00E47FD2" w:rsidRDefault="00E47FD2" w:rsidP="00471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99c4c969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FD2" w:rsidRDefault="00E47FD2" w:rsidP="00471CA4">
      <w:r>
        <w:separator/>
      </w:r>
    </w:p>
  </w:footnote>
  <w:footnote w:type="continuationSeparator" w:id="0">
    <w:p w:rsidR="00E47FD2" w:rsidRDefault="00E47FD2" w:rsidP="00471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5FC12E6F"/>
    <w:multiLevelType w:val="hybridMultilevel"/>
    <w:tmpl w:val="807473FA"/>
    <w:lvl w:ilvl="0" w:tplc="F7122E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48"/>
    <w:rsid w:val="0003416F"/>
    <w:rsid w:val="000C0482"/>
    <w:rsid w:val="00262E5A"/>
    <w:rsid w:val="002C312C"/>
    <w:rsid w:val="002E393C"/>
    <w:rsid w:val="003878AD"/>
    <w:rsid w:val="003B4AD2"/>
    <w:rsid w:val="00471CA4"/>
    <w:rsid w:val="004E1569"/>
    <w:rsid w:val="00557D03"/>
    <w:rsid w:val="00567593"/>
    <w:rsid w:val="00577E00"/>
    <w:rsid w:val="00581897"/>
    <w:rsid w:val="00712C99"/>
    <w:rsid w:val="007D7637"/>
    <w:rsid w:val="00841C9E"/>
    <w:rsid w:val="00847F00"/>
    <w:rsid w:val="00A80748"/>
    <w:rsid w:val="00B80723"/>
    <w:rsid w:val="00B8639E"/>
    <w:rsid w:val="00C040A1"/>
    <w:rsid w:val="00CC532B"/>
    <w:rsid w:val="00E47FD2"/>
    <w:rsid w:val="00E5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2CBA5"/>
  <w15:chartTrackingRefBased/>
  <w15:docId w15:val="{0CD04BDD-E7B7-43B1-A3EE-144E2006F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E00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471CA4"/>
    <w:pPr>
      <w:widowControl/>
      <w:numPr>
        <w:numId w:val="2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471CA4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471CA4"/>
    <w:pPr>
      <w:keepNext/>
      <w:keepLines/>
      <w:widowControl/>
      <w:numPr>
        <w:ilvl w:val="2"/>
        <w:numId w:val="2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471CA4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471CA4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p0">
    <w:name w:val="p0"/>
    <w:basedOn w:val="a"/>
    <w:qFormat/>
    <w:rsid w:val="00577E0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style01">
    <w:name w:val="fontstyle01"/>
    <w:basedOn w:val="a1"/>
    <w:qFormat/>
    <w:rsid w:val="00577E00"/>
    <w:rPr>
      <w:rFonts w:ascii="AdvTT99c4c969" w:hAnsi="AdvTT99c4c969" w:hint="default"/>
      <w:color w:val="231F20"/>
      <w:sz w:val="18"/>
      <w:szCs w:val="18"/>
    </w:rPr>
  </w:style>
  <w:style w:type="table" w:styleId="a4">
    <w:name w:val="Table Grid"/>
    <w:basedOn w:val="a2"/>
    <w:uiPriority w:val="59"/>
    <w:qFormat/>
    <w:rsid w:val="000341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7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471CA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71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471CA4"/>
    <w:rPr>
      <w:sz w:val="18"/>
      <w:szCs w:val="18"/>
    </w:rPr>
  </w:style>
  <w:style w:type="paragraph" w:customStyle="1" w:styleId="SupplementaryMaterial">
    <w:name w:val="Supplementary Material"/>
    <w:basedOn w:val="a9"/>
    <w:next w:val="a9"/>
    <w:qFormat/>
    <w:rsid w:val="00471CA4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9">
    <w:name w:val="Title"/>
    <w:basedOn w:val="a"/>
    <w:next w:val="a"/>
    <w:link w:val="aa"/>
    <w:uiPriority w:val="10"/>
    <w:qFormat/>
    <w:rsid w:val="00471CA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1"/>
    <w:link w:val="a9"/>
    <w:uiPriority w:val="10"/>
    <w:rsid w:val="00471CA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2"/>
    <w:rsid w:val="00471CA4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471CA4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471CA4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471CA4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471CA4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471CA4"/>
    <w:pPr>
      <w:numPr>
        <w:numId w:val="2"/>
      </w:numPr>
    </w:pPr>
  </w:style>
  <w:style w:type="paragraph" w:styleId="a0">
    <w:name w:val="List Paragraph"/>
    <w:basedOn w:val="a"/>
    <w:uiPriority w:val="34"/>
    <w:qFormat/>
    <w:rsid w:val="00471C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j</dc:creator>
  <cp:keywords/>
  <dc:description/>
  <cp:lastModifiedBy>cm j</cp:lastModifiedBy>
  <cp:revision>18</cp:revision>
  <cp:lastPrinted>2020-11-23T06:52:00Z</cp:lastPrinted>
  <dcterms:created xsi:type="dcterms:W3CDTF">2020-05-11T11:24:00Z</dcterms:created>
  <dcterms:modified xsi:type="dcterms:W3CDTF">2020-11-23T07:33:00Z</dcterms:modified>
</cp:coreProperties>
</file>