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1A305" w14:textId="17E7685A" w:rsidR="00CE267D" w:rsidRDefault="00CE267D" w:rsidP="00821105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Hlk50886677"/>
      <w:r>
        <w:rPr>
          <w:rFonts w:ascii="Times New Roman" w:hAnsi="Times New Roman"/>
          <w:b/>
          <w:sz w:val="24"/>
          <w:szCs w:val="24"/>
        </w:rPr>
        <w:t>Supplementary Methods S2</w:t>
      </w:r>
      <w:bookmarkStart w:id="1" w:name="_GoBack"/>
      <w:bookmarkEnd w:id="1"/>
    </w:p>
    <w:p w14:paraId="481D1215" w14:textId="6694C189" w:rsidR="00821105" w:rsidRPr="005A6BF5" w:rsidRDefault="00821105" w:rsidP="00821105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5A6BF5">
        <w:rPr>
          <w:rFonts w:ascii="Times New Roman" w:hAnsi="Times New Roman"/>
          <w:b/>
          <w:sz w:val="24"/>
          <w:szCs w:val="24"/>
        </w:rPr>
        <w:t>Details about implementation of sFlt-1/PlGF test for the serum samples</w:t>
      </w:r>
      <w:r>
        <w:rPr>
          <w:rFonts w:ascii="Times New Roman" w:hAnsi="Times New Roman"/>
          <w:b/>
          <w:sz w:val="24"/>
          <w:szCs w:val="24"/>
        </w:rPr>
        <w:t>.</w:t>
      </w:r>
    </w:p>
    <w:bookmarkEnd w:id="0"/>
    <w:p w14:paraId="1E4B8FB0" w14:textId="55EFE8BE" w:rsidR="00821105" w:rsidRPr="004C7637" w:rsidRDefault="00821105" w:rsidP="00821105">
      <w:pPr>
        <w:spacing w:after="0" w:line="480" w:lineRule="auto"/>
        <w:jc w:val="both"/>
        <w:rPr>
          <w:rFonts w:ascii="Times New Roman" w:hAnsi="Times New Roman"/>
          <w:color w:val="0070C0"/>
          <w:vertAlign w:val="superscript"/>
        </w:rPr>
      </w:pPr>
      <w:r w:rsidRPr="00DF0C6C">
        <w:rPr>
          <w:rFonts w:ascii="Times New Roman" w:hAnsi="Times New Roman"/>
        </w:rPr>
        <w:t xml:space="preserve">After blood draw, serum samples had been immediately separated </w:t>
      </w:r>
      <w:r w:rsidRPr="00824F09">
        <w:rPr>
          <w:rFonts w:ascii="Times New Roman" w:eastAsia="Times New Roman" w:hAnsi="Times New Roman"/>
          <w:color w:val="000000"/>
          <w:lang w:val="en-US"/>
        </w:rPr>
        <w:t>in the service laboratory (United Laboratories, Tartu University Hospital) using routine procedures according to manufacturer’s instructions (centrifugation at 1,800 g for 10 min at room temperature).</w:t>
      </w:r>
      <w:r w:rsidRPr="00824F09">
        <w:rPr>
          <w:rFonts w:eastAsia="Times New Roman"/>
          <w:color w:val="000000"/>
          <w:lang w:val="en-US"/>
        </w:rPr>
        <w:t xml:space="preserve"> </w:t>
      </w:r>
      <w:r w:rsidRPr="00824F09">
        <w:rPr>
          <w:rFonts w:ascii="Times New Roman" w:eastAsia="Times New Roman" w:hAnsi="Times New Roman"/>
          <w:color w:val="000000"/>
          <w:lang w:val="en-US"/>
        </w:rPr>
        <w:t>Serum samples were</w:t>
      </w:r>
      <w:r w:rsidRPr="00824F09">
        <w:rPr>
          <w:rFonts w:ascii="Times New Roman" w:hAnsi="Times New Roman"/>
          <w:color w:val="000000"/>
          <w:lang w:val="en-US"/>
        </w:rPr>
        <w:t xml:space="preserve"> kept at -80°C before further aliquoting and subsequent analysis </w:t>
      </w:r>
      <w:r w:rsidRPr="00DF0C6C">
        <w:rPr>
          <w:rFonts w:ascii="Times New Roman" w:hAnsi="Times New Roman"/>
        </w:rPr>
        <w:t>and stored at -80°</w:t>
      </w:r>
      <w:r w:rsidRPr="00BB1EB4">
        <w:rPr>
          <w:rFonts w:ascii="Times New Roman" w:hAnsi="Times New Roman"/>
        </w:rPr>
        <w:t xml:space="preserve">C with no thawing for maximum 1.5 years. </w:t>
      </w:r>
      <w:r>
        <w:rPr>
          <w:rFonts w:ascii="Times New Roman" w:hAnsi="Times New Roman"/>
        </w:rPr>
        <w:t xml:space="preserve">For </w:t>
      </w:r>
      <w:r w:rsidRPr="00BB1EB4">
        <w:rPr>
          <w:rFonts w:ascii="Times New Roman" w:hAnsi="Times New Roman"/>
          <w:lang w:val="et-EE"/>
        </w:rPr>
        <w:t xml:space="preserve">retrospective </w:t>
      </w:r>
      <w:r>
        <w:rPr>
          <w:rFonts w:ascii="Times New Roman" w:hAnsi="Times New Roman"/>
        </w:rPr>
        <w:t>measuring of the sFlt-1 and PlGF levels, the serum samples were thawed, aliquoted to smaller subsamples and frozen at -80</w:t>
      </w:r>
      <w:r w:rsidRPr="00BB1EB4">
        <w:rPr>
          <w:rFonts w:ascii="Times New Roman" w:hAnsi="Times New Roman"/>
        </w:rPr>
        <w:t>°C</w:t>
      </w:r>
      <w:r>
        <w:rPr>
          <w:rFonts w:ascii="Times New Roman" w:hAnsi="Times New Roman"/>
        </w:rPr>
        <w:t xml:space="preserve">. The aliquots were sent on dry ice to the </w:t>
      </w:r>
      <w:r w:rsidRPr="00BB1EB4">
        <w:rPr>
          <w:rFonts w:ascii="Times New Roman" w:hAnsi="Times New Roman"/>
          <w:lang w:val="et-EE"/>
        </w:rPr>
        <w:t>Synlab Germany service laboratory (Leinfelden, Germany)</w:t>
      </w:r>
      <w:r>
        <w:rPr>
          <w:rFonts w:ascii="Times New Roman" w:hAnsi="Times New Roman"/>
        </w:rPr>
        <w:t xml:space="preserve"> within one week after preparation. </w:t>
      </w:r>
      <w:r w:rsidRPr="00487899">
        <w:rPr>
          <w:rFonts w:ascii="Times New Roman" w:hAnsi="Times New Roman"/>
        </w:rPr>
        <w:t>Freeze-thaw stability of serum sFlt</w:t>
      </w:r>
      <w:r>
        <w:rPr>
          <w:rFonts w:ascii="Times New Roman" w:hAnsi="Times New Roman"/>
        </w:rPr>
        <w:t>-1</w:t>
      </w:r>
      <w:r w:rsidRPr="00487899">
        <w:rPr>
          <w:rFonts w:ascii="Times New Roman" w:hAnsi="Times New Roman"/>
        </w:rPr>
        <w:t xml:space="preserve"> and PlGF concentrations has been previously reported.</w:t>
      </w:r>
      <w:r w:rsidR="004B4F32">
        <w:rPr>
          <w:rFonts w:ascii="Times New Roman" w:hAnsi="Times New Roman"/>
          <w:vertAlign w:val="superscript"/>
        </w:rPr>
        <w:t>1,2</w:t>
      </w:r>
    </w:p>
    <w:p w14:paraId="53D42788" w14:textId="77777777" w:rsidR="00821105" w:rsidRPr="00BB1EB4" w:rsidRDefault="00821105" w:rsidP="00821105">
      <w:pPr>
        <w:spacing w:after="0" w:line="480" w:lineRule="auto"/>
        <w:jc w:val="both"/>
        <w:rPr>
          <w:rFonts w:ascii="Times New Roman" w:hAnsi="Times New Roman"/>
          <w:lang w:val="en-US"/>
        </w:rPr>
      </w:pPr>
      <w:r w:rsidRPr="00BB1EB4">
        <w:rPr>
          <w:rFonts w:ascii="Times New Roman" w:hAnsi="Times New Roman"/>
          <w:lang w:val="et-EE"/>
        </w:rPr>
        <w:t>Concentrations of serum sFlt-1 and PlGF were analyzed using the BRAHMS sFlt</w:t>
      </w:r>
      <w:r w:rsidRPr="00BB1EB4">
        <w:rPr>
          <w:rFonts w:ascii="Times New Roman" w:hAnsi="Times New Roman"/>
          <w:lang w:val="et-EE"/>
        </w:rPr>
        <w:noBreakHyphen/>
        <w:t xml:space="preserve">1 Kryptor/BRAHMS PlGF plus Kryptor PE ratio test developed by Thermo Fisher Scientific. The test combines measurement outcomes </w:t>
      </w:r>
      <w:r w:rsidRPr="00BB1EB4">
        <w:rPr>
          <w:rFonts w:ascii="Times New Roman" w:hAnsi="Times New Roman"/>
          <w:lang w:val="en-US"/>
        </w:rPr>
        <w:t xml:space="preserve">of two separate immunofluorescent automated sandwich assays implemented on KRYPTOR compact PLUS platform (#BM0106172) and using B·R·A·H·M·S reagents for sFlt-1 (#845.075) and PlGF plus (#859.075) assays. All serum samples were delivered to the </w:t>
      </w:r>
      <w:r>
        <w:rPr>
          <w:rFonts w:ascii="Times New Roman" w:hAnsi="Times New Roman"/>
          <w:lang w:val="en-US"/>
        </w:rPr>
        <w:t xml:space="preserve">external </w:t>
      </w:r>
      <w:r w:rsidRPr="00BB1EB4">
        <w:rPr>
          <w:rFonts w:ascii="Times New Roman" w:hAnsi="Times New Roman"/>
          <w:lang w:val="en-US"/>
        </w:rPr>
        <w:t>service provider simultaneously</w:t>
      </w:r>
      <w:r>
        <w:rPr>
          <w:rFonts w:ascii="Times New Roman" w:hAnsi="Times New Roman"/>
          <w:lang w:val="en-US"/>
        </w:rPr>
        <w:t>. No information</w:t>
      </w:r>
      <w:r w:rsidRPr="00BB1EB4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t-EE"/>
        </w:rPr>
        <w:t>regarding</w:t>
      </w:r>
      <w:r w:rsidRPr="00BB1EB4">
        <w:rPr>
          <w:rFonts w:ascii="Times New Roman" w:hAnsi="Times New Roman"/>
          <w:lang w:val="et-EE"/>
        </w:rPr>
        <w:t xml:space="preserve"> the </w:t>
      </w:r>
      <w:r>
        <w:rPr>
          <w:rFonts w:ascii="Times New Roman" w:hAnsi="Times New Roman"/>
          <w:lang w:val="et-EE"/>
        </w:rPr>
        <w:t xml:space="preserve">pregnancy course and </w:t>
      </w:r>
      <w:r w:rsidRPr="00BB1EB4">
        <w:rPr>
          <w:rFonts w:ascii="Times New Roman" w:hAnsi="Times New Roman"/>
          <w:lang w:val="et-EE"/>
        </w:rPr>
        <w:t>outcome</w:t>
      </w:r>
      <w:r>
        <w:rPr>
          <w:rFonts w:ascii="Times New Roman" w:hAnsi="Times New Roman"/>
          <w:lang w:val="et-EE"/>
        </w:rPr>
        <w:t xml:space="preserve"> was disclosed</w:t>
      </w:r>
      <w:r w:rsidRPr="00BB1EB4">
        <w:rPr>
          <w:rFonts w:ascii="Times New Roman" w:hAnsi="Times New Roman"/>
          <w:lang w:val="et-EE"/>
        </w:rPr>
        <w:t xml:space="preserve">. </w:t>
      </w:r>
    </w:p>
    <w:p w14:paraId="0CFD6905" w14:textId="77777777" w:rsidR="00821105" w:rsidRPr="00111E50" w:rsidRDefault="00821105" w:rsidP="00821105">
      <w:pPr>
        <w:spacing w:after="0" w:line="48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t-EE"/>
        </w:rPr>
        <w:t xml:space="preserve">Reportable measurement values of both biomarkers were derived from the service provider for 247/252 (98%) serum samples (failure rate 2%; </w:t>
      </w:r>
      <w:r w:rsidRPr="00C64BED">
        <w:rPr>
          <w:rFonts w:ascii="Times New Roman" w:hAnsi="Times New Roman"/>
          <w:b/>
          <w:lang w:val="et-EE"/>
        </w:rPr>
        <w:t>S</w:t>
      </w:r>
      <w:r>
        <w:rPr>
          <w:rFonts w:ascii="Times New Roman" w:hAnsi="Times New Roman"/>
          <w:b/>
          <w:lang w:val="et-EE"/>
        </w:rPr>
        <w:t>2 Table</w:t>
      </w:r>
      <w:r>
        <w:rPr>
          <w:rFonts w:ascii="Times New Roman" w:hAnsi="Times New Roman"/>
          <w:lang w:val="et-EE"/>
        </w:rPr>
        <w:t>). The final analyzed set of 247 sera represented</w:t>
      </w:r>
      <w:r w:rsidRPr="00BB1EB4">
        <w:rPr>
          <w:rFonts w:ascii="Times New Roman" w:hAnsi="Times New Roman"/>
          <w:lang w:val="et-EE"/>
        </w:rPr>
        <w:t xml:space="preserve"> 42 samples (17%) from women who </w:t>
      </w:r>
      <w:r>
        <w:rPr>
          <w:rFonts w:ascii="Times New Roman" w:hAnsi="Times New Roman"/>
          <w:lang w:val="et-EE"/>
        </w:rPr>
        <w:t xml:space="preserve">were eventually diagnosed with </w:t>
      </w:r>
      <w:r w:rsidRPr="00BB1EB4">
        <w:rPr>
          <w:rFonts w:ascii="Times New Roman" w:hAnsi="Times New Roman"/>
          <w:lang w:val="et-EE"/>
        </w:rPr>
        <w:t xml:space="preserve">PE, </w:t>
      </w:r>
      <w:r>
        <w:rPr>
          <w:rFonts w:ascii="Times New Roman" w:hAnsi="Times New Roman"/>
          <w:lang w:val="et-EE"/>
        </w:rPr>
        <w:t>29</w:t>
      </w:r>
      <w:r w:rsidRPr="00BB1EB4">
        <w:rPr>
          <w:rFonts w:ascii="Times New Roman" w:hAnsi="Times New Roman"/>
          <w:lang w:val="et-EE"/>
        </w:rPr>
        <w:t xml:space="preserve"> samples (12%) </w:t>
      </w:r>
      <w:r>
        <w:rPr>
          <w:rFonts w:ascii="Times New Roman" w:hAnsi="Times New Roman"/>
          <w:lang w:val="et-EE"/>
        </w:rPr>
        <w:t>representing</w:t>
      </w:r>
      <w:r w:rsidRPr="00BB1EB4">
        <w:rPr>
          <w:rFonts w:ascii="Times New Roman" w:hAnsi="Times New Roman"/>
          <w:lang w:val="et-EE"/>
        </w:rPr>
        <w:t xml:space="preserve"> </w:t>
      </w:r>
      <w:r>
        <w:rPr>
          <w:rFonts w:ascii="Times New Roman" w:hAnsi="Times New Roman"/>
          <w:lang w:val="et-EE"/>
        </w:rPr>
        <w:t xml:space="preserve">a later </w:t>
      </w:r>
      <w:r w:rsidRPr="00BB1EB4">
        <w:rPr>
          <w:rFonts w:ascii="Times New Roman" w:hAnsi="Times New Roman"/>
          <w:lang w:val="et-EE"/>
        </w:rPr>
        <w:t>diagnosis of GH or</w:t>
      </w:r>
      <w:r>
        <w:rPr>
          <w:rFonts w:ascii="Times New Roman" w:hAnsi="Times New Roman"/>
          <w:lang w:val="et-EE"/>
        </w:rPr>
        <w:t xml:space="preserve"> proteinuria </w:t>
      </w:r>
      <w:r w:rsidRPr="00BB1EB4">
        <w:rPr>
          <w:rFonts w:ascii="Times New Roman" w:hAnsi="Times New Roman"/>
          <w:lang w:val="et-EE"/>
        </w:rPr>
        <w:t>and 17</w:t>
      </w:r>
      <w:r>
        <w:rPr>
          <w:rFonts w:ascii="Times New Roman" w:hAnsi="Times New Roman"/>
          <w:lang w:val="et-EE"/>
        </w:rPr>
        <w:t>6</w:t>
      </w:r>
      <w:r w:rsidRPr="00BB1EB4">
        <w:rPr>
          <w:rFonts w:ascii="Times New Roman" w:hAnsi="Times New Roman"/>
          <w:lang w:val="et-EE"/>
        </w:rPr>
        <w:t xml:space="preserve"> samples (71%) from </w:t>
      </w:r>
      <w:r w:rsidRPr="00C86B46">
        <w:rPr>
          <w:rFonts w:ascii="Times New Roman" w:hAnsi="Times New Roman"/>
          <w:lang w:val="et-EE"/>
        </w:rPr>
        <w:t>normotensive and non-proteinuric</w:t>
      </w:r>
      <w:r>
        <w:rPr>
          <w:rFonts w:ascii="Times New Roman" w:hAnsi="Times New Roman"/>
          <w:lang w:val="et-EE"/>
        </w:rPr>
        <w:t xml:space="preserve"> pregnant women</w:t>
      </w:r>
      <w:r w:rsidRPr="00C86B46">
        <w:rPr>
          <w:rFonts w:ascii="Times New Roman" w:hAnsi="Times New Roman"/>
          <w:lang w:val="et-EE"/>
        </w:rPr>
        <w:t xml:space="preserve"> thorought the </w:t>
      </w:r>
      <w:r>
        <w:rPr>
          <w:rFonts w:ascii="Times New Roman" w:hAnsi="Times New Roman"/>
          <w:lang w:val="et-EE"/>
        </w:rPr>
        <w:t xml:space="preserve">index </w:t>
      </w:r>
      <w:r w:rsidRPr="00C86B46">
        <w:rPr>
          <w:rFonts w:ascii="Times New Roman" w:hAnsi="Times New Roman"/>
          <w:lang w:val="et-EE"/>
        </w:rPr>
        <w:t>pregnancy.</w:t>
      </w:r>
      <w:r>
        <w:rPr>
          <w:rFonts w:ascii="Times New Roman" w:hAnsi="Times New Roman"/>
          <w:lang w:val="et-EE"/>
        </w:rPr>
        <w:t xml:space="preserve"> </w:t>
      </w:r>
    </w:p>
    <w:p w14:paraId="70B2ABC5" w14:textId="12DBB57A" w:rsidR="00821105" w:rsidRDefault="00821105" w:rsidP="00821105">
      <w:pPr>
        <w:spacing w:after="0" w:line="480" w:lineRule="auto"/>
        <w:jc w:val="both"/>
        <w:rPr>
          <w:rFonts w:ascii="Times New Roman" w:eastAsia="Times New Roman" w:hAnsi="Times New Roman"/>
          <w:bCs/>
          <w:color w:val="000000"/>
          <w:kern w:val="36"/>
          <w:vertAlign w:val="superscript"/>
          <w:lang w:eastAsia="en-GB"/>
        </w:rPr>
      </w:pP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>Pr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>ediction of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 the PE development was based on the estimated sFlt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>-1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>/PlGF ratio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. As no validated cut-offs are published specially for Kryptor, </w:t>
      </w:r>
      <w:r w:rsidRPr="00C3193B">
        <w:rPr>
          <w:rFonts w:ascii="Times New Roman" w:hAnsi="Times New Roman"/>
        </w:rPr>
        <w:t>Elecsys®</w:t>
      </w:r>
      <w:r>
        <w:rPr>
          <w:rFonts w:ascii="Times New Roman" w:hAnsi="Times New Roman"/>
        </w:rPr>
        <w:t xml:space="preserve"> assay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 validated cut-offs were used 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as </w:t>
      </w:r>
      <w:r w:rsidRPr="00EE5A04"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recommended by </w:t>
      </w:r>
      <w:r w:rsidRPr="00F47E1A">
        <w:rPr>
          <w:rFonts w:ascii="Times New Roman" w:eastAsia="Times New Roman" w:hAnsi="Times New Roman"/>
          <w:color w:val="000000"/>
          <w:kern w:val="36"/>
          <w:lang w:eastAsia="en-GB"/>
        </w:rPr>
        <w:t>Stepan et al (2015</w:t>
      </w:r>
      <w:r w:rsidRPr="00EE5A04">
        <w:rPr>
          <w:rFonts w:ascii="Times New Roman" w:eastAsia="Times New Roman" w:hAnsi="Times New Roman"/>
          <w:bCs/>
          <w:color w:val="000000"/>
          <w:kern w:val="36"/>
          <w:lang w:eastAsia="en-GB"/>
        </w:rPr>
        <w:t>).</w:t>
      </w:r>
      <w:r w:rsidR="004B4F32">
        <w:rPr>
          <w:rFonts w:ascii="Times New Roman" w:eastAsia="Times New Roman" w:hAnsi="Times New Roman"/>
          <w:bCs/>
          <w:color w:val="000000"/>
          <w:kern w:val="36"/>
          <w:vertAlign w:val="superscript"/>
          <w:lang w:eastAsia="en-GB"/>
        </w:rPr>
        <w:t>3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 Serum samples were classified as ‘Rule-out PE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 at least within 1 week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>’ when the calculated sFlt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>-1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>/PlGF ratio was &lt; 38. ‘Rule-in PE’ decision alerting to the disease was applied for the samples exhibiting sFlt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>-1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>/PlGF ratio &gt;85 when drawn before</w:t>
      </w:r>
      <w:r w:rsidRPr="00BB1EB4">
        <w:rPr>
          <w:rFonts w:ascii="Times New Roman" w:hAnsi="Times New Roman"/>
          <w:b/>
          <w:color w:val="000000"/>
        </w:rPr>
        <w:t xml:space="preserve"> 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>34 g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>estational weeks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; and &gt; 110 when 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lastRenderedPageBreak/>
        <w:t>drawn from 34 g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>estational weeks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 onwards. Values of the sFlt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>-1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>/PlGF within these thresholds (38-85/110) were considered as inconclusive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 xml:space="preserve"> (</w:t>
      </w:r>
      <w:r w:rsidRPr="00F47E1A">
        <w:rPr>
          <w:rFonts w:ascii="Times New Roman" w:eastAsia="Times New Roman" w:hAnsi="Times New Roman"/>
          <w:color w:val="000000"/>
          <w:kern w:val="36"/>
          <w:lang w:eastAsia="en-GB"/>
        </w:rPr>
        <w:t>Stepan, 2015</w:t>
      </w:r>
      <w:r>
        <w:rPr>
          <w:rFonts w:ascii="Times New Roman" w:eastAsia="Times New Roman" w:hAnsi="Times New Roman"/>
          <w:bCs/>
          <w:color w:val="000000"/>
          <w:kern w:val="36"/>
          <w:lang w:eastAsia="en-GB"/>
        </w:rPr>
        <w:t>)</w:t>
      </w:r>
      <w:r w:rsidRPr="00BB1EB4">
        <w:rPr>
          <w:rFonts w:ascii="Times New Roman" w:eastAsia="Times New Roman" w:hAnsi="Times New Roman"/>
          <w:bCs/>
          <w:color w:val="000000"/>
          <w:kern w:val="36"/>
          <w:lang w:eastAsia="en-GB"/>
        </w:rPr>
        <w:t>.</w:t>
      </w:r>
      <w:r w:rsidR="004B4F32">
        <w:rPr>
          <w:rFonts w:ascii="Times New Roman" w:eastAsia="Times New Roman" w:hAnsi="Times New Roman"/>
          <w:bCs/>
          <w:color w:val="000000"/>
          <w:kern w:val="36"/>
          <w:vertAlign w:val="superscript"/>
          <w:lang w:eastAsia="en-GB"/>
        </w:rPr>
        <w:t>3</w:t>
      </w:r>
    </w:p>
    <w:p w14:paraId="7E759158" w14:textId="7F55CE1B" w:rsidR="003C6714" w:rsidRDefault="003C6714" w:rsidP="00821105">
      <w:pPr>
        <w:spacing w:after="0" w:line="480" w:lineRule="auto"/>
        <w:jc w:val="both"/>
        <w:rPr>
          <w:rFonts w:ascii="Times New Roman" w:eastAsia="Times New Roman" w:hAnsi="Times New Roman"/>
          <w:bCs/>
          <w:color w:val="000000"/>
          <w:kern w:val="36"/>
          <w:vertAlign w:val="superscript"/>
          <w:lang w:eastAsia="en-GB"/>
        </w:rPr>
      </w:pPr>
    </w:p>
    <w:p w14:paraId="19D0ECCE" w14:textId="5C546896" w:rsidR="003C6714" w:rsidRPr="00772774" w:rsidRDefault="00772774" w:rsidP="00772774">
      <w:pPr>
        <w:spacing w:after="200" w:line="480" w:lineRule="auto"/>
        <w:jc w:val="both"/>
        <w:rPr>
          <w:rFonts w:ascii="Times New Roman" w:hAnsi="Times New Roman"/>
          <w:b/>
          <w:lang w:val="et-EE"/>
        </w:rPr>
      </w:pPr>
      <w:r w:rsidRPr="00A138AE">
        <w:rPr>
          <w:rFonts w:ascii="Times New Roman" w:hAnsi="Times New Roman"/>
          <w:b/>
          <w:lang w:val="et-EE"/>
        </w:rPr>
        <w:t>References to Supplementary Materials</w:t>
      </w:r>
    </w:p>
    <w:p w14:paraId="3771A594" w14:textId="4D29C920" w:rsidR="003C6714" w:rsidRPr="00A138AE" w:rsidRDefault="004B4F32" w:rsidP="003C6714">
      <w:pPr>
        <w:spacing w:after="0" w:line="480" w:lineRule="auto"/>
        <w:jc w:val="both"/>
        <w:rPr>
          <w:rFonts w:ascii="Times New Roman" w:eastAsia="Times New Roman" w:hAnsi="Times New Roman"/>
          <w:bCs/>
          <w:kern w:val="36"/>
          <w:lang w:eastAsia="en-GB"/>
        </w:rPr>
      </w:pPr>
      <w:r>
        <w:rPr>
          <w:rFonts w:ascii="Times New Roman" w:eastAsia="Times New Roman" w:hAnsi="Times New Roman"/>
          <w:bCs/>
          <w:kern w:val="36"/>
          <w:lang w:eastAsia="en-GB"/>
        </w:rPr>
        <w:t>1</w:t>
      </w:r>
      <w:r w:rsidR="003C6714" w:rsidRPr="00A138AE">
        <w:rPr>
          <w:rFonts w:ascii="Times New Roman" w:eastAsia="Times New Roman" w:hAnsi="Times New Roman"/>
          <w:bCs/>
          <w:kern w:val="36"/>
          <w:lang w:eastAsia="en-GB"/>
        </w:rPr>
        <w:t xml:space="preserve">. </w:t>
      </w:r>
      <w:hyperlink r:id="rId7" w:history="1">
        <w:r w:rsidR="003C6714" w:rsidRPr="00A138AE">
          <w:rPr>
            <w:rFonts w:ascii="Times New Roman" w:eastAsia="Times New Roman" w:hAnsi="Times New Roman"/>
            <w:bCs/>
            <w:kern w:val="36"/>
            <w:lang w:eastAsia="en-GB"/>
          </w:rPr>
          <w:t>Cowans NJ</w:t>
        </w:r>
      </w:hyperlink>
      <w:r w:rsidR="003C6714" w:rsidRPr="00A138AE">
        <w:rPr>
          <w:rFonts w:ascii="Times New Roman" w:eastAsia="Times New Roman" w:hAnsi="Times New Roman"/>
          <w:bCs/>
          <w:kern w:val="36"/>
          <w:lang w:eastAsia="en-GB"/>
        </w:rPr>
        <w:t>, Alfthan H, </w:t>
      </w:r>
      <w:hyperlink r:id="rId8" w:history="1">
        <w:r w:rsidR="003C6714" w:rsidRPr="00A138AE">
          <w:rPr>
            <w:rFonts w:ascii="Times New Roman" w:eastAsia="Times New Roman" w:hAnsi="Times New Roman"/>
            <w:bCs/>
            <w:kern w:val="36"/>
            <w:lang w:eastAsia="en-GB"/>
          </w:rPr>
          <w:t>Stenman UH</w:t>
        </w:r>
      </w:hyperlink>
      <w:r w:rsidR="003C6714" w:rsidRPr="00A138AE">
        <w:rPr>
          <w:rFonts w:ascii="Times New Roman" w:eastAsia="Times New Roman" w:hAnsi="Times New Roman"/>
          <w:bCs/>
          <w:kern w:val="36"/>
          <w:lang w:eastAsia="en-GB"/>
        </w:rPr>
        <w:t>, Spencer K. Stability of first trimester placental growth factor in serum and whole blood. </w:t>
      </w:r>
      <w:r w:rsidR="003C6714" w:rsidRPr="00A138AE">
        <w:rPr>
          <w:rFonts w:ascii="Times New Roman" w:eastAsia="Times New Roman" w:hAnsi="Times New Roman"/>
          <w:bCs/>
          <w:i/>
          <w:iCs/>
          <w:kern w:val="36"/>
          <w:lang w:eastAsia="en-GB"/>
        </w:rPr>
        <w:t>Prenat Diagn</w:t>
      </w:r>
      <w:r w:rsidR="003C6714" w:rsidRPr="00A138AE">
        <w:rPr>
          <w:rFonts w:ascii="Times New Roman" w:eastAsia="Times New Roman" w:hAnsi="Times New Roman"/>
          <w:bCs/>
          <w:kern w:val="36"/>
          <w:lang w:eastAsia="en-GB"/>
        </w:rPr>
        <w:t xml:space="preserve"> 2011; </w:t>
      </w:r>
      <w:r w:rsidR="003C6714" w:rsidRPr="00A138AE">
        <w:rPr>
          <w:rFonts w:ascii="Times New Roman" w:eastAsia="Times New Roman" w:hAnsi="Times New Roman"/>
          <w:b/>
          <w:kern w:val="36"/>
          <w:lang w:eastAsia="en-GB"/>
        </w:rPr>
        <w:t>31</w:t>
      </w:r>
      <w:r w:rsidR="003C6714" w:rsidRPr="00A138AE">
        <w:rPr>
          <w:rFonts w:ascii="Times New Roman" w:eastAsia="Times New Roman" w:hAnsi="Times New Roman"/>
          <w:bCs/>
          <w:kern w:val="36"/>
          <w:lang w:eastAsia="en-GB"/>
        </w:rPr>
        <w:t>: 1193-1197</w:t>
      </w:r>
    </w:p>
    <w:p w14:paraId="1DE9E0B4" w14:textId="7755D096" w:rsidR="003C6714" w:rsidRPr="00A138AE" w:rsidRDefault="004B4F32" w:rsidP="003C6714">
      <w:pPr>
        <w:pStyle w:val="Heading1"/>
        <w:shd w:val="clear" w:color="auto" w:fill="FFFFFF"/>
        <w:spacing w:before="0" w:beforeAutospacing="0" w:after="0" w:afterAutospacing="0" w:line="48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2</w:t>
      </w:r>
      <w:r w:rsidR="003C6714" w:rsidRPr="00A138AE">
        <w:rPr>
          <w:b w:val="0"/>
          <w:sz w:val="22"/>
          <w:szCs w:val="22"/>
        </w:rPr>
        <w:t xml:space="preserve">. Wa Law L, Sahota DS, Wai Chan L, Chen M, Kin Lau T, Leung TY. Effect of long-term storage on placental growth factor and fms-like tyrosine kinase 1 measurements in samples from pregnant women. </w:t>
      </w:r>
      <w:r w:rsidR="003C6714" w:rsidRPr="00A138AE">
        <w:rPr>
          <w:b w:val="0"/>
          <w:i/>
          <w:iCs/>
          <w:sz w:val="22"/>
          <w:szCs w:val="22"/>
        </w:rPr>
        <w:t>J Matern Fetal Neonatal Med</w:t>
      </w:r>
      <w:r w:rsidR="003C6714" w:rsidRPr="00A138AE">
        <w:rPr>
          <w:b w:val="0"/>
          <w:sz w:val="22"/>
          <w:szCs w:val="22"/>
        </w:rPr>
        <w:t xml:space="preserve"> 2010; </w:t>
      </w:r>
      <w:r w:rsidR="003C6714" w:rsidRPr="00A138AE">
        <w:rPr>
          <w:bCs w:val="0"/>
          <w:sz w:val="22"/>
          <w:szCs w:val="22"/>
        </w:rPr>
        <w:t>23</w:t>
      </w:r>
      <w:r w:rsidR="003C6714" w:rsidRPr="00A138AE">
        <w:rPr>
          <w:b w:val="0"/>
          <w:sz w:val="22"/>
          <w:szCs w:val="22"/>
        </w:rPr>
        <w:t>: 1475-80</w:t>
      </w:r>
    </w:p>
    <w:p w14:paraId="305E2D3D" w14:textId="1EF5C295" w:rsidR="003C6714" w:rsidRPr="00A138AE" w:rsidRDefault="004B4F32" w:rsidP="003C6714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/>
          <w:bCs/>
          <w:kern w:val="36"/>
          <w:lang w:eastAsia="en-GB"/>
        </w:rPr>
      </w:pPr>
      <w:r>
        <w:rPr>
          <w:rFonts w:ascii="Times New Roman" w:eastAsia="Times New Roman" w:hAnsi="Times New Roman"/>
          <w:bCs/>
          <w:kern w:val="36"/>
          <w:lang w:eastAsia="en-GB"/>
        </w:rPr>
        <w:t>3</w:t>
      </w:r>
      <w:r w:rsidR="003C6714" w:rsidRPr="00A138AE">
        <w:rPr>
          <w:rFonts w:ascii="Times New Roman" w:eastAsia="Times New Roman" w:hAnsi="Times New Roman"/>
          <w:bCs/>
          <w:kern w:val="36"/>
          <w:lang w:eastAsia="en-GB"/>
        </w:rPr>
        <w:t xml:space="preserve">. Stepan H, Herraiz I, Schlembach D, Verlohren S, Brennecke S, Chantraine F, Klein E, Lapaire O, Llurba E, Ramoni A, Vatish M, Wertaschnigg D, Galindo A. Implementation of the sFlt-1/PlGF ratio for prediction and diagnosis of pre-eclampsia in singleton pregnancy: implications for clinical practice. </w:t>
      </w:r>
      <w:r w:rsidR="003C6714" w:rsidRPr="00A138AE">
        <w:rPr>
          <w:rFonts w:ascii="Times New Roman" w:eastAsia="Times New Roman" w:hAnsi="Times New Roman"/>
          <w:bCs/>
          <w:i/>
          <w:iCs/>
          <w:kern w:val="36"/>
          <w:lang w:eastAsia="en-GB"/>
        </w:rPr>
        <w:t>Ultrasound Obstet Gynecol</w:t>
      </w:r>
      <w:r w:rsidR="003C6714" w:rsidRPr="00A138AE">
        <w:rPr>
          <w:rFonts w:ascii="Times New Roman" w:eastAsia="Times New Roman" w:hAnsi="Times New Roman"/>
          <w:bCs/>
          <w:kern w:val="36"/>
          <w:lang w:eastAsia="en-GB"/>
        </w:rPr>
        <w:t> 2015;</w:t>
      </w:r>
      <w:r w:rsidR="003C6714">
        <w:rPr>
          <w:rFonts w:ascii="Times New Roman" w:eastAsia="Times New Roman" w:hAnsi="Times New Roman"/>
          <w:bCs/>
          <w:kern w:val="36"/>
          <w:lang w:eastAsia="en-GB"/>
        </w:rPr>
        <w:t xml:space="preserve"> </w:t>
      </w:r>
      <w:r w:rsidR="003C6714" w:rsidRPr="00A138AE">
        <w:rPr>
          <w:rFonts w:ascii="Times New Roman" w:eastAsia="Times New Roman" w:hAnsi="Times New Roman"/>
          <w:b/>
          <w:kern w:val="36"/>
          <w:lang w:eastAsia="en-GB"/>
        </w:rPr>
        <w:t>45</w:t>
      </w:r>
      <w:r w:rsidR="003C6714" w:rsidRPr="00A138AE">
        <w:rPr>
          <w:rFonts w:ascii="Times New Roman" w:eastAsia="Times New Roman" w:hAnsi="Times New Roman"/>
          <w:bCs/>
          <w:kern w:val="36"/>
          <w:lang w:eastAsia="en-GB"/>
        </w:rPr>
        <w:t>: 241–246</w:t>
      </w:r>
    </w:p>
    <w:sectPr w:rsidR="003C6714" w:rsidRPr="00A138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105"/>
    <w:rsid w:val="00030BDF"/>
    <w:rsid w:val="00255A8B"/>
    <w:rsid w:val="00315ED8"/>
    <w:rsid w:val="003C6714"/>
    <w:rsid w:val="004B4F32"/>
    <w:rsid w:val="00772774"/>
    <w:rsid w:val="00821105"/>
    <w:rsid w:val="00864712"/>
    <w:rsid w:val="00CE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4BC29"/>
  <w15:chartTrackingRefBased/>
  <w15:docId w15:val="{6832EBDF-C510-40FC-8962-8A5032FF7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105"/>
    <w:rPr>
      <w:rFonts w:ascii="Calibri" w:eastAsia="Calibri" w:hAnsi="Calibri" w:cs="Times New Roman"/>
    </w:rPr>
  </w:style>
  <w:style w:type="paragraph" w:styleId="Heading1">
    <w:name w:val="heading 1"/>
    <w:basedOn w:val="Normal"/>
    <w:link w:val="Heading1Char"/>
    <w:uiPriority w:val="9"/>
    <w:qFormat/>
    <w:rsid w:val="003C67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671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Stenman%20UH%5BAuthor%5D&amp;cauthor=true&amp;cauthor_uid=22028208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ncbi.nlm.nih.gov/pubmed/?term=Cowans%20NJ%5BAuthor%5D&amp;cauthor=true&amp;cauthor_uid=22028208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FBCBA206BD2945B85D3F9BDE13F4C1" ma:contentTypeVersion="9" ma:contentTypeDescription="Loo uus dokument" ma:contentTypeScope="" ma:versionID="bb756b07fdd4b4f4cceca690ec86525d">
  <xsd:schema xmlns:xsd="http://www.w3.org/2001/XMLSchema" xmlns:xs="http://www.w3.org/2001/XMLSchema" xmlns:p="http://schemas.microsoft.com/office/2006/metadata/properties" xmlns:ns3="a44ce043-c07b-4709-88a7-8338e1a26cd6" targetNamespace="http://schemas.microsoft.com/office/2006/metadata/properties" ma:root="true" ma:fieldsID="b91b2b67b25295726061a2fb182ac712" ns3:_="">
    <xsd:import namespace="a44ce043-c07b-4709-88a7-8338e1a26c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ce043-c07b-4709-88a7-8338e1a26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812047-A7E3-491B-9DBC-A0B848010D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7267973-2BAF-4F61-BF63-7EA7D1032B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4ce043-c07b-4709-88a7-8338e1a26c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2FBDCC8-BA8E-4CCD-9512-8BD6B5300F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Hanson</dc:creator>
  <cp:keywords/>
  <dc:description/>
  <cp:lastModifiedBy>Ele Hanson</cp:lastModifiedBy>
  <cp:revision>3</cp:revision>
  <dcterms:created xsi:type="dcterms:W3CDTF">2020-12-18T08:27:00Z</dcterms:created>
  <dcterms:modified xsi:type="dcterms:W3CDTF">2020-12-18T08:59:00Z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0x01010057FBCBA206BD2945B85D3F9BDE13F4C1</vt:lpwstr>
  </property>
</Properties>
</file>