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17CDAB" w14:textId="77777777" w:rsidR="003B07FD" w:rsidRPr="00824F09" w:rsidRDefault="003B07FD" w:rsidP="003B07F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28"/>
        </w:tabs>
        <w:ind w:right="66"/>
        <w:jc w:val="both"/>
        <w:rPr>
          <w:rFonts w:eastAsia="Calibri" w:cs="Times New Roman"/>
          <w:sz w:val="20"/>
          <w:szCs w:val="20"/>
          <w:bdr w:val="none" w:sz="0" w:space="0" w:color="auto"/>
          <w:lang w:val="et-EE"/>
        </w:rPr>
      </w:pPr>
    </w:p>
    <w:p w14:paraId="213A137B" w14:textId="1D7B5D7B" w:rsidR="003B07FD" w:rsidRPr="00824F09" w:rsidRDefault="003B07FD" w:rsidP="003B07F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28"/>
        </w:tabs>
        <w:ind w:right="66"/>
        <w:jc w:val="both"/>
        <w:rPr>
          <w:rFonts w:eastAsia="Calibri" w:cs="Times New Roman"/>
          <w:sz w:val="20"/>
          <w:szCs w:val="20"/>
          <w:bdr w:val="none" w:sz="0" w:space="0" w:color="auto"/>
          <w:lang w:val="et-EE"/>
        </w:rPr>
      </w:pPr>
      <w:r>
        <w:rPr>
          <w:rFonts w:cs="Times New Roman"/>
          <w:b/>
        </w:rPr>
        <w:t>Table</w:t>
      </w:r>
      <w:r w:rsidR="00E40686">
        <w:rPr>
          <w:rFonts w:cs="Times New Roman"/>
          <w:b/>
        </w:rPr>
        <w:t xml:space="preserve"> S4</w:t>
      </w:r>
      <w:bookmarkStart w:id="0" w:name="_GoBack"/>
      <w:bookmarkEnd w:id="0"/>
      <w:r w:rsidRPr="00811DBD">
        <w:rPr>
          <w:rFonts w:cs="Times New Roman"/>
          <w:b/>
        </w:rPr>
        <w:t xml:space="preserve">. </w:t>
      </w:r>
      <w:r>
        <w:rPr>
          <w:rFonts w:cs="Times New Roman"/>
          <w:b/>
        </w:rPr>
        <w:t>Pregnancies with a f</w:t>
      </w:r>
      <w:r w:rsidRPr="00811DBD">
        <w:rPr>
          <w:rFonts w:cs="Times New Roman"/>
          <w:b/>
        </w:rPr>
        <w:t xml:space="preserve">alse-positive alert </w:t>
      </w:r>
      <w:r>
        <w:rPr>
          <w:rFonts w:cs="Times New Roman"/>
          <w:b/>
        </w:rPr>
        <w:t>assigning the outcome of the sFlt-1/PlGF test outcome to</w:t>
      </w:r>
      <w:r w:rsidRPr="00811DBD">
        <w:rPr>
          <w:rFonts w:cs="Times New Roman"/>
          <w:b/>
        </w:rPr>
        <w:t xml:space="preserve"> the ‘Rule-in PE’</w:t>
      </w:r>
      <w:r>
        <w:rPr>
          <w:rFonts w:cs="Times New Roman"/>
          <w:b/>
        </w:rPr>
        <w:t xml:space="preserve"> category.</w:t>
      </w:r>
    </w:p>
    <w:p w14:paraId="4C0A20FC" w14:textId="77777777" w:rsidR="003B07FD" w:rsidRPr="00B02D73" w:rsidRDefault="003B07FD" w:rsidP="003B07F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14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993"/>
        <w:gridCol w:w="992"/>
        <w:gridCol w:w="1417"/>
        <w:gridCol w:w="993"/>
        <w:gridCol w:w="1417"/>
        <w:gridCol w:w="851"/>
        <w:gridCol w:w="992"/>
        <w:gridCol w:w="1051"/>
        <w:gridCol w:w="1261"/>
        <w:gridCol w:w="724"/>
        <w:gridCol w:w="778"/>
      </w:tblGrid>
      <w:tr w:rsidR="003B07FD" w:rsidRPr="00824F09" w14:paraId="0BA0CF84" w14:textId="77777777" w:rsidTr="00DB547C">
        <w:trPr>
          <w:trHeight w:val="368"/>
        </w:trPr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05271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78C4D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Sampling</w:t>
            </w:r>
          </w:p>
        </w:tc>
        <w:tc>
          <w:tcPr>
            <w:tcW w:w="8067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1E11E2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Delivery</w:t>
            </w:r>
          </w:p>
        </w:tc>
      </w:tr>
      <w:tr w:rsidR="003B07FD" w:rsidRPr="00824F09" w14:paraId="37075BCC" w14:textId="77777777" w:rsidTr="00DB547C">
        <w:trPr>
          <w:trHeight w:val="614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45A836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Sample</w:t>
            </w:r>
          </w:p>
          <w:p w14:paraId="1252EE5F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ID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8F625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Gestational days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BB92E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PE symptoms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0024E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sFlt-1 (pg/ml)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493879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PlGF (pg/ml)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C6242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sFlt-1/PlGF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665DD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Gestational days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29C66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 xml:space="preserve">From sampling to delivery (d)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AC84ED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</w:p>
          <w:p w14:paraId="0674647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Parity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3E35E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Mode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A73D4D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Birth weight</w:t>
            </w:r>
          </w:p>
          <w:p w14:paraId="4DE7B75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(grams)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D728FDA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824F09">
              <w:rPr>
                <w:rFonts w:ascii="Times New Roman" w:hAnsi="Times New Roman"/>
              </w:rPr>
              <w:t>Z-score</w:t>
            </w:r>
          </w:p>
          <w:p w14:paraId="3F057DF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(BW)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BDD8B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SGA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301E4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Sex</w:t>
            </w:r>
          </w:p>
        </w:tc>
      </w:tr>
      <w:tr w:rsidR="003B07FD" w:rsidRPr="00824F09" w14:paraId="2F3961C8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96333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FP-1/G</w:t>
            </w:r>
            <w:r w:rsidRPr="00824F09">
              <w:rPr>
                <w:rFonts w:ascii="Arial" w:hAnsi="Arial" w:cs="Arial"/>
              </w:rPr>
              <w:t>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F56F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75D5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42A1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3,210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EC41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662A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535.0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2890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F1FB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09156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multi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472A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vag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E2A8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1,926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737FE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-2.6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E6D2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Yes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D44E8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</w:t>
            </w:r>
          </w:p>
        </w:tc>
      </w:tr>
      <w:tr w:rsidR="003B07FD" w:rsidRPr="00824F09" w14:paraId="32313172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905E8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45D5D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4E889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AA72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5,286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A5F26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11D8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240.3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7A80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235</w:t>
            </w:r>
            <w:r w:rsidRPr="00824F09">
              <w:rPr>
                <w:rFonts w:ascii="Arial" w:hAnsi="Arial" w:cs="Arial"/>
                <w:color w:val="1C1D1E"/>
                <w:sz w:val="20"/>
                <w:szCs w:val="20"/>
                <w:shd w:val="clear" w:color="auto" w:fill="FFFFFF"/>
              </w:rPr>
              <w:t>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5ED6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198F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multi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5B13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CS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D60E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1,519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A6AE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-1.4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437F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Yes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32DC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</w:t>
            </w:r>
          </w:p>
        </w:tc>
      </w:tr>
      <w:tr w:rsidR="003B07FD" w:rsidRPr="00824F09" w14:paraId="03006655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2B4B0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A885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D91F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50C6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5,213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92E7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993A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148.9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16AFD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2748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CC57C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multi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10C4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CS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5080C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2,782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8C6E8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-1.2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A374B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Yes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27B4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</w:t>
            </w:r>
          </w:p>
        </w:tc>
      </w:tr>
      <w:tr w:rsidR="003B07FD" w:rsidRPr="00824F09" w14:paraId="595AA3B6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6270F1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3B1E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BFDE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E82F7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5,230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1593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9932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118.9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E89F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258</w:t>
            </w:r>
            <w:r w:rsidRPr="00824F09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FCA6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5C7E8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multi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23095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CS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A2466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3,094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C3361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0.8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FE224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No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62AF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</w:rPr>
            </w:pPr>
            <w:r w:rsidRPr="00824F09">
              <w:rPr>
                <w:rFonts w:ascii="Times New Roman" w:hAnsi="Times New Roman"/>
                <w:color w:val="000000"/>
              </w:rPr>
              <w:t>F</w:t>
            </w:r>
          </w:p>
        </w:tc>
      </w:tr>
      <w:tr w:rsidR="003B07FD" w:rsidRPr="00824F09" w14:paraId="416AF5C0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76B7E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3633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30A4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E2DF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7,091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D562D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CFE2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122.3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0407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E6FF8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E500F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multi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3867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vag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2A1848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3,432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2840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0.6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F125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No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ECC9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</w:t>
            </w:r>
          </w:p>
        </w:tc>
      </w:tr>
      <w:tr w:rsidR="003B07FD" w:rsidRPr="00824F09" w14:paraId="4253398A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629234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FAB5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ADB36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92F9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10,030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34A42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956C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139.3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2495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4418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63D23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primi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840B2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vag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BBC9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3,628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ED14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0.2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EBA1A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No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164B4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</w:t>
            </w:r>
          </w:p>
        </w:tc>
      </w:tr>
      <w:tr w:rsidR="003B07FD" w:rsidRPr="00824F09" w14:paraId="79CC8ECF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32CF1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FC9CD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DBCC6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FE92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8,736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01BE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BABF6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128.5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4EFBB6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B4EA8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A55F3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primi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41C4AD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CS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2ED9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4,230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00FA3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1.9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CEE3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No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ACD8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</w:t>
            </w:r>
          </w:p>
        </w:tc>
      </w:tr>
      <w:tr w:rsidR="003B07FD" w:rsidRPr="00824F09" w14:paraId="48BDF9EC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8F8D51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D287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6B82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4406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4,670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6C5B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FB0C3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111.2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0F751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AC8A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12AA6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primi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E1D0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vag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CD07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3,398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72CA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-0.4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96D1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No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BFF4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</w:t>
            </w:r>
          </w:p>
        </w:tc>
      </w:tr>
      <w:tr w:rsidR="003B07FD" w:rsidRPr="00824F09" w14:paraId="123074D0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9C18E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FP-9/H</w:t>
            </w:r>
            <w:r w:rsidRPr="00824F09">
              <w:rPr>
                <w:rFonts w:ascii="Arial" w:hAnsi="Arial" w:cs="Arial"/>
              </w:rPr>
              <w:t>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330DD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664AD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12B3F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12,030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4E708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FDAE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250.6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D7DDA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1D4EE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2AC44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multi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785A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vag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ED5B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3,706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59D85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CB1E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No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0FAC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</w:t>
            </w:r>
          </w:p>
        </w:tc>
      </w:tr>
      <w:tr w:rsidR="003B07FD" w:rsidRPr="00824F09" w14:paraId="3F0BB095" w14:textId="77777777" w:rsidTr="00DB547C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E19F7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700B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3E44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8F8D8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6,823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F3EC5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816A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200.7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9237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335B3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FCBDA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primi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C2A0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vag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56BD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3,470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614E2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0.3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BE19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No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94BC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</w:t>
            </w:r>
          </w:p>
        </w:tc>
      </w:tr>
      <w:tr w:rsidR="003B07FD" w:rsidRPr="00824F09" w14:paraId="1A294E78" w14:textId="77777777" w:rsidTr="00DB547C"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8227EF" w14:textId="77777777" w:rsidR="003B07FD" w:rsidRPr="00824F09" w:rsidRDefault="003B07FD" w:rsidP="00DB547C">
            <w:pPr>
              <w:spacing w:after="0" w:line="276" w:lineRule="auto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FP-11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42D39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BB300C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HTN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2F3C6A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5,597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2D725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87760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199.9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0C7B3E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281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4D51B9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94517E0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primi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B1B4E7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vag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E75FB86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3,790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3F3C51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0.9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7F9B3F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  <w:color w:val="000000"/>
              </w:rPr>
              <w:t>No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17AAC1B" w14:textId="77777777" w:rsidR="003B07FD" w:rsidRPr="00824F09" w:rsidRDefault="003B07FD" w:rsidP="00DB547C">
            <w:pPr>
              <w:spacing w:after="0" w:line="276" w:lineRule="auto"/>
              <w:jc w:val="center"/>
              <w:rPr>
                <w:rFonts w:ascii="Times New Roman" w:hAnsi="Times New Roman"/>
              </w:rPr>
            </w:pPr>
            <w:r w:rsidRPr="00824F09">
              <w:rPr>
                <w:rFonts w:ascii="Times New Roman" w:hAnsi="Times New Roman"/>
              </w:rPr>
              <w:t>M</w:t>
            </w:r>
          </w:p>
        </w:tc>
      </w:tr>
    </w:tbl>
    <w:p w14:paraId="3DB41016" w14:textId="77777777" w:rsidR="003B07FD" w:rsidRPr="002C3BCB" w:rsidRDefault="003B07FD" w:rsidP="003B07FD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</w:pPr>
      <w:r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R</w:t>
      </w:r>
      <w:r w:rsidRPr="0015704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isk assessment for the PE development was based on the estimated sFlt</w:t>
      </w:r>
      <w:r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 xml:space="preserve">-1/PlGF ratio, as recommended by </w:t>
      </w:r>
      <w:r w:rsidRPr="004C7637">
        <w:rPr>
          <w:rFonts w:ascii="Times New Roman" w:eastAsia="Times New Roman" w:hAnsi="Times New Roman"/>
          <w:color w:val="000000"/>
          <w:kern w:val="36"/>
          <w:sz w:val="20"/>
          <w:szCs w:val="20"/>
          <w:lang w:eastAsia="en-GB"/>
        </w:rPr>
        <w:t>Stepan</w:t>
      </w:r>
      <w:r>
        <w:rPr>
          <w:rFonts w:ascii="Times New Roman" w:eastAsia="Times New Roman" w:hAnsi="Times New Roman"/>
          <w:color w:val="000000"/>
          <w:kern w:val="36"/>
          <w:sz w:val="20"/>
          <w:szCs w:val="20"/>
          <w:lang w:eastAsia="en-GB"/>
        </w:rPr>
        <w:t xml:space="preserve"> </w:t>
      </w:r>
      <w:r w:rsidRPr="004C7637">
        <w:rPr>
          <w:rFonts w:ascii="Times New Roman" w:eastAsia="Times New Roman" w:hAnsi="Times New Roman"/>
          <w:i/>
          <w:iCs/>
          <w:color w:val="000000"/>
          <w:kern w:val="36"/>
          <w:sz w:val="20"/>
          <w:szCs w:val="20"/>
          <w:lang w:eastAsia="en-GB"/>
        </w:rPr>
        <w:t>et al</w:t>
      </w:r>
      <w:r w:rsidRPr="004C7637">
        <w:rPr>
          <w:rFonts w:ascii="Times New Roman" w:eastAsia="Times New Roman" w:hAnsi="Times New Roman"/>
          <w:color w:val="000000"/>
          <w:kern w:val="36"/>
          <w:sz w:val="20"/>
          <w:szCs w:val="20"/>
          <w:lang w:eastAsia="en-GB"/>
        </w:rPr>
        <w:t>, 2015</w:t>
      </w:r>
      <w:r w:rsidRPr="0015704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.</w:t>
      </w:r>
      <w:r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vertAlign w:val="superscript"/>
          <w:lang w:eastAsia="en-GB"/>
        </w:rPr>
        <w:t>5</w:t>
      </w:r>
      <w:r w:rsidRPr="0015704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 xml:space="preserve"> ‘Rule-in PE’ decision was assigned for the</w:t>
      </w:r>
      <w:r w:rsidRPr="002C3BC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 xml:space="preserve"> samples exhibiting sFlt</w:t>
      </w:r>
      <w:r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-1</w:t>
      </w:r>
      <w:r w:rsidRPr="002C3BC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/PlGF ratio &gt;85 when drawn before</w:t>
      </w:r>
      <w:r w:rsidRPr="002C3BCB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r w:rsidRPr="002C3BC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34 g</w:t>
      </w:r>
      <w:r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estational weeks</w:t>
      </w:r>
      <w:r w:rsidRPr="002C3BC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 xml:space="preserve"> and &gt; 110 when drawn from 34 </w:t>
      </w:r>
      <w:r w:rsidRPr="0071300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 xml:space="preserve"> </w:t>
      </w:r>
      <w:r w:rsidRPr="002C3BC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g</w:t>
      </w:r>
      <w:r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estational weeks</w:t>
      </w:r>
      <w:r w:rsidRPr="002C3BCB"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 xml:space="preserve"> onwards</w:t>
      </w:r>
      <w:r>
        <w:rPr>
          <w:rFonts w:ascii="Times New Roman" w:eastAsia="Times New Roman" w:hAnsi="Times New Roman"/>
          <w:bCs/>
          <w:color w:val="000000"/>
          <w:kern w:val="36"/>
          <w:sz w:val="20"/>
          <w:szCs w:val="20"/>
          <w:lang w:eastAsia="en-GB"/>
        </w:rPr>
        <w:t>.</w:t>
      </w:r>
    </w:p>
    <w:p w14:paraId="3FD9E233" w14:textId="77777777" w:rsidR="003B07FD" w:rsidRPr="00824F09" w:rsidRDefault="003B07FD" w:rsidP="003B07FD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162AF4">
        <w:rPr>
          <w:rFonts w:ascii="Arial" w:hAnsi="Arial" w:cs="Arial"/>
        </w:rPr>
        <w:t>*</w:t>
      </w: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>letter after slash</w:t>
      </w:r>
      <w:r w:rsidRPr="00824F09">
        <w:rPr>
          <w:rFonts w:ascii="Calibri Light" w:hAnsi="Calibri Light" w:cs="Calibri Light"/>
          <w:color w:val="000000"/>
          <w:sz w:val="20"/>
          <w:szCs w:val="20"/>
          <w:lang w:val="et-EE"/>
        </w:rPr>
        <w:t xml:space="preserve"> </w:t>
      </w: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 xml:space="preserve">refers to the same patient in </w:t>
      </w:r>
      <w:r w:rsidRPr="00824F09">
        <w:rPr>
          <w:rFonts w:ascii="Times New Roman" w:hAnsi="Times New Roman"/>
          <w:b/>
          <w:color w:val="000000"/>
          <w:sz w:val="20"/>
          <w:szCs w:val="20"/>
          <w:lang w:val="et-EE"/>
        </w:rPr>
        <w:t>Table 5</w:t>
      </w: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 xml:space="preserve"> in the Maintext</w:t>
      </w:r>
    </w:p>
    <w:p w14:paraId="24C79FF0" w14:textId="77777777" w:rsidR="003B07FD" w:rsidRPr="00824F09" w:rsidRDefault="003B07FD" w:rsidP="003B07FD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083A09">
        <w:rPr>
          <w:rFonts w:ascii="Arial" w:hAnsi="Arial" w:cs="Arial"/>
          <w:color w:val="1C1D1E"/>
          <w:sz w:val="20"/>
          <w:szCs w:val="20"/>
          <w:shd w:val="clear" w:color="auto" w:fill="FFFFFF"/>
        </w:rPr>
        <w:t>†</w:t>
      </w:r>
      <w:r w:rsidRPr="00824F09"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 </w:t>
      </w:r>
      <w:r w:rsidRPr="00824F09">
        <w:rPr>
          <w:rFonts w:ascii="Times New Roman" w:hAnsi="Times New Roman"/>
          <w:color w:val="000000"/>
          <w:sz w:val="20"/>
          <w:szCs w:val="20"/>
        </w:rPr>
        <w:t>Premature delivery (&lt; 259 gestational days)</w:t>
      </w:r>
    </w:p>
    <w:p w14:paraId="194F72C3" w14:textId="77777777" w:rsidR="003B07FD" w:rsidRPr="00824F09" w:rsidRDefault="003B07FD" w:rsidP="003B07FD">
      <w:pPr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824F09"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 </w:t>
      </w: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 xml:space="preserve">For the assignement of small-for-gestational-age (SGA) diagnosis, the fetal growth  calculator based on </w:t>
      </w:r>
      <w:r w:rsidRPr="0071300B">
        <w:rPr>
          <w:rFonts w:ascii="Times New Roman" w:hAnsi="Times New Roman"/>
          <w:sz w:val="20"/>
          <w:szCs w:val="20"/>
        </w:rPr>
        <w:t>INTERGROWTH-21</w:t>
      </w:r>
      <w:r w:rsidRPr="0071300B">
        <w:rPr>
          <w:rFonts w:ascii="Times New Roman" w:hAnsi="Times New Roman"/>
          <w:sz w:val="20"/>
          <w:szCs w:val="20"/>
          <w:vertAlign w:val="superscript"/>
        </w:rPr>
        <w:t>st</w:t>
      </w:r>
      <w:r w:rsidRPr="0071300B">
        <w:rPr>
          <w:rFonts w:ascii="Times New Roman" w:hAnsi="Times New Roman"/>
          <w:sz w:val="20"/>
          <w:szCs w:val="20"/>
        </w:rPr>
        <w:t xml:space="preserve"> Project</w:t>
      </w: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 xml:space="preserve"> was applied to convert the newborn birth weight into gestational age and sex-adjusted Z-scores.</w:t>
      </w:r>
      <w:r w:rsidRPr="00824F09">
        <w:rPr>
          <w:rFonts w:ascii="Times New Roman" w:hAnsi="Times New Roman"/>
          <w:color w:val="000000"/>
          <w:sz w:val="20"/>
          <w:szCs w:val="20"/>
          <w:vertAlign w:val="superscript"/>
          <w:lang w:val="et-EE"/>
        </w:rPr>
        <w:t>6</w:t>
      </w:r>
      <w:r w:rsidRPr="00824F09">
        <w:rPr>
          <w:rFonts w:ascii="Times New Roman" w:hAnsi="Times New Roman"/>
          <w:color w:val="000000"/>
          <w:sz w:val="20"/>
          <w:szCs w:val="20"/>
          <w:lang w:val="et-EE"/>
        </w:rPr>
        <w:t xml:space="preserve"> Newborn was categorized as SGA in case the Z-score for sex-and gestational age adjusted birthweight was lower than -1.</w:t>
      </w:r>
    </w:p>
    <w:p w14:paraId="17F25BA3" w14:textId="77777777" w:rsidR="003B07FD" w:rsidRPr="00824F09" w:rsidRDefault="003B07FD" w:rsidP="003B07F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28"/>
        </w:tabs>
        <w:ind w:right="66"/>
        <w:jc w:val="both"/>
        <w:rPr>
          <w:rFonts w:cs="Times New Roman"/>
          <w:sz w:val="20"/>
          <w:szCs w:val="20"/>
        </w:rPr>
      </w:pPr>
      <w:r w:rsidRPr="00824F09">
        <w:rPr>
          <w:rFonts w:cs="Times New Roman"/>
          <w:sz w:val="20"/>
          <w:szCs w:val="20"/>
        </w:rPr>
        <w:t>CS, caesarean section; d, days; F, female; HTN, hypertension; M, male</w:t>
      </w:r>
      <w:r w:rsidRPr="00824F09">
        <w:rPr>
          <w:rFonts w:eastAsia="Calibri" w:cs="Times New Roman"/>
          <w:sz w:val="20"/>
          <w:szCs w:val="20"/>
          <w:bdr w:val="none" w:sz="0" w:space="0" w:color="auto"/>
          <w:lang w:val="et-EE"/>
        </w:rPr>
        <w:t xml:space="preserve">; </w:t>
      </w:r>
      <w:r w:rsidRPr="002E294D">
        <w:rPr>
          <w:rFonts w:cs="Times New Roman"/>
          <w:sz w:val="20"/>
          <w:szCs w:val="20"/>
          <w:lang w:val="et-EE"/>
        </w:rPr>
        <w:t xml:space="preserve">parity, number of previous </w:t>
      </w:r>
      <w:r w:rsidRPr="00824F09">
        <w:rPr>
          <w:rFonts w:eastAsia="Calibri" w:cs="Times New Roman"/>
          <w:sz w:val="20"/>
          <w:szCs w:val="20"/>
          <w:bdr w:val="none" w:sz="0" w:space="0" w:color="auto"/>
          <w:lang w:val="et-EE"/>
        </w:rPr>
        <w:t xml:space="preserve">births; primi, primiparous; multi, multiparous; </w:t>
      </w:r>
      <w:r w:rsidRPr="00824F09">
        <w:rPr>
          <w:rFonts w:cs="Times New Roman"/>
          <w:sz w:val="20"/>
          <w:szCs w:val="20"/>
        </w:rPr>
        <w:t>PE, preeclampsia; PlGF, placental growth factor;</w:t>
      </w:r>
      <w:r w:rsidRPr="00824F09">
        <w:rPr>
          <w:rFonts w:cs="Times New Roman"/>
          <w:sz w:val="20"/>
          <w:szCs w:val="20"/>
          <w:lang w:val="et-EE"/>
        </w:rPr>
        <w:t xml:space="preserve"> </w:t>
      </w:r>
      <w:r w:rsidRPr="00824F09">
        <w:rPr>
          <w:rFonts w:cs="Times New Roman"/>
          <w:sz w:val="20"/>
          <w:szCs w:val="20"/>
        </w:rPr>
        <w:t>sFlt-1, soluble fmf-like tyrosine kinase-1; vag, vaginal delivery.</w:t>
      </w:r>
    </w:p>
    <w:p w14:paraId="47B249EA" w14:textId="77777777" w:rsidR="003B07FD" w:rsidRPr="00824F09" w:rsidRDefault="003B07FD" w:rsidP="003B07F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28"/>
        </w:tabs>
        <w:ind w:right="66"/>
        <w:jc w:val="both"/>
        <w:rPr>
          <w:rFonts w:eastAsia="Calibri" w:cs="Times New Roman"/>
          <w:sz w:val="20"/>
          <w:szCs w:val="20"/>
          <w:bdr w:val="none" w:sz="0" w:space="0" w:color="auto"/>
          <w:lang w:val="et-EE"/>
        </w:rPr>
      </w:pPr>
    </w:p>
    <w:p w14:paraId="1DCA7DB6" w14:textId="77777777" w:rsidR="003B07FD" w:rsidRPr="00ED4883" w:rsidRDefault="003B07FD" w:rsidP="003B07FD">
      <w:pPr>
        <w:spacing w:after="0" w:line="240" w:lineRule="auto"/>
        <w:rPr>
          <w:rFonts w:ascii="Times New Roman" w:hAnsi="Times New Roman"/>
          <w:b/>
        </w:rPr>
      </w:pPr>
    </w:p>
    <w:p w14:paraId="14FE10AC" w14:textId="0F231907" w:rsidR="00255A8B" w:rsidRPr="003B07FD" w:rsidRDefault="00255A8B" w:rsidP="003B07FD"/>
    <w:sectPr w:rsidR="00255A8B" w:rsidRPr="003B07FD" w:rsidSect="003B07F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7FD"/>
    <w:rsid w:val="00255A8B"/>
    <w:rsid w:val="00315ED8"/>
    <w:rsid w:val="003B07FD"/>
    <w:rsid w:val="00864712"/>
    <w:rsid w:val="00E4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A31F9"/>
  <w15:chartTrackingRefBased/>
  <w15:docId w15:val="{E3C4ADCC-723C-4123-913C-9816C82B0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7F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3B07F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7FBCBA206BD2945B85D3F9BDE13F4C1" ma:contentTypeVersion="9" ma:contentTypeDescription="Loo uus dokument" ma:contentTypeScope="" ma:versionID="bb756b07fdd4b4f4cceca690ec86525d">
  <xsd:schema xmlns:xsd="http://www.w3.org/2001/XMLSchema" xmlns:xs="http://www.w3.org/2001/XMLSchema" xmlns:p="http://schemas.microsoft.com/office/2006/metadata/properties" xmlns:ns3="a44ce043-c07b-4709-88a7-8338e1a26cd6" targetNamespace="http://schemas.microsoft.com/office/2006/metadata/properties" ma:root="true" ma:fieldsID="b91b2b67b25295726061a2fb182ac712" ns3:_="">
    <xsd:import namespace="a44ce043-c07b-4709-88a7-8338e1a26c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ce043-c07b-4709-88a7-8338e1a26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0855A4-E58A-4E79-808B-286E214FBF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17FA28-FD20-47E1-9AC3-C072B5C63D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B1BC73-3D21-4A06-B600-23B611B33F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4ce043-c07b-4709-88a7-8338e1a26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Hanson</dc:creator>
  <cp:keywords/>
  <dc:description/>
  <cp:lastModifiedBy>Ele Hanson</cp:lastModifiedBy>
  <cp:revision>2</cp:revision>
  <dcterms:created xsi:type="dcterms:W3CDTF">2020-09-16T13:01:00Z</dcterms:created>
  <dcterms:modified xsi:type="dcterms:W3CDTF">2020-12-18T08:57:00Z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0x01010057FBCBA206BD2945B85D3F9BDE13F4C1</vt:lpwstr>
  </property>
</Properties>
</file>