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AA439" w14:textId="77777777" w:rsidR="004D1496" w:rsidRDefault="004D1496" w:rsidP="004D1496">
      <w:pPr>
        <w:snapToGrid w:val="0"/>
        <w:ind w:firstLineChars="200" w:firstLine="480"/>
        <w:jc w:val="both"/>
      </w:pPr>
      <w:r>
        <w:t>In this study, we use data from</w:t>
      </w:r>
      <w:r w:rsidRPr="00AF630B">
        <w:t xml:space="preserve"> </w:t>
      </w:r>
      <w:r>
        <w:t>four waves of the China Family Panel Studies (CPFS)- a biennial longitudinal study spanning from</w:t>
      </w:r>
      <w:r w:rsidRPr="00AF630B">
        <w:t xml:space="preserve"> 20</w:t>
      </w:r>
      <w:r>
        <w:t>12</w:t>
      </w:r>
      <w:r w:rsidRPr="00AF630B">
        <w:t xml:space="preserve"> to 20</w:t>
      </w:r>
      <w:r>
        <w:t xml:space="preserve">18. </w:t>
      </w:r>
      <w:r w:rsidRPr="00CA1B9F">
        <w:t xml:space="preserve">Our working sample includes 19,540 person-year observations aged between 18 to 70 years, with complete information of demographic and social economic status characteristics, job information, and health status of individuals. We use lagged self-reported health to control the potential endogeneity problem caused by reverse causality between health and income. Our identification on heterogenous treatment effects relies on panel quantile regressions, which generate more information than the commonly used mean regression method, and hopefully could reveal the effects of health on income for workers with income distributed at a wide range of quantiles. </w:t>
      </w:r>
    </w:p>
    <w:p w14:paraId="3C9B2940" w14:textId="77777777" w:rsidR="004D1496" w:rsidRPr="00727605" w:rsidRDefault="004D1496" w:rsidP="004D1496">
      <w:pPr>
        <w:snapToGrid w:val="0"/>
        <w:jc w:val="both"/>
        <w:rPr>
          <w:b/>
          <w:i/>
        </w:rPr>
      </w:pPr>
      <w:r w:rsidRPr="00727605">
        <w:rPr>
          <w:b/>
          <w:i/>
        </w:rPr>
        <w:t>Data</w:t>
      </w:r>
      <w:r>
        <w:rPr>
          <w:b/>
          <w:i/>
        </w:rPr>
        <w:t xml:space="preserve"> </w:t>
      </w:r>
    </w:p>
    <w:p w14:paraId="278A508C" w14:textId="77777777" w:rsidR="004D1496" w:rsidRDefault="004D1496" w:rsidP="004D1496">
      <w:pPr>
        <w:snapToGrid w:val="0"/>
        <w:ind w:firstLineChars="200" w:firstLine="480"/>
        <w:jc w:val="both"/>
        <w:rPr>
          <w:lang w:eastAsia="zh-CN"/>
        </w:rPr>
      </w:pPr>
      <w:r w:rsidRPr="00843880">
        <w:t xml:space="preserve">The data are from </w:t>
      </w:r>
      <w:r>
        <w:t xml:space="preserve">the </w:t>
      </w:r>
      <w:r w:rsidRPr="00843880">
        <w:t>China F</w:t>
      </w:r>
      <w:r w:rsidRPr="00843880">
        <w:rPr>
          <w:rFonts w:hint="eastAsia"/>
          <w:lang w:eastAsia="zh-CN"/>
        </w:rPr>
        <w:t>a</w:t>
      </w:r>
      <w:r w:rsidRPr="00843880">
        <w:rPr>
          <w:lang w:eastAsia="zh-CN"/>
        </w:rPr>
        <w:t>mily Panel Studies</w:t>
      </w:r>
      <w:r w:rsidRPr="00843880">
        <w:t xml:space="preserve"> (CFPS). The CFPS is a </w:t>
      </w:r>
      <w:r>
        <w:t xml:space="preserve">high-quality biennial household longitudinal survey, which is </w:t>
      </w:r>
      <w:r w:rsidRPr="00843880">
        <w:t xml:space="preserve">collected by the China Social Sciences Research Centre (ISSS) </w:t>
      </w:r>
      <w:r>
        <w:t>at</w:t>
      </w:r>
      <w:r w:rsidRPr="00843880">
        <w:t xml:space="preserve"> Peking University</w:t>
      </w:r>
      <w:r>
        <w:t>. The survey</w:t>
      </w:r>
      <w:r w:rsidRPr="00843880">
        <w:t xml:space="preserve"> focuses on the </w:t>
      </w:r>
      <w:r>
        <w:t xml:space="preserve">individual </w:t>
      </w:r>
      <w:r w:rsidRPr="00843880">
        <w:t xml:space="preserve">economic and non-economic welfare of Chinese residents, including </w:t>
      </w:r>
      <w:r>
        <w:t xml:space="preserve">individual’s employment status, educational achievement, health-related behaviours, </w:t>
      </w:r>
      <w:r w:rsidRPr="00843880">
        <w:t>family relation</w:t>
      </w:r>
      <w:r>
        <w:t>ship</w:t>
      </w:r>
      <w:r w:rsidRPr="00843880">
        <w:t>s</w:t>
      </w:r>
      <w:r>
        <w:t xml:space="preserve">, migration status </w:t>
      </w:r>
      <w:proofErr w:type="gramStart"/>
      <w:r>
        <w:t>and etc.</w:t>
      </w:r>
      <w:proofErr w:type="gramEnd"/>
      <w:r w:rsidRPr="0092134D">
        <w:rPr>
          <w:highlight w:val="cyan"/>
        </w:rPr>
        <w:t xml:space="preserve"> Considering the great regional differences in Chinese society, CFPS adopts the proportional probability sampling (PPS) with implicit stratification, multi-stage, multi-</w:t>
      </w:r>
      <w:proofErr w:type="gramStart"/>
      <w:r w:rsidRPr="0092134D">
        <w:rPr>
          <w:highlight w:val="cyan"/>
        </w:rPr>
        <w:t>level</w:t>
      </w:r>
      <w:proofErr w:type="gramEnd"/>
      <w:r w:rsidRPr="0092134D">
        <w:rPr>
          <w:highlight w:val="cyan"/>
        </w:rPr>
        <w:t xml:space="preserve"> and population proportionality.</w:t>
      </w:r>
      <w:r w:rsidRPr="006257F0">
        <w:rPr>
          <w:highlight w:val="cyan"/>
        </w:rPr>
        <w:t xml:space="preserve"> The cross-sectional response rates of surveys in 2012 and 2014 were 74.1% and 72.8% respectively, and the cross-survey tracking rates were 80.6% and 83.8% respectively.</w:t>
      </w:r>
      <w:r w:rsidRPr="006257F0">
        <w:rPr>
          <w:rFonts w:hint="eastAsia"/>
          <w:highlight w:val="cyan"/>
        </w:rPr>
        <w:t xml:space="preserve"> As</w:t>
      </w:r>
      <w:r w:rsidRPr="006257F0">
        <w:rPr>
          <w:highlight w:val="cyan"/>
        </w:rPr>
        <w:t xml:space="preserve"> for the missing data, CFPS team has adopted a variety of processing methods to reduce the missing rate. For example, if personal income is missing, replace it with the average of the income range. If it is still missing or less than 100 yuan, it shall be replaced by the summation of the sub items related to </w:t>
      </w:r>
      <w:proofErr w:type="gramStart"/>
      <w:r w:rsidRPr="006257F0">
        <w:rPr>
          <w:highlight w:val="cyan"/>
        </w:rPr>
        <w:t>income</w:t>
      </w:r>
      <w:r w:rsidRPr="006257F0">
        <w:rPr>
          <w:highlight w:val="cyan"/>
          <w:lang w:eastAsia="zh-CN"/>
        </w:rPr>
        <w:t>( see</w:t>
      </w:r>
      <w:proofErr w:type="gramEnd"/>
      <w:r w:rsidRPr="006257F0">
        <w:rPr>
          <w:highlight w:val="cyan"/>
          <w:lang w:eastAsia="zh-CN"/>
        </w:rPr>
        <w:t xml:space="preserve"> </w:t>
      </w:r>
      <w:proofErr w:type="spellStart"/>
      <w:r w:rsidRPr="006257F0">
        <w:rPr>
          <w:highlight w:val="cyan"/>
          <w:lang w:eastAsia="zh-CN"/>
        </w:rPr>
        <w:t>Xie</w:t>
      </w:r>
      <w:proofErr w:type="spellEnd"/>
      <w:r w:rsidRPr="006257F0">
        <w:rPr>
          <w:highlight w:val="cyan"/>
          <w:lang w:eastAsia="zh-CN"/>
        </w:rPr>
        <w:t xml:space="preserve"> &amp; Hu, 2014, for more details about CFPS)</w:t>
      </w:r>
      <w:r w:rsidRPr="006257F0">
        <w:rPr>
          <w:highlight w:val="cyan"/>
        </w:rPr>
        <w:t xml:space="preserve">. CFPS has so far conducted </w:t>
      </w:r>
      <w:r w:rsidRPr="006257F0">
        <w:rPr>
          <w:highlight w:val="cyan"/>
        </w:rPr>
        <w:lastRenderedPageBreak/>
        <w:t>six surveys from 2010 to 2018, and each survey covers</w:t>
      </w:r>
      <w:r w:rsidRPr="006257F0">
        <w:rPr>
          <w:highlight w:val="cyan"/>
          <w:lang w:eastAsia="zh-CN"/>
        </w:rPr>
        <w:t xml:space="preserve"> </w:t>
      </w:r>
      <w:r w:rsidRPr="006257F0">
        <w:rPr>
          <w:highlight w:val="cyan"/>
        </w:rPr>
        <w:t>25 provinces and cities with a total sample of 16,000 households and approximately 30,000 family members in these households</w:t>
      </w:r>
      <w:r w:rsidRPr="006257F0">
        <w:rPr>
          <w:highlight w:val="cyan"/>
          <w:lang w:eastAsia="zh-CN"/>
        </w:rPr>
        <w:t xml:space="preserve">. </w:t>
      </w:r>
    </w:p>
    <w:p w14:paraId="0040CB9A" w14:textId="77777777" w:rsidR="004D1496" w:rsidRDefault="004D1496" w:rsidP="004D1496">
      <w:pPr>
        <w:snapToGrid w:val="0"/>
        <w:ind w:firstLineChars="200" w:firstLine="480"/>
        <w:jc w:val="both"/>
        <w:rPr>
          <w:b/>
          <w:i/>
        </w:rPr>
      </w:pPr>
      <w:r>
        <w:t xml:space="preserve">In this study, we use data from waves </w:t>
      </w:r>
      <w:r w:rsidRPr="00AE0968">
        <w:t>of 2012, 2014, 2016</w:t>
      </w:r>
      <w:r>
        <w:t>,</w:t>
      </w:r>
      <w:r w:rsidRPr="00AE0968">
        <w:t xml:space="preserve"> and 2018</w:t>
      </w:r>
      <w:r>
        <w:t xml:space="preserve">. After dropping observations with missing information on health indicators and other covariates, the </w:t>
      </w:r>
      <w:r w:rsidRPr="00AE0968">
        <w:t>final sample of our study includes 19</w:t>
      </w:r>
      <w:r>
        <w:t>,</w:t>
      </w:r>
      <w:r w:rsidRPr="00AE0968">
        <w:t xml:space="preserve">540 person-year observations aged between 18 </w:t>
      </w:r>
      <w:r>
        <w:t>and</w:t>
      </w:r>
      <w:r w:rsidRPr="00AE0968">
        <w:t xml:space="preserve"> 70 years.</w:t>
      </w:r>
    </w:p>
    <w:p w14:paraId="50CF8406" w14:textId="77777777" w:rsidR="004D1496" w:rsidRPr="00727605" w:rsidRDefault="004D1496" w:rsidP="004D1496">
      <w:pPr>
        <w:snapToGrid w:val="0"/>
        <w:rPr>
          <w:b/>
          <w:i/>
        </w:rPr>
      </w:pPr>
      <w:r w:rsidRPr="00727605">
        <w:rPr>
          <w:b/>
          <w:i/>
        </w:rPr>
        <w:t>Variables</w:t>
      </w:r>
    </w:p>
    <w:p w14:paraId="4408B30C" w14:textId="77777777" w:rsidR="004D1496" w:rsidRPr="00AE0968" w:rsidRDefault="004D1496" w:rsidP="004D1496">
      <w:pPr>
        <w:snapToGrid w:val="0"/>
        <w:ind w:firstLineChars="200" w:firstLine="480"/>
        <w:jc w:val="both"/>
      </w:pPr>
      <w:r w:rsidRPr="00AE0968">
        <w:t xml:space="preserve">The key independent variable </w:t>
      </w:r>
      <w:r>
        <w:rPr>
          <w:rFonts w:hint="eastAsia"/>
          <w:lang w:eastAsia="zh-CN"/>
        </w:rPr>
        <w:t>in</w:t>
      </w:r>
      <w:r>
        <w:rPr>
          <w:lang w:eastAsia="zh-CN"/>
        </w:rPr>
        <w:t xml:space="preserve"> our analysis </w:t>
      </w:r>
      <w:r w:rsidRPr="00AE0968">
        <w:t xml:space="preserve">is </w:t>
      </w:r>
      <w:r>
        <w:t xml:space="preserve">self-reported </w:t>
      </w:r>
      <w:r w:rsidRPr="00AE0968">
        <w:t>health</w:t>
      </w:r>
      <w:r>
        <w:t xml:space="preserve">. </w:t>
      </w:r>
      <w:r w:rsidRPr="0092134D">
        <w:rPr>
          <w:highlight w:val="cyan"/>
        </w:rPr>
        <w:t>Compared with other health indicators such as healthcare use, disability, illness history and biomarkers (</w:t>
      </w:r>
      <w:proofErr w:type="spellStart"/>
      <w:r w:rsidRPr="0092134D">
        <w:rPr>
          <w:highlight w:val="cyan"/>
        </w:rPr>
        <w:t>Jounes</w:t>
      </w:r>
      <w:proofErr w:type="spellEnd"/>
      <w:r w:rsidRPr="0092134D">
        <w:rPr>
          <w:highlight w:val="cyan"/>
        </w:rPr>
        <w:t xml:space="preserve"> &amp; Wildman, 2008; </w:t>
      </w:r>
      <w:proofErr w:type="spellStart"/>
      <w:r w:rsidRPr="0092134D">
        <w:rPr>
          <w:highlight w:val="cyan"/>
          <w:lang w:eastAsia="zh-CN"/>
        </w:rPr>
        <w:t>Carriei</w:t>
      </w:r>
      <w:proofErr w:type="spellEnd"/>
      <w:r w:rsidRPr="0092134D">
        <w:rPr>
          <w:highlight w:val="cyan"/>
          <w:lang w:eastAsia="zh-CN"/>
        </w:rPr>
        <w:t xml:space="preserve"> &amp; Wuebker,2016; Gannon &amp;Muley, 2016; </w:t>
      </w:r>
      <w:proofErr w:type="spellStart"/>
      <w:r w:rsidRPr="0092134D">
        <w:rPr>
          <w:highlight w:val="cyan"/>
          <w:lang w:eastAsia="zh-CN"/>
        </w:rPr>
        <w:t>Szende</w:t>
      </w:r>
      <w:proofErr w:type="spellEnd"/>
      <w:r w:rsidRPr="0092134D">
        <w:rPr>
          <w:highlight w:val="cyan"/>
          <w:lang w:eastAsia="zh-CN"/>
        </w:rPr>
        <w:t xml:space="preserve"> et al., 2016)</w:t>
      </w:r>
      <w:r w:rsidRPr="0092134D">
        <w:rPr>
          <w:highlight w:val="cyan"/>
        </w:rPr>
        <w:t>, self-reported health is less costly and easy to administer in large social surveys such as CFPS. In addition, self-reported health has been shown a good predictor of both mortality and morbidity and large use in literature (</w:t>
      </w:r>
      <w:proofErr w:type="spellStart"/>
      <w:r w:rsidRPr="0092134D">
        <w:rPr>
          <w:highlight w:val="cyan"/>
        </w:rPr>
        <w:t>Jylh</w:t>
      </w:r>
      <w:proofErr w:type="spellEnd"/>
      <w:r w:rsidRPr="0092134D">
        <w:rPr>
          <w:highlight w:val="cyan"/>
        </w:rPr>
        <w:t xml:space="preserve">, 2009; </w:t>
      </w:r>
      <w:proofErr w:type="spellStart"/>
      <w:r w:rsidRPr="0092134D">
        <w:rPr>
          <w:highlight w:val="cyan"/>
        </w:rPr>
        <w:t>Borisova</w:t>
      </w:r>
      <w:proofErr w:type="spellEnd"/>
      <w:r w:rsidRPr="0092134D">
        <w:rPr>
          <w:highlight w:val="cyan"/>
        </w:rPr>
        <w:t>, 2019).</w:t>
      </w:r>
      <w:r w:rsidRPr="00AE0968">
        <w:t xml:space="preserve"> Besides, we use lagged self-reported health as a proxy of current health to deal with the endogeneity </w:t>
      </w:r>
      <w:r>
        <w:t xml:space="preserve">problem </w:t>
      </w:r>
      <w:r w:rsidRPr="00AE0968">
        <w:t xml:space="preserve">caused by the reverse causality </w:t>
      </w:r>
      <w:r>
        <w:t>between</w:t>
      </w:r>
      <w:r w:rsidRPr="00AE0968">
        <w:t xml:space="preserve"> health and income. </w:t>
      </w:r>
    </w:p>
    <w:p w14:paraId="1CC9A58F" w14:textId="77777777" w:rsidR="004D1496" w:rsidRPr="00AE0968" w:rsidRDefault="004D1496" w:rsidP="004D1496">
      <w:pPr>
        <w:snapToGrid w:val="0"/>
        <w:ind w:firstLineChars="200" w:firstLine="480"/>
        <w:jc w:val="both"/>
      </w:pPr>
      <w:r w:rsidRPr="00AE0968">
        <w:t xml:space="preserve">Self-reported health </w:t>
      </w:r>
      <w:proofErr w:type="gramStart"/>
      <w:r>
        <w:t>are</w:t>
      </w:r>
      <w:proofErr w:type="gramEnd"/>
      <w:r>
        <w:t xml:space="preserve"> extracted</w:t>
      </w:r>
      <w:r w:rsidRPr="00AE0968">
        <w:t xml:space="preserve"> from the </w:t>
      </w:r>
      <w:r>
        <w:rPr>
          <w:rFonts w:hint="eastAsia"/>
          <w:lang w:eastAsia="zh-CN"/>
        </w:rPr>
        <w:t>su</w:t>
      </w:r>
      <w:r>
        <w:rPr>
          <w:lang w:eastAsia="zh-CN"/>
        </w:rPr>
        <w:t xml:space="preserve">rvey </w:t>
      </w:r>
      <w:r w:rsidRPr="00AE0968">
        <w:t>questionnaire</w:t>
      </w:r>
      <w:r>
        <w:t xml:space="preserve"> and measured on a Likert scale with levels of </w:t>
      </w:r>
      <w:r w:rsidRPr="00AE0968">
        <w:t xml:space="preserve">excellent, very good, good, average and poor. </w:t>
      </w:r>
      <w:r w:rsidRPr="0092134D">
        <w:rPr>
          <w:highlight w:val="yellow"/>
        </w:rPr>
        <w:t>We merge excellent, very good and good into one category due to the rather limited sample size of individuals</w:t>
      </w:r>
      <w:r>
        <w:rPr>
          <w:highlight w:val="yellow"/>
        </w:rPr>
        <w:t xml:space="preserve"> whose reported health are</w:t>
      </w:r>
      <w:r w:rsidRPr="009B7352">
        <w:rPr>
          <w:highlight w:val="yellow"/>
        </w:rPr>
        <w:t xml:space="preserve"> excellent and very good health</w:t>
      </w:r>
      <w:r w:rsidRPr="009B7352">
        <w:rPr>
          <w:rStyle w:val="FootnoteReference"/>
          <w:highlight w:val="yellow"/>
        </w:rPr>
        <w:footnoteReference w:id="1"/>
      </w:r>
      <w:r w:rsidRPr="009B7352">
        <w:rPr>
          <w:highlight w:val="yellow"/>
        </w:rPr>
        <w:t>.</w:t>
      </w:r>
      <w:r w:rsidRPr="00AE0968">
        <w:t xml:space="preserve"> </w:t>
      </w:r>
    </w:p>
    <w:p w14:paraId="7EE11C63" w14:textId="77777777" w:rsidR="004D1496" w:rsidRDefault="004D1496" w:rsidP="004D1496">
      <w:pPr>
        <w:snapToGrid w:val="0"/>
        <w:ind w:firstLineChars="200" w:firstLine="480"/>
        <w:jc w:val="both"/>
        <w:rPr>
          <w:rFonts w:eastAsiaTheme="minorHAnsi"/>
          <w:color w:val="000000" w:themeColor="text1"/>
          <w:sz w:val="22"/>
          <w:szCs w:val="21"/>
        </w:rPr>
      </w:pPr>
      <w:r w:rsidRPr="00AE0968">
        <w:t xml:space="preserve">Table 1 provides the </w:t>
      </w:r>
      <w:r>
        <w:t>distribution of</w:t>
      </w:r>
      <w:r w:rsidRPr="00AE0968">
        <w:t xml:space="preserve"> self-reported health in each wave. </w:t>
      </w:r>
      <w:r>
        <w:t xml:space="preserve">First, we observe that most people reported their health as good or above, accounting </w:t>
      </w:r>
      <w:r w:rsidRPr="00AE0968">
        <w:t xml:space="preserve">for 71% of </w:t>
      </w:r>
      <w:r>
        <w:t>observations.</w:t>
      </w:r>
      <w:r w:rsidRPr="00AE0968">
        <w:t xml:space="preserve"> 24.4% </w:t>
      </w:r>
      <w:r>
        <w:t xml:space="preserve">reported their health as average and </w:t>
      </w:r>
      <w:r w:rsidRPr="00AE0968">
        <w:t xml:space="preserve">4.6% </w:t>
      </w:r>
      <w:r>
        <w:t>as poor. Second, we can also detect a time change.</w:t>
      </w:r>
      <w:r w:rsidRPr="00AE0968">
        <w:t xml:space="preserve"> In</w:t>
      </w:r>
      <w:r>
        <w:t xml:space="preserve"> </w:t>
      </w:r>
      <w:r>
        <w:lastRenderedPageBreak/>
        <w:t xml:space="preserve">the year of </w:t>
      </w:r>
      <w:r w:rsidRPr="00AE0968">
        <w:t>2010,</w:t>
      </w:r>
      <w:r>
        <w:t xml:space="preserve"> </w:t>
      </w:r>
      <w:r w:rsidRPr="00AE0968">
        <w:t xml:space="preserve">only </w:t>
      </w:r>
      <w:r>
        <w:t>2</w:t>
      </w:r>
      <w:r w:rsidRPr="00AE0968">
        <w:t>.6% of workers reported</w:t>
      </w:r>
      <w:r>
        <w:t xml:space="preserve"> poor </w:t>
      </w:r>
      <w:r w:rsidRPr="00AE0968">
        <w:t>health,</w:t>
      </w:r>
      <w:r>
        <w:t xml:space="preserve"> against</w:t>
      </w:r>
      <w:r w:rsidRPr="00AE0968">
        <w:t xml:space="preserve"> 7.6% </w:t>
      </w:r>
      <w:r>
        <w:t>reporting poor in the year of 2016.</w:t>
      </w:r>
      <w:r w:rsidRPr="009A48FA">
        <w:t xml:space="preserve"> </w:t>
      </w:r>
      <w:r>
        <w:t>In contrast, 78.1</w:t>
      </w:r>
      <w:r w:rsidRPr="00AE0968">
        <w:t xml:space="preserve">% of workers reported </w:t>
      </w:r>
      <w:r>
        <w:t xml:space="preserve">good </w:t>
      </w:r>
      <w:r w:rsidRPr="00AE0968">
        <w:t>health</w:t>
      </w:r>
      <w:r>
        <w:t xml:space="preserve"> in 2010</w:t>
      </w:r>
      <w:r w:rsidRPr="00AE0968">
        <w:t xml:space="preserve">, but </w:t>
      </w:r>
      <w:r>
        <w:t>the proportion decreased to 64.6</w:t>
      </w:r>
      <w:r w:rsidRPr="00AE0968">
        <w:t xml:space="preserve">% </w:t>
      </w:r>
      <w:r>
        <w:t xml:space="preserve">in 2016. Table 1 </w:t>
      </w:r>
      <w:r w:rsidRPr="00AE0968">
        <w:t>suggest</w:t>
      </w:r>
      <w:r>
        <w:t>s</w:t>
      </w:r>
      <w:r w:rsidRPr="00AE0968">
        <w:t xml:space="preserve"> that the health status of workers </w:t>
      </w:r>
      <w:r w:rsidRPr="00AE0968">
        <w:rPr>
          <w:rFonts w:hint="eastAsia"/>
        </w:rPr>
        <w:t>w</w:t>
      </w:r>
      <w:r w:rsidRPr="00AE0968">
        <w:t xml:space="preserve">as getting worse </w:t>
      </w:r>
      <w:r>
        <w:t>over the period of 2010 and 2016</w:t>
      </w:r>
      <w:r w:rsidRPr="00AE0968">
        <w:t>.</w:t>
      </w:r>
    </w:p>
    <w:p w14:paraId="1D0B0012" w14:textId="77777777" w:rsidR="004D1496" w:rsidRPr="005F40CD" w:rsidRDefault="004D1496" w:rsidP="004D1496">
      <w:pPr>
        <w:snapToGrid w:val="0"/>
        <w:spacing w:line="276" w:lineRule="auto"/>
        <w:ind w:firstLineChars="150" w:firstLine="330"/>
        <w:jc w:val="center"/>
        <w:rPr>
          <w:rFonts w:eastAsiaTheme="minorHAnsi"/>
          <w:color w:val="000000" w:themeColor="text1"/>
          <w:sz w:val="22"/>
          <w:szCs w:val="21"/>
        </w:rPr>
      </w:pPr>
      <w:r w:rsidRPr="00AE0968">
        <w:rPr>
          <w:rFonts w:eastAsiaTheme="minorHAnsi"/>
          <w:color w:val="000000" w:themeColor="text1"/>
          <w:sz w:val="22"/>
          <w:szCs w:val="21"/>
        </w:rPr>
        <w:t xml:space="preserve">Table 1. </w:t>
      </w:r>
      <w:r>
        <w:rPr>
          <w:rFonts w:eastAsiaTheme="minorHAnsi"/>
          <w:color w:val="000000" w:themeColor="text1"/>
          <w:sz w:val="22"/>
          <w:szCs w:val="21"/>
        </w:rPr>
        <w:t>Distribution of Self-Reported Health in Each Survey Wave</w:t>
      </w:r>
    </w:p>
    <w:tbl>
      <w:tblPr>
        <w:tblStyle w:val="TableGrid"/>
        <w:tblW w:w="0" w:type="auto"/>
        <w:tblInd w:w="279" w:type="dxa"/>
        <w:tblLayout w:type="fixed"/>
        <w:tblLook w:val="04A0" w:firstRow="1" w:lastRow="0" w:firstColumn="1" w:lastColumn="0" w:noHBand="0" w:noVBand="1"/>
      </w:tblPr>
      <w:tblGrid>
        <w:gridCol w:w="2410"/>
        <w:gridCol w:w="1275"/>
        <w:gridCol w:w="1134"/>
        <w:gridCol w:w="1134"/>
        <w:gridCol w:w="993"/>
        <w:gridCol w:w="1065"/>
      </w:tblGrid>
      <w:tr w:rsidR="004D1496" w:rsidRPr="005F40CD" w14:paraId="5F63561C" w14:textId="77777777" w:rsidTr="00EA3117">
        <w:trPr>
          <w:trHeight w:val="116"/>
        </w:trPr>
        <w:tc>
          <w:tcPr>
            <w:tcW w:w="2410" w:type="dxa"/>
            <w:tcBorders>
              <w:top w:val="double" w:sz="4" w:space="0" w:color="auto"/>
              <w:left w:val="single" w:sz="4" w:space="0" w:color="FFFFFF" w:themeColor="background1"/>
              <w:right w:val="single" w:sz="4" w:space="0" w:color="FFFFFF" w:themeColor="background1"/>
            </w:tcBorders>
            <w:vAlign w:val="center"/>
          </w:tcPr>
          <w:p w14:paraId="4A0E80FD"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Self-reported health</w:t>
            </w:r>
          </w:p>
        </w:tc>
        <w:tc>
          <w:tcPr>
            <w:tcW w:w="1275" w:type="dxa"/>
            <w:tcBorders>
              <w:top w:val="double" w:sz="4" w:space="0" w:color="auto"/>
              <w:left w:val="single" w:sz="4" w:space="0" w:color="FFFFFF" w:themeColor="background1"/>
              <w:right w:val="single" w:sz="4" w:space="0" w:color="FFFFFF" w:themeColor="background1"/>
            </w:tcBorders>
            <w:vAlign w:val="center"/>
          </w:tcPr>
          <w:p w14:paraId="29774A92" w14:textId="77777777" w:rsidR="004D1496" w:rsidRPr="005F40CD" w:rsidRDefault="004D1496" w:rsidP="00EA3117">
            <w:pPr>
              <w:snapToGrid w:val="0"/>
              <w:spacing w:line="360" w:lineRule="auto"/>
              <w:jc w:val="center"/>
              <w:rPr>
                <w:rFonts w:eastAsiaTheme="minorHAnsi"/>
                <w:color w:val="000000" w:themeColor="text1"/>
                <w:sz w:val="22"/>
                <w:szCs w:val="21"/>
              </w:rPr>
            </w:pPr>
            <w:r>
              <w:rPr>
                <w:rFonts w:eastAsiaTheme="minorHAnsi"/>
                <w:color w:val="000000" w:themeColor="text1"/>
                <w:sz w:val="22"/>
                <w:szCs w:val="21"/>
              </w:rPr>
              <w:t>In total</w:t>
            </w:r>
          </w:p>
        </w:tc>
        <w:tc>
          <w:tcPr>
            <w:tcW w:w="1134" w:type="dxa"/>
            <w:tcBorders>
              <w:top w:val="double" w:sz="4" w:space="0" w:color="auto"/>
              <w:left w:val="single" w:sz="4" w:space="0" w:color="FFFFFF" w:themeColor="background1"/>
              <w:right w:val="single" w:sz="4" w:space="0" w:color="FFFFFF" w:themeColor="background1"/>
            </w:tcBorders>
            <w:vAlign w:val="center"/>
          </w:tcPr>
          <w:p w14:paraId="607482A7" w14:textId="77777777" w:rsidR="004D1496" w:rsidRPr="005F40CD" w:rsidRDefault="004D1496" w:rsidP="00EA3117">
            <w:pPr>
              <w:snapToGrid w:val="0"/>
              <w:spacing w:line="360" w:lineRule="auto"/>
              <w:jc w:val="center"/>
              <w:rPr>
                <w:rFonts w:eastAsiaTheme="minorHAnsi"/>
                <w:color w:val="000000" w:themeColor="text1"/>
                <w:sz w:val="22"/>
                <w:szCs w:val="21"/>
              </w:rPr>
            </w:pPr>
            <w:r>
              <w:rPr>
                <w:rFonts w:eastAsiaTheme="minorHAnsi"/>
                <w:color w:val="000000" w:themeColor="text1"/>
                <w:sz w:val="22"/>
                <w:szCs w:val="21"/>
              </w:rPr>
              <w:t>2010</w:t>
            </w:r>
          </w:p>
        </w:tc>
        <w:tc>
          <w:tcPr>
            <w:tcW w:w="1134" w:type="dxa"/>
            <w:tcBorders>
              <w:top w:val="double" w:sz="4" w:space="0" w:color="auto"/>
              <w:left w:val="single" w:sz="4" w:space="0" w:color="FFFFFF" w:themeColor="background1"/>
              <w:right w:val="single" w:sz="4" w:space="0" w:color="FFFFFF" w:themeColor="background1"/>
            </w:tcBorders>
            <w:vAlign w:val="center"/>
          </w:tcPr>
          <w:p w14:paraId="70C522AC"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20</w:t>
            </w:r>
            <w:r>
              <w:rPr>
                <w:rFonts w:eastAsiaTheme="minorHAnsi"/>
                <w:color w:val="000000" w:themeColor="text1"/>
                <w:sz w:val="22"/>
                <w:szCs w:val="21"/>
              </w:rPr>
              <w:t>12</w:t>
            </w:r>
          </w:p>
        </w:tc>
        <w:tc>
          <w:tcPr>
            <w:tcW w:w="993" w:type="dxa"/>
            <w:tcBorders>
              <w:top w:val="double" w:sz="4" w:space="0" w:color="auto"/>
              <w:left w:val="single" w:sz="4" w:space="0" w:color="FFFFFF" w:themeColor="background1"/>
              <w:right w:val="single" w:sz="4" w:space="0" w:color="FFFFFF" w:themeColor="background1"/>
            </w:tcBorders>
            <w:vAlign w:val="center"/>
          </w:tcPr>
          <w:p w14:paraId="55D010CD"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20</w:t>
            </w:r>
            <w:r>
              <w:rPr>
                <w:rFonts w:eastAsiaTheme="minorHAnsi"/>
                <w:color w:val="000000" w:themeColor="text1"/>
                <w:sz w:val="22"/>
                <w:szCs w:val="21"/>
              </w:rPr>
              <w:t>14</w:t>
            </w:r>
          </w:p>
        </w:tc>
        <w:tc>
          <w:tcPr>
            <w:tcW w:w="1065" w:type="dxa"/>
            <w:tcBorders>
              <w:top w:val="double" w:sz="4" w:space="0" w:color="auto"/>
              <w:left w:val="single" w:sz="4" w:space="0" w:color="FFFFFF" w:themeColor="background1"/>
              <w:right w:val="single" w:sz="4" w:space="0" w:color="FFFFFF" w:themeColor="background1"/>
            </w:tcBorders>
            <w:vAlign w:val="center"/>
          </w:tcPr>
          <w:p w14:paraId="2A216D1A"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20</w:t>
            </w:r>
            <w:r>
              <w:rPr>
                <w:rFonts w:eastAsiaTheme="minorHAnsi"/>
                <w:color w:val="000000" w:themeColor="text1"/>
                <w:sz w:val="22"/>
                <w:szCs w:val="21"/>
              </w:rPr>
              <w:t>16</w:t>
            </w:r>
          </w:p>
        </w:tc>
      </w:tr>
      <w:tr w:rsidR="004D1496" w:rsidRPr="005F40CD" w14:paraId="22AA4AB9" w14:textId="77777777" w:rsidTr="00EA3117">
        <w:tc>
          <w:tcPr>
            <w:tcW w:w="24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0EB5DF2"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Good</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07FC45C"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0.7</w:t>
            </w:r>
            <w:r>
              <w:rPr>
                <w:rFonts w:eastAsiaTheme="minorHAnsi"/>
                <w:color w:val="000000" w:themeColor="text1"/>
                <w:sz w:val="22"/>
                <w:szCs w:val="21"/>
              </w:rPr>
              <w:t>10</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09CE726"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0.7</w:t>
            </w:r>
            <w:r>
              <w:rPr>
                <w:rFonts w:eastAsiaTheme="minorHAnsi"/>
                <w:color w:val="000000" w:themeColor="text1"/>
                <w:sz w:val="22"/>
                <w:szCs w:val="21"/>
              </w:rPr>
              <w:t>81</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5C670F"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0.7</w:t>
            </w:r>
            <w:r>
              <w:rPr>
                <w:rFonts w:eastAsiaTheme="minorHAnsi"/>
                <w:color w:val="000000" w:themeColor="text1"/>
                <w:sz w:val="22"/>
                <w:szCs w:val="21"/>
              </w:rPr>
              <w:t>41</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9EA8483"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w:t>
            </w:r>
            <w:r>
              <w:rPr>
                <w:rFonts w:eastAsiaTheme="minorHAnsi"/>
                <w:color w:val="000000" w:themeColor="text1"/>
                <w:sz w:val="22"/>
                <w:szCs w:val="21"/>
              </w:rPr>
              <w:t>671</w:t>
            </w:r>
          </w:p>
        </w:tc>
        <w:tc>
          <w:tcPr>
            <w:tcW w:w="10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4EA7C2B"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0.6</w:t>
            </w:r>
            <w:r>
              <w:rPr>
                <w:rFonts w:eastAsiaTheme="minorHAnsi"/>
                <w:color w:val="000000" w:themeColor="text1"/>
                <w:sz w:val="22"/>
                <w:szCs w:val="21"/>
              </w:rPr>
              <w:t>46</w:t>
            </w:r>
          </w:p>
        </w:tc>
      </w:tr>
      <w:tr w:rsidR="004D1496" w:rsidRPr="005F40CD" w14:paraId="121EC688" w14:textId="77777777" w:rsidTr="00EA3117">
        <w:tc>
          <w:tcPr>
            <w:tcW w:w="24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A017185"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Average</w:t>
            </w:r>
          </w:p>
        </w:tc>
        <w:tc>
          <w:tcPr>
            <w:tcW w:w="12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46D051D"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w:t>
            </w:r>
            <w:r>
              <w:rPr>
                <w:rFonts w:eastAsiaTheme="minorHAnsi"/>
                <w:color w:val="000000" w:themeColor="text1"/>
                <w:sz w:val="22"/>
                <w:szCs w:val="21"/>
              </w:rPr>
              <w:t>244</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569DE83"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w:t>
            </w:r>
            <w:r>
              <w:rPr>
                <w:rFonts w:eastAsiaTheme="minorHAnsi"/>
                <w:color w:val="000000" w:themeColor="text1"/>
                <w:sz w:val="22"/>
                <w:szCs w:val="21"/>
              </w:rPr>
              <w:t>193</w:t>
            </w:r>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8A0B2D"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0.2</w:t>
            </w:r>
            <w:r>
              <w:rPr>
                <w:rFonts w:eastAsiaTheme="minorHAnsi"/>
                <w:color w:val="000000" w:themeColor="text1"/>
                <w:sz w:val="22"/>
                <w:szCs w:val="21"/>
              </w:rPr>
              <w:t>28</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FDB910B"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0.2</w:t>
            </w:r>
            <w:r>
              <w:rPr>
                <w:rFonts w:eastAsiaTheme="minorHAnsi"/>
                <w:color w:val="000000" w:themeColor="text1"/>
                <w:sz w:val="22"/>
                <w:szCs w:val="21"/>
              </w:rPr>
              <w:t>78</w:t>
            </w:r>
          </w:p>
        </w:tc>
        <w:tc>
          <w:tcPr>
            <w:tcW w:w="10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55828B7"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0.2</w:t>
            </w:r>
            <w:r>
              <w:rPr>
                <w:rFonts w:eastAsiaTheme="minorHAnsi"/>
                <w:color w:val="000000" w:themeColor="text1"/>
                <w:sz w:val="22"/>
                <w:szCs w:val="21"/>
              </w:rPr>
              <w:t>78</w:t>
            </w:r>
          </w:p>
        </w:tc>
      </w:tr>
      <w:tr w:rsidR="004D1496" w:rsidRPr="005F40CD" w14:paraId="24C42822" w14:textId="77777777" w:rsidTr="00EA3117">
        <w:tc>
          <w:tcPr>
            <w:tcW w:w="2410"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41B2FEE9"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Poor</w:t>
            </w:r>
          </w:p>
        </w:tc>
        <w:tc>
          <w:tcPr>
            <w:tcW w:w="1275"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0AEA10A2"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0.0</w:t>
            </w:r>
            <w:r>
              <w:rPr>
                <w:rFonts w:eastAsiaTheme="minorHAnsi"/>
                <w:color w:val="000000" w:themeColor="text1"/>
                <w:sz w:val="22"/>
                <w:szCs w:val="21"/>
              </w:rPr>
              <w:t>46</w:t>
            </w:r>
          </w:p>
        </w:tc>
        <w:tc>
          <w:tcPr>
            <w:tcW w:w="1134"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508CBE1D"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0.0</w:t>
            </w:r>
            <w:r>
              <w:rPr>
                <w:rFonts w:eastAsiaTheme="minorHAnsi"/>
                <w:color w:val="000000" w:themeColor="text1"/>
                <w:sz w:val="22"/>
                <w:szCs w:val="21"/>
              </w:rPr>
              <w:t>26</w:t>
            </w:r>
          </w:p>
        </w:tc>
        <w:tc>
          <w:tcPr>
            <w:tcW w:w="1134"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42663F45"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0.0</w:t>
            </w:r>
            <w:r>
              <w:rPr>
                <w:rFonts w:eastAsiaTheme="minorHAnsi"/>
                <w:color w:val="000000" w:themeColor="text1"/>
                <w:sz w:val="22"/>
                <w:szCs w:val="21"/>
              </w:rPr>
              <w:t>32</w:t>
            </w:r>
          </w:p>
        </w:tc>
        <w:tc>
          <w:tcPr>
            <w:tcW w:w="993"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679600A6"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0.0</w:t>
            </w:r>
            <w:r>
              <w:rPr>
                <w:rFonts w:eastAsiaTheme="minorHAnsi"/>
                <w:color w:val="000000" w:themeColor="text1"/>
                <w:sz w:val="22"/>
                <w:szCs w:val="21"/>
              </w:rPr>
              <w:t>51</w:t>
            </w:r>
          </w:p>
        </w:tc>
        <w:tc>
          <w:tcPr>
            <w:tcW w:w="1065" w:type="dxa"/>
            <w:tcBorders>
              <w:top w:val="single" w:sz="4" w:space="0" w:color="FFFFFF" w:themeColor="background1"/>
              <w:left w:val="single" w:sz="4" w:space="0" w:color="FFFFFF" w:themeColor="background1"/>
              <w:bottom w:val="double" w:sz="4" w:space="0" w:color="auto"/>
              <w:right w:val="single" w:sz="4" w:space="0" w:color="FFFFFF" w:themeColor="background1"/>
            </w:tcBorders>
            <w:vAlign w:val="center"/>
          </w:tcPr>
          <w:p w14:paraId="00A3BE32" w14:textId="77777777" w:rsidR="004D1496" w:rsidRPr="005F40CD" w:rsidRDefault="004D1496" w:rsidP="00EA3117">
            <w:pPr>
              <w:snapToGrid w:val="0"/>
              <w:spacing w:line="360" w:lineRule="auto"/>
              <w:jc w:val="center"/>
              <w:rPr>
                <w:rFonts w:eastAsiaTheme="minorHAnsi"/>
                <w:color w:val="000000" w:themeColor="text1"/>
                <w:sz w:val="22"/>
                <w:szCs w:val="21"/>
              </w:rPr>
            </w:pPr>
            <w:r w:rsidRPr="005F40CD">
              <w:rPr>
                <w:rFonts w:eastAsiaTheme="minorHAnsi"/>
                <w:color w:val="000000" w:themeColor="text1"/>
                <w:sz w:val="22"/>
                <w:szCs w:val="21"/>
              </w:rPr>
              <w:t>0.0</w:t>
            </w:r>
            <w:r>
              <w:rPr>
                <w:rFonts w:eastAsiaTheme="minorHAnsi"/>
                <w:color w:val="000000" w:themeColor="text1"/>
                <w:sz w:val="22"/>
                <w:szCs w:val="21"/>
              </w:rPr>
              <w:t>76</w:t>
            </w:r>
          </w:p>
        </w:tc>
      </w:tr>
    </w:tbl>
    <w:p w14:paraId="14445B06" w14:textId="77777777" w:rsidR="004D1496" w:rsidRDefault="004D1496" w:rsidP="004D1496">
      <w:pPr>
        <w:snapToGrid w:val="0"/>
        <w:ind w:firstLineChars="200" w:firstLine="480"/>
        <w:jc w:val="both"/>
      </w:pPr>
      <w:r w:rsidRPr="007836A8">
        <w:rPr>
          <w:rFonts w:hint="eastAsia"/>
        </w:rPr>
        <w:t>T</w:t>
      </w:r>
      <w:r w:rsidRPr="007836A8">
        <w:t xml:space="preserve">he </w:t>
      </w:r>
      <w:r>
        <w:t>outcome</w:t>
      </w:r>
      <w:r w:rsidRPr="007836A8">
        <w:t xml:space="preserve"> variable </w:t>
      </w:r>
      <w:r>
        <w:t>i</w:t>
      </w:r>
      <w:r w:rsidRPr="007836A8">
        <w:t>s</w:t>
      </w:r>
      <w:r>
        <w:t xml:space="preserve"> </w:t>
      </w:r>
      <w:r w:rsidRPr="0092134D">
        <w:rPr>
          <w:highlight w:val="cyan"/>
        </w:rPr>
        <w:t>the self-reported annual income</w:t>
      </w:r>
      <w:r>
        <w:t xml:space="preserve"> from </w:t>
      </w:r>
      <w:r w:rsidRPr="007836A8">
        <w:t>the individual's current job</w:t>
      </w:r>
      <w:r>
        <w:t xml:space="preserve">s, calculated as the sum of salary, various </w:t>
      </w:r>
      <w:proofErr w:type="gramStart"/>
      <w:r>
        <w:t>bonuses</w:t>
      </w:r>
      <w:proofErr w:type="gramEnd"/>
      <w:r>
        <w:t xml:space="preserve"> and allowances of workers</w:t>
      </w:r>
      <w:r w:rsidRPr="007836A8">
        <w:t>.</w:t>
      </w:r>
      <w:r w:rsidRPr="00AE0968">
        <w:rPr>
          <w:lang w:eastAsia="zh-CN"/>
        </w:rPr>
        <w:t xml:space="preserve"> </w:t>
      </w:r>
      <w:r>
        <w:rPr>
          <w:lang w:eastAsia="zh-CN"/>
        </w:rPr>
        <w:t xml:space="preserve">We </w:t>
      </w:r>
      <w:r>
        <w:rPr>
          <w:rFonts w:hint="eastAsia"/>
          <w:lang w:eastAsia="zh-CN"/>
        </w:rPr>
        <w:t>cho</w:t>
      </w:r>
      <w:r>
        <w:rPr>
          <w:lang w:eastAsia="zh-CN"/>
        </w:rPr>
        <w:t>ose annual income instead of monthly wages as the dependent variable because the former measure is less subject to monthly variation which might be common for certain type of jobs</w:t>
      </w:r>
      <w:r>
        <w:rPr>
          <w:rFonts w:hint="eastAsia"/>
          <w:lang w:eastAsia="zh-CN"/>
        </w:rPr>
        <w:t>.</w:t>
      </w:r>
      <w:r>
        <w:rPr>
          <w:lang w:eastAsia="zh-CN"/>
        </w:rPr>
        <w:t xml:space="preserve"> I</w:t>
      </w:r>
      <w:r>
        <w:rPr>
          <w:rFonts w:hint="eastAsia"/>
          <w:lang w:eastAsia="zh-CN"/>
        </w:rPr>
        <w:t>t</w:t>
      </w:r>
      <w:r>
        <w:rPr>
          <w:lang w:eastAsia="zh-CN"/>
        </w:rPr>
        <w:t xml:space="preserve"> is worth mentioning that we exclude farmers or self-employed workers since they do not get paid by empl</w:t>
      </w:r>
      <w:r w:rsidRPr="00843880">
        <w:rPr>
          <w:lang w:eastAsia="zh-CN"/>
        </w:rPr>
        <w:t xml:space="preserve">oyers. </w:t>
      </w:r>
      <w:r>
        <w:rPr>
          <w:lang w:eastAsia="zh-CN"/>
        </w:rPr>
        <w:t>The annual</w:t>
      </w:r>
      <w:r w:rsidRPr="00843880">
        <w:rPr>
          <w:rFonts w:hint="eastAsia"/>
          <w:lang w:eastAsia="zh-CN"/>
        </w:rPr>
        <w:t xml:space="preserve"> </w:t>
      </w:r>
      <w:r w:rsidRPr="00843880">
        <w:t xml:space="preserve">income </w:t>
      </w:r>
      <w:r>
        <w:t>is calculated</w:t>
      </w:r>
      <w:r w:rsidRPr="00843880">
        <w:t xml:space="preserve"> in RMB Yuan</w:t>
      </w:r>
      <w:r>
        <w:t xml:space="preserve"> in 2018 value</w:t>
      </w:r>
      <w:r w:rsidRPr="00843880">
        <w:t xml:space="preserve">. </w:t>
      </w:r>
      <w:r>
        <w:t>Table 2 below shows the</w:t>
      </w:r>
      <w:r w:rsidRPr="00843880">
        <w:t xml:space="preserve"> average </w:t>
      </w:r>
      <w:r>
        <w:t>annual</w:t>
      </w:r>
      <w:r w:rsidRPr="00843880">
        <w:t xml:space="preserve"> income</w:t>
      </w:r>
      <w:r>
        <w:t xml:space="preserve"> of </w:t>
      </w:r>
      <w:r w:rsidRPr="00843880">
        <w:t xml:space="preserve">individuals with different self-reported health </w:t>
      </w:r>
      <w:r>
        <w:t xml:space="preserve">status </w:t>
      </w:r>
      <w:r w:rsidRPr="00843880">
        <w:t xml:space="preserve">in each wave </w:t>
      </w:r>
      <w:r>
        <w:t>and in all four waves</w:t>
      </w:r>
      <w:r w:rsidRPr="00843880">
        <w:t xml:space="preserve">. </w:t>
      </w:r>
    </w:p>
    <w:p w14:paraId="1D64BCC7" w14:textId="77777777" w:rsidR="004D1496" w:rsidRPr="005F40CD" w:rsidRDefault="004D1496" w:rsidP="004D1496">
      <w:pPr>
        <w:snapToGrid w:val="0"/>
        <w:spacing w:line="276" w:lineRule="auto"/>
        <w:ind w:firstLineChars="150" w:firstLine="330"/>
        <w:jc w:val="center"/>
        <w:rPr>
          <w:sz w:val="22"/>
          <w:szCs w:val="21"/>
        </w:rPr>
      </w:pPr>
      <w:r w:rsidRPr="005F40CD">
        <w:rPr>
          <w:sz w:val="22"/>
          <w:szCs w:val="21"/>
        </w:rPr>
        <w:t xml:space="preserve">Table 2.  </w:t>
      </w:r>
      <w:r>
        <w:rPr>
          <w:sz w:val="22"/>
          <w:szCs w:val="21"/>
        </w:rPr>
        <w:t>The Average Annual Income of Workers in Each Wave in RMB Yuan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1"/>
        <w:gridCol w:w="1367"/>
        <w:gridCol w:w="1368"/>
        <w:gridCol w:w="1368"/>
        <w:gridCol w:w="1368"/>
        <w:gridCol w:w="1368"/>
      </w:tblGrid>
      <w:tr w:rsidR="004D1496" w:rsidRPr="00674901" w14:paraId="3F697287" w14:textId="77777777" w:rsidTr="00EA3117">
        <w:trPr>
          <w:trHeight w:val="397"/>
        </w:trPr>
        <w:tc>
          <w:tcPr>
            <w:tcW w:w="1461" w:type="dxa"/>
            <w:tcBorders>
              <w:top w:val="double" w:sz="4" w:space="0" w:color="auto"/>
              <w:bottom w:val="single" w:sz="4" w:space="0" w:color="auto"/>
              <w:right w:val="single" w:sz="4" w:space="0" w:color="auto"/>
              <w:tl2br w:val="single" w:sz="4" w:space="0" w:color="auto"/>
            </w:tcBorders>
          </w:tcPr>
          <w:p w14:paraId="3CAAD3FB" w14:textId="77777777" w:rsidR="004D1496" w:rsidRPr="00674901" w:rsidRDefault="004D1496" w:rsidP="00EA3117">
            <w:pPr>
              <w:snapToGrid w:val="0"/>
              <w:spacing w:line="360" w:lineRule="auto"/>
              <w:ind w:leftChars="200" w:left="590" w:hangingChars="50" w:hanging="110"/>
              <w:rPr>
                <w:rFonts w:eastAsiaTheme="minorHAnsi"/>
                <w:sz w:val="22"/>
                <w:szCs w:val="22"/>
              </w:rPr>
            </w:pPr>
            <w:r w:rsidRPr="00674901">
              <w:rPr>
                <w:rFonts w:eastAsiaTheme="minorHAnsi"/>
                <w:sz w:val="22"/>
                <w:szCs w:val="22"/>
              </w:rPr>
              <w:t xml:space="preserve">Wage         </w:t>
            </w:r>
          </w:p>
          <w:p w14:paraId="0093106D" w14:textId="77777777" w:rsidR="004D1496" w:rsidRPr="00674901" w:rsidRDefault="004D1496" w:rsidP="00EA3117">
            <w:pPr>
              <w:snapToGrid w:val="0"/>
              <w:spacing w:line="360" w:lineRule="auto"/>
              <w:rPr>
                <w:rFonts w:eastAsiaTheme="minorHAnsi"/>
                <w:sz w:val="22"/>
                <w:szCs w:val="22"/>
              </w:rPr>
            </w:pPr>
            <w:r w:rsidRPr="00674901">
              <w:rPr>
                <w:rFonts w:eastAsiaTheme="minorHAnsi"/>
                <w:sz w:val="22"/>
                <w:szCs w:val="22"/>
              </w:rPr>
              <w:t xml:space="preserve">Health            </w:t>
            </w:r>
          </w:p>
        </w:tc>
        <w:tc>
          <w:tcPr>
            <w:tcW w:w="1367" w:type="dxa"/>
            <w:tcBorders>
              <w:top w:val="double" w:sz="4" w:space="0" w:color="auto"/>
              <w:left w:val="single" w:sz="4" w:space="0" w:color="auto"/>
              <w:bottom w:val="single" w:sz="4" w:space="0" w:color="auto"/>
            </w:tcBorders>
            <w:vAlign w:val="center"/>
          </w:tcPr>
          <w:p w14:paraId="24E9E54A" w14:textId="77777777" w:rsidR="004D1496" w:rsidRPr="00674901" w:rsidRDefault="004D1496" w:rsidP="00EA3117">
            <w:pPr>
              <w:snapToGrid w:val="0"/>
              <w:spacing w:line="360" w:lineRule="auto"/>
              <w:ind w:firstLineChars="200" w:firstLine="440"/>
              <w:jc w:val="center"/>
              <w:rPr>
                <w:rFonts w:eastAsiaTheme="minorHAnsi"/>
                <w:sz w:val="22"/>
                <w:szCs w:val="22"/>
              </w:rPr>
            </w:pPr>
            <w:r w:rsidRPr="00674901">
              <w:rPr>
                <w:rFonts w:eastAsiaTheme="minorHAnsi"/>
                <w:sz w:val="22"/>
                <w:szCs w:val="22"/>
              </w:rPr>
              <w:t>20</w:t>
            </w:r>
            <w:r>
              <w:rPr>
                <w:rFonts w:eastAsiaTheme="minorHAnsi"/>
                <w:sz w:val="22"/>
                <w:szCs w:val="22"/>
              </w:rPr>
              <w:t>12</w:t>
            </w:r>
          </w:p>
        </w:tc>
        <w:tc>
          <w:tcPr>
            <w:tcW w:w="1368" w:type="dxa"/>
            <w:tcBorders>
              <w:top w:val="double" w:sz="4" w:space="0" w:color="auto"/>
              <w:bottom w:val="single" w:sz="4" w:space="0" w:color="auto"/>
            </w:tcBorders>
            <w:vAlign w:val="center"/>
          </w:tcPr>
          <w:p w14:paraId="3C0E0A7F" w14:textId="77777777" w:rsidR="004D1496" w:rsidRPr="00674901" w:rsidRDefault="004D1496" w:rsidP="00EA3117">
            <w:pPr>
              <w:snapToGrid w:val="0"/>
              <w:spacing w:line="360" w:lineRule="auto"/>
              <w:ind w:firstLineChars="200" w:firstLine="440"/>
              <w:jc w:val="center"/>
              <w:rPr>
                <w:rFonts w:eastAsiaTheme="minorHAnsi"/>
                <w:sz w:val="22"/>
                <w:szCs w:val="22"/>
              </w:rPr>
            </w:pPr>
            <w:r w:rsidRPr="00674901">
              <w:rPr>
                <w:rFonts w:eastAsiaTheme="minorHAnsi"/>
                <w:sz w:val="22"/>
                <w:szCs w:val="22"/>
              </w:rPr>
              <w:t>20</w:t>
            </w:r>
            <w:r>
              <w:rPr>
                <w:rFonts w:eastAsiaTheme="minorHAnsi"/>
                <w:sz w:val="22"/>
                <w:szCs w:val="22"/>
              </w:rPr>
              <w:t>14</w:t>
            </w:r>
          </w:p>
        </w:tc>
        <w:tc>
          <w:tcPr>
            <w:tcW w:w="1368" w:type="dxa"/>
            <w:tcBorders>
              <w:top w:val="double" w:sz="4" w:space="0" w:color="auto"/>
              <w:bottom w:val="single" w:sz="4" w:space="0" w:color="auto"/>
            </w:tcBorders>
            <w:vAlign w:val="center"/>
          </w:tcPr>
          <w:p w14:paraId="01B57B7A" w14:textId="77777777" w:rsidR="004D1496" w:rsidRPr="00674901" w:rsidRDefault="004D1496" w:rsidP="00EA3117">
            <w:pPr>
              <w:snapToGrid w:val="0"/>
              <w:spacing w:line="360" w:lineRule="auto"/>
              <w:ind w:firstLineChars="200" w:firstLine="440"/>
              <w:jc w:val="center"/>
              <w:rPr>
                <w:rFonts w:eastAsiaTheme="minorHAnsi"/>
                <w:sz w:val="22"/>
                <w:szCs w:val="22"/>
              </w:rPr>
            </w:pPr>
            <w:r w:rsidRPr="00674901">
              <w:rPr>
                <w:rFonts w:eastAsiaTheme="minorHAnsi"/>
                <w:sz w:val="22"/>
                <w:szCs w:val="22"/>
              </w:rPr>
              <w:t>20</w:t>
            </w:r>
            <w:r>
              <w:rPr>
                <w:rFonts w:eastAsiaTheme="minorHAnsi"/>
                <w:sz w:val="22"/>
                <w:szCs w:val="22"/>
              </w:rPr>
              <w:t>16</w:t>
            </w:r>
          </w:p>
        </w:tc>
        <w:tc>
          <w:tcPr>
            <w:tcW w:w="1368" w:type="dxa"/>
            <w:tcBorders>
              <w:top w:val="double" w:sz="4" w:space="0" w:color="auto"/>
              <w:bottom w:val="single" w:sz="4" w:space="0" w:color="auto"/>
            </w:tcBorders>
            <w:vAlign w:val="center"/>
          </w:tcPr>
          <w:p w14:paraId="2A4E9E23" w14:textId="77777777" w:rsidR="004D1496" w:rsidRPr="00674901" w:rsidRDefault="004D1496" w:rsidP="00EA3117">
            <w:pPr>
              <w:snapToGrid w:val="0"/>
              <w:spacing w:line="360" w:lineRule="auto"/>
              <w:ind w:firstLineChars="200" w:firstLine="440"/>
              <w:jc w:val="center"/>
              <w:rPr>
                <w:rFonts w:eastAsiaTheme="minorHAnsi"/>
                <w:sz w:val="22"/>
                <w:szCs w:val="22"/>
              </w:rPr>
            </w:pPr>
            <w:r w:rsidRPr="00674901">
              <w:rPr>
                <w:rFonts w:eastAsiaTheme="minorHAnsi"/>
                <w:sz w:val="22"/>
                <w:szCs w:val="22"/>
              </w:rPr>
              <w:t>20</w:t>
            </w:r>
            <w:r>
              <w:rPr>
                <w:rFonts w:eastAsiaTheme="minorHAnsi"/>
                <w:sz w:val="22"/>
                <w:szCs w:val="22"/>
              </w:rPr>
              <w:t>18</w:t>
            </w:r>
          </w:p>
        </w:tc>
        <w:tc>
          <w:tcPr>
            <w:tcW w:w="1368" w:type="dxa"/>
            <w:tcBorders>
              <w:top w:val="double" w:sz="4" w:space="0" w:color="auto"/>
              <w:bottom w:val="single" w:sz="4" w:space="0" w:color="auto"/>
            </w:tcBorders>
            <w:vAlign w:val="center"/>
          </w:tcPr>
          <w:p w14:paraId="25155BA4"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O</w:t>
            </w:r>
            <w:r w:rsidRPr="00674901">
              <w:rPr>
                <w:rFonts w:eastAsiaTheme="minorHAnsi"/>
                <w:sz w:val="22"/>
                <w:szCs w:val="22"/>
              </w:rPr>
              <w:t>verall</w:t>
            </w:r>
          </w:p>
        </w:tc>
      </w:tr>
      <w:tr w:rsidR="004D1496" w:rsidRPr="00674901" w14:paraId="3F673D69" w14:textId="77777777" w:rsidTr="00EA3117">
        <w:trPr>
          <w:trHeight w:val="244"/>
        </w:trPr>
        <w:tc>
          <w:tcPr>
            <w:tcW w:w="1461" w:type="dxa"/>
            <w:tcBorders>
              <w:top w:val="single" w:sz="4" w:space="0" w:color="auto"/>
              <w:right w:val="single" w:sz="4" w:space="0" w:color="auto"/>
            </w:tcBorders>
            <w:vAlign w:val="center"/>
          </w:tcPr>
          <w:p w14:paraId="4B5B779D" w14:textId="77777777" w:rsidR="004D1496" w:rsidRPr="00674901" w:rsidRDefault="004D1496" w:rsidP="00EA3117">
            <w:pPr>
              <w:snapToGrid w:val="0"/>
              <w:spacing w:line="360" w:lineRule="auto"/>
              <w:jc w:val="center"/>
              <w:rPr>
                <w:rFonts w:eastAsiaTheme="minorHAnsi"/>
                <w:sz w:val="22"/>
                <w:szCs w:val="22"/>
              </w:rPr>
            </w:pPr>
            <w:r w:rsidRPr="00674901">
              <w:rPr>
                <w:rFonts w:eastAsiaTheme="minorHAnsi"/>
                <w:sz w:val="22"/>
                <w:szCs w:val="22"/>
              </w:rPr>
              <w:t>Good</w:t>
            </w:r>
          </w:p>
        </w:tc>
        <w:tc>
          <w:tcPr>
            <w:tcW w:w="1367" w:type="dxa"/>
            <w:tcBorders>
              <w:top w:val="single" w:sz="4" w:space="0" w:color="auto"/>
              <w:left w:val="single" w:sz="4" w:space="0" w:color="auto"/>
            </w:tcBorders>
            <w:vAlign w:val="center"/>
          </w:tcPr>
          <w:p w14:paraId="0F08A252"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2</w:t>
            </w:r>
            <w:r>
              <w:rPr>
                <w:rFonts w:eastAsiaTheme="minorHAnsi"/>
                <w:sz w:val="22"/>
                <w:szCs w:val="22"/>
              </w:rPr>
              <w:t>7,441</w:t>
            </w:r>
          </w:p>
        </w:tc>
        <w:tc>
          <w:tcPr>
            <w:tcW w:w="1368" w:type="dxa"/>
            <w:tcBorders>
              <w:top w:val="single" w:sz="4" w:space="0" w:color="auto"/>
            </w:tcBorders>
            <w:vAlign w:val="center"/>
          </w:tcPr>
          <w:p w14:paraId="5947E6EC" w14:textId="77777777" w:rsidR="004D1496" w:rsidRPr="00674901" w:rsidRDefault="004D1496" w:rsidP="00EA3117">
            <w:pPr>
              <w:snapToGrid w:val="0"/>
              <w:spacing w:line="360" w:lineRule="auto"/>
              <w:ind w:firstLineChars="200" w:firstLine="440"/>
              <w:jc w:val="center"/>
              <w:rPr>
                <w:rFonts w:eastAsiaTheme="minorHAnsi"/>
                <w:color w:val="000000" w:themeColor="text1"/>
                <w:sz w:val="22"/>
                <w:szCs w:val="22"/>
              </w:rPr>
            </w:pPr>
            <w:r>
              <w:rPr>
                <w:rFonts w:eastAsiaTheme="minorHAnsi"/>
                <w:sz w:val="22"/>
                <w:szCs w:val="22"/>
              </w:rPr>
              <w:t>33,732</w:t>
            </w:r>
          </w:p>
        </w:tc>
        <w:tc>
          <w:tcPr>
            <w:tcW w:w="1368" w:type="dxa"/>
            <w:tcBorders>
              <w:top w:val="single" w:sz="4" w:space="0" w:color="auto"/>
            </w:tcBorders>
            <w:vAlign w:val="center"/>
          </w:tcPr>
          <w:p w14:paraId="3672E259"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3</w:t>
            </w:r>
            <w:r>
              <w:rPr>
                <w:rFonts w:eastAsiaTheme="minorHAnsi"/>
                <w:sz w:val="22"/>
                <w:szCs w:val="22"/>
              </w:rPr>
              <w:t>3,289</w:t>
            </w:r>
          </w:p>
        </w:tc>
        <w:tc>
          <w:tcPr>
            <w:tcW w:w="1368" w:type="dxa"/>
            <w:tcBorders>
              <w:top w:val="single" w:sz="4" w:space="0" w:color="auto"/>
            </w:tcBorders>
            <w:vAlign w:val="center"/>
          </w:tcPr>
          <w:p w14:paraId="70623869"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39,828</w:t>
            </w:r>
          </w:p>
        </w:tc>
        <w:tc>
          <w:tcPr>
            <w:tcW w:w="1368" w:type="dxa"/>
            <w:tcBorders>
              <w:top w:val="single" w:sz="4" w:space="0" w:color="auto"/>
            </w:tcBorders>
            <w:vAlign w:val="center"/>
          </w:tcPr>
          <w:p w14:paraId="031B0A4F"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3</w:t>
            </w:r>
            <w:r>
              <w:rPr>
                <w:rFonts w:eastAsiaTheme="minorHAnsi"/>
                <w:sz w:val="22"/>
                <w:szCs w:val="22"/>
              </w:rPr>
              <w:t>3,283</w:t>
            </w:r>
          </w:p>
        </w:tc>
      </w:tr>
      <w:tr w:rsidR="004D1496" w:rsidRPr="00674901" w14:paraId="7F84D74B" w14:textId="77777777" w:rsidTr="00EA3117">
        <w:trPr>
          <w:trHeight w:val="244"/>
        </w:trPr>
        <w:tc>
          <w:tcPr>
            <w:tcW w:w="1461" w:type="dxa"/>
            <w:tcBorders>
              <w:right w:val="single" w:sz="4" w:space="0" w:color="auto"/>
            </w:tcBorders>
            <w:vAlign w:val="center"/>
          </w:tcPr>
          <w:p w14:paraId="76ABAE46" w14:textId="77777777" w:rsidR="004D1496" w:rsidRPr="00674901" w:rsidRDefault="004D1496" w:rsidP="00EA3117">
            <w:pPr>
              <w:snapToGrid w:val="0"/>
              <w:spacing w:line="360" w:lineRule="auto"/>
              <w:jc w:val="center"/>
              <w:rPr>
                <w:rFonts w:eastAsiaTheme="minorHAnsi"/>
                <w:sz w:val="22"/>
                <w:szCs w:val="22"/>
              </w:rPr>
            </w:pPr>
            <w:r w:rsidRPr="00674901">
              <w:rPr>
                <w:rFonts w:eastAsiaTheme="minorHAnsi"/>
                <w:sz w:val="22"/>
                <w:szCs w:val="22"/>
              </w:rPr>
              <w:t>Average</w:t>
            </w:r>
          </w:p>
        </w:tc>
        <w:tc>
          <w:tcPr>
            <w:tcW w:w="1367" w:type="dxa"/>
            <w:tcBorders>
              <w:left w:val="single" w:sz="4" w:space="0" w:color="auto"/>
            </w:tcBorders>
            <w:vAlign w:val="center"/>
          </w:tcPr>
          <w:p w14:paraId="3349AF10"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24,886</w:t>
            </w:r>
          </w:p>
        </w:tc>
        <w:tc>
          <w:tcPr>
            <w:tcW w:w="1368" w:type="dxa"/>
            <w:vAlign w:val="center"/>
          </w:tcPr>
          <w:p w14:paraId="2CCDC790" w14:textId="77777777" w:rsidR="004D1496" w:rsidRPr="00674901" w:rsidRDefault="004D1496" w:rsidP="00EA3117">
            <w:pPr>
              <w:snapToGrid w:val="0"/>
              <w:spacing w:line="360" w:lineRule="auto"/>
              <w:ind w:firstLineChars="200" w:firstLine="440"/>
              <w:jc w:val="center"/>
              <w:rPr>
                <w:rFonts w:eastAsiaTheme="minorHAnsi"/>
                <w:color w:val="000000" w:themeColor="text1"/>
                <w:sz w:val="22"/>
                <w:szCs w:val="22"/>
              </w:rPr>
            </w:pPr>
            <w:r>
              <w:rPr>
                <w:rFonts w:eastAsiaTheme="minorHAnsi" w:hint="eastAsia"/>
                <w:color w:val="000000" w:themeColor="text1"/>
                <w:sz w:val="22"/>
                <w:szCs w:val="22"/>
              </w:rPr>
              <w:t>2</w:t>
            </w:r>
            <w:r>
              <w:rPr>
                <w:rFonts w:eastAsiaTheme="minorHAnsi"/>
                <w:color w:val="000000" w:themeColor="text1"/>
                <w:sz w:val="22"/>
                <w:szCs w:val="22"/>
              </w:rPr>
              <w:t>5,417</w:t>
            </w:r>
          </w:p>
        </w:tc>
        <w:tc>
          <w:tcPr>
            <w:tcW w:w="1368" w:type="dxa"/>
            <w:vAlign w:val="center"/>
          </w:tcPr>
          <w:p w14:paraId="6D6DB57A"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2</w:t>
            </w:r>
            <w:r>
              <w:rPr>
                <w:rFonts w:eastAsiaTheme="minorHAnsi"/>
                <w:sz w:val="22"/>
                <w:szCs w:val="22"/>
              </w:rPr>
              <w:t>6,994</w:t>
            </w:r>
          </w:p>
        </w:tc>
        <w:tc>
          <w:tcPr>
            <w:tcW w:w="1368" w:type="dxa"/>
            <w:vAlign w:val="center"/>
          </w:tcPr>
          <w:p w14:paraId="24D8052E"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3</w:t>
            </w:r>
            <w:r>
              <w:rPr>
                <w:rFonts w:eastAsiaTheme="minorHAnsi"/>
                <w:sz w:val="22"/>
                <w:szCs w:val="22"/>
              </w:rPr>
              <w:t>3,335</w:t>
            </w:r>
          </w:p>
        </w:tc>
        <w:tc>
          <w:tcPr>
            <w:tcW w:w="1368" w:type="dxa"/>
            <w:vAlign w:val="center"/>
          </w:tcPr>
          <w:p w14:paraId="0E4B72EE"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2</w:t>
            </w:r>
            <w:r>
              <w:rPr>
                <w:rFonts w:eastAsiaTheme="minorHAnsi"/>
                <w:sz w:val="22"/>
                <w:szCs w:val="22"/>
              </w:rPr>
              <w:t>8,018</w:t>
            </w:r>
          </w:p>
        </w:tc>
      </w:tr>
      <w:tr w:rsidR="004D1496" w:rsidRPr="00674901" w14:paraId="157B603D" w14:textId="77777777" w:rsidTr="00EA3117">
        <w:tc>
          <w:tcPr>
            <w:tcW w:w="1461" w:type="dxa"/>
            <w:tcBorders>
              <w:bottom w:val="double" w:sz="4" w:space="0" w:color="auto"/>
              <w:right w:val="single" w:sz="4" w:space="0" w:color="auto"/>
            </w:tcBorders>
            <w:vAlign w:val="center"/>
          </w:tcPr>
          <w:p w14:paraId="26445959" w14:textId="77777777" w:rsidR="004D1496" w:rsidRPr="00674901" w:rsidRDefault="004D1496" w:rsidP="00EA3117">
            <w:pPr>
              <w:snapToGrid w:val="0"/>
              <w:spacing w:line="360" w:lineRule="auto"/>
              <w:jc w:val="center"/>
              <w:rPr>
                <w:rFonts w:eastAsiaTheme="minorHAnsi"/>
                <w:sz w:val="22"/>
                <w:szCs w:val="22"/>
              </w:rPr>
            </w:pPr>
            <w:r w:rsidRPr="00674901">
              <w:rPr>
                <w:rFonts w:eastAsiaTheme="minorHAnsi"/>
                <w:sz w:val="22"/>
                <w:szCs w:val="22"/>
              </w:rPr>
              <w:t>Poor</w:t>
            </w:r>
          </w:p>
        </w:tc>
        <w:tc>
          <w:tcPr>
            <w:tcW w:w="1367" w:type="dxa"/>
            <w:tcBorders>
              <w:left w:val="single" w:sz="4" w:space="0" w:color="auto"/>
              <w:bottom w:val="double" w:sz="4" w:space="0" w:color="auto"/>
            </w:tcBorders>
            <w:vAlign w:val="center"/>
          </w:tcPr>
          <w:p w14:paraId="272483F9"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hint="eastAsia"/>
                <w:sz w:val="22"/>
                <w:szCs w:val="22"/>
              </w:rPr>
              <w:t>2</w:t>
            </w:r>
            <w:r>
              <w:rPr>
                <w:rFonts w:eastAsiaTheme="minorHAnsi"/>
                <w:sz w:val="22"/>
                <w:szCs w:val="22"/>
              </w:rPr>
              <w:t>1,428</w:t>
            </w:r>
          </w:p>
        </w:tc>
        <w:tc>
          <w:tcPr>
            <w:tcW w:w="1368" w:type="dxa"/>
            <w:tcBorders>
              <w:bottom w:val="double" w:sz="4" w:space="0" w:color="auto"/>
            </w:tcBorders>
            <w:vAlign w:val="center"/>
          </w:tcPr>
          <w:p w14:paraId="3EE7BCBA" w14:textId="77777777" w:rsidR="004D1496" w:rsidRPr="00674901" w:rsidRDefault="004D1496" w:rsidP="00EA3117">
            <w:pPr>
              <w:snapToGrid w:val="0"/>
              <w:spacing w:line="360" w:lineRule="auto"/>
              <w:ind w:firstLineChars="200" w:firstLine="440"/>
              <w:jc w:val="center"/>
              <w:rPr>
                <w:rFonts w:eastAsiaTheme="minorHAnsi"/>
                <w:color w:val="000000" w:themeColor="text1"/>
                <w:sz w:val="22"/>
                <w:szCs w:val="22"/>
              </w:rPr>
            </w:pPr>
            <w:r>
              <w:rPr>
                <w:rFonts w:eastAsiaTheme="minorHAnsi" w:hint="eastAsia"/>
                <w:color w:val="000000" w:themeColor="text1"/>
                <w:sz w:val="22"/>
                <w:szCs w:val="22"/>
              </w:rPr>
              <w:t>2</w:t>
            </w:r>
            <w:r>
              <w:rPr>
                <w:rFonts w:eastAsiaTheme="minorHAnsi"/>
                <w:color w:val="000000" w:themeColor="text1"/>
                <w:sz w:val="22"/>
                <w:szCs w:val="22"/>
              </w:rPr>
              <w:t>1,781</w:t>
            </w:r>
          </w:p>
        </w:tc>
        <w:tc>
          <w:tcPr>
            <w:tcW w:w="1368" w:type="dxa"/>
            <w:tcBorders>
              <w:bottom w:val="double" w:sz="4" w:space="0" w:color="auto"/>
            </w:tcBorders>
            <w:vAlign w:val="center"/>
          </w:tcPr>
          <w:p w14:paraId="5B3FFA2B"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23,943</w:t>
            </w:r>
          </w:p>
        </w:tc>
        <w:tc>
          <w:tcPr>
            <w:tcW w:w="1368" w:type="dxa"/>
            <w:tcBorders>
              <w:bottom w:val="double" w:sz="4" w:space="0" w:color="auto"/>
            </w:tcBorders>
            <w:vAlign w:val="center"/>
          </w:tcPr>
          <w:p w14:paraId="406D3237"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24,163</w:t>
            </w:r>
          </w:p>
        </w:tc>
        <w:tc>
          <w:tcPr>
            <w:tcW w:w="1368" w:type="dxa"/>
            <w:tcBorders>
              <w:bottom w:val="double" w:sz="4" w:space="0" w:color="auto"/>
            </w:tcBorders>
            <w:vAlign w:val="center"/>
          </w:tcPr>
          <w:p w14:paraId="382C45B7" w14:textId="77777777" w:rsidR="004D1496" w:rsidRPr="00674901" w:rsidRDefault="004D1496" w:rsidP="00EA3117">
            <w:pPr>
              <w:snapToGrid w:val="0"/>
              <w:spacing w:line="360" w:lineRule="auto"/>
              <w:ind w:firstLineChars="200" w:firstLine="440"/>
              <w:jc w:val="center"/>
              <w:rPr>
                <w:rFonts w:eastAsiaTheme="minorHAnsi"/>
                <w:sz w:val="22"/>
                <w:szCs w:val="22"/>
              </w:rPr>
            </w:pPr>
            <w:r>
              <w:rPr>
                <w:rFonts w:eastAsiaTheme="minorHAnsi"/>
                <w:sz w:val="22"/>
                <w:szCs w:val="22"/>
              </w:rPr>
              <w:t>23,308</w:t>
            </w:r>
          </w:p>
        </w:tc>
      </w:tr>
    </w:tbl>
    <w:p w14:paraId="3927C712" w14:textId="77777777" w:rsidR="004D1496" w:rsidRPr="00F252D3" w:rsidRDefault="004D1496" w:rsidP="004D1496">
      <w:pPr>
        <w:snapToGrid w:val="0"/>
        <w:spacing w:beforeLines="50" w:before="120"/>
        <w:ind w:firstLineChars="200" w:firstLine="480"/>
        <w:jc w:val="both"/>
      </w:pPr>
      <w:r w:rsidRPr="00843880">
        <w:t>The overall average</w:t>
      </w:r>
      <w:r>
        <w:t xml:space="preserve"> annual</w:t>
      </w:r>
      <w:r w:rsidRPr="00843880">
        <w:t xml:space="preserve"> income for </w:t>
      </w:r>
      <w:r>
        <w:t>workers who reported good, average, and poor health</w:t>
      </w:r>
      <w:r w:rsidRPr="00843880">
        <w:t xml:space="preserve"> are 33,283 Yuan, 28</w:t>
      </w:r>
      <w:r w:rsidRPr="00843880">
        <w:rPr>
          <w:rFonts w:hint="eastAsia"/>
          <w:lang w:eastAsia="zh-CN"/>
        </w:rPr>
        <w:t>,</w:t>
      </w:r>
      <w:r w:rsidRPr="00843880">
        <w:rPr>
          <w:lang w:eastAsia="zh-CN"/>
        </w:rPr>
        <w:t>018</w:t>
      </w:r>
      <w:r w:rsidRPr="00843880">
        <w:t xml:space="preserve"> Yuan, and 23,308 Yuan, respectively. It </w:t>
      </w:r>
      <w:r>
        <w:t>suggests</w:t>
      </w:r>
      <w:r w:rsidRPr="00843880">
        <w:t xml:space="preserve"> that </w:t>
      </w:r>
      <w:r>
        <w:t xml:space="preserve">workers with </w:t>
      </w:r>
      <w:r w:rsidRPr="00843880">
        <w:t>better self-reported health have</w:t>
      </w:r>
      <w:r w:rsidRPr="007F38D9">
        <w:t xml:space="preserve"> higher earnings. Table 2 also shows that</w:t>
      </w:r>
      <w:r>
        <w:t xml:space="preserve"> workers’ annual income</w:t>
      </w:r>
      <w:r w:rsidRPr="007F38D9">
        <w:t xml:space="preserve"> increased </w:t>
      </w:r>
      <w:r>
        <w:t>continuously over the years from 2012 to 2018</w:t>
      </w:r>
      <w:r w:rsidRPr="007F38D9">
        <w:t xml:space="preserve">, but the </w:t>
      </w:r>
      <w:r>
        <w:t>income</w:t>
      </w:r>
      <w:r w:rsidRPr="007F38D9">
        <w:t xml:space="preserve"> gap </w:t>
      </w:r>
      <w:r>
        <w:t xml:space="preserve">between different </w:t>
      </w:r>
      <w:r>
        <w:lastRenderedPageBreak/>
        <w:t>health cohorts became larger overtime</w:t>
      </w:r>
      <w:r w:rsidRPr="007F38D9">
        <w:t xml:space="preserve">. </w:t>
      </w:r>
      <w:r>
        <w:t>This</w:t>
      </w:r>
      <w:r w:rsidRPr="007F38D9">
        <w:t xml:space="preserve"> tells us better health not only brings a higher </w:t>
      </w:r>
      <w:r>
        <w:t>earing</w:t>
      </w:r>
      <w:r w:rsidRPr="007F38D9">
        <w:t xml:space="preserve"> for </w:t>
      </w:r>
      <w:r>
        <w:t xml:space="preserve">workers in China </w:t>
      </w:r>
      <w:r w:rsidRPr="007F38D9">
        <w:t xml:space="preserve">but also </w:t>
      </w:r>
      <w:r>
        <w:t>causes the income gap to widen overtime</w:t>
      </w:r>
      <w:r w:rsidRPr="00DE62B0">
        <w:t>.</w:t>
      </w:r>
      <w:r>
        <w:t xml:space="preserve"> </w:t>
      </w:r>
      <w:r w:rsidRPr="0092134D">
        <w:rPr>
          <w:highlight w:val="cyan"/>
        </w:rPr>
        <w:t>Though the descriptive analysis in Table 2 strongly suggests a correlation between health and income, this correlation can be a spurious relationship without further control on other potential confounding factors.</w:t>
      </w:r>
      <w:r w:rsidRPr="00DE62B0">
        <w:t xml:space="preserve"> </w:t>
      </w:r>
    </w:p>
    <w:p w14:paraId="460CDF3F" w14:textId="77777777" w:rsidR="004D1496" w:rsidRPr="00B8473C" w:rsidRDefault="004D1496" w:rsidP="004D1496">
      <w:pPr>
        <w:snapToGrid w:val="0"/>
        <w:ind w:firstLineChars="200" w:firstLine="480"/>
        <w:jc w:val="both"/>
        <w:rPr>
          <w:highlight w:val="yellow"/>
          <w:lang w:eastAsia="zh-CN"/>
        </w:rPr>
      </w:pPr>
      <w:r w:rsidRPr="007F38D9">
        <w:t xml:space="preserve">Another </w:t>
      </w:r>
      <w:r>
        <w:t xml:space="preserve">main </w:t>
      </w:r>
      <w:r w:rsidRPr="007F38D9">
        <w:t xml:space="preserve">independent variable </w:t>
      </w:r>
      <w:r>
        <w:t xml:space="preserve">is worker’s </w:t>
      </w:r>
      <w:r w:rsidRPr="007F38D9">
        <w:t>occupation</w:t>
      </w:r>
      <w:r>
        <w:t xml:space="preserve"> type. </w:t>
      </w:r>
      <w:r w:rsidRPr="0092134D">
        <w:rPr>
          <w:highlight w:val="cyan"/>
        </w:rPr>
        <w:t>We divide workers into two groups, formally and informally employed workers.</w:t>
      </w:r>
      <w:r w:rsidRPr="007F38D9">
        <w:t xml:space="preserve"> </w:t>
      </w:r>
      <w:r>
        <w:t>The former includes workers</w:t>
      </w:r>
      <w:r w:rsidRPr="00B8473C">
        <w:t xml:space="preserve"> employed by</w:t>
      </w:r>
      <w:r>
        <w:t xml:space="preserve"> the</w:t>
      </w:r>
      <w:r w:rsidRPr="00B8473C">
        <w:t xml:space="preserve"> </w:t>
      </w:r>
      <w:r w:rsidRPr="00B8473C">
        <w:rPr>
          <w:lang w:eastAsia="zh-CN"/>
        </w:rPr>
        <w:t>government, public and private enterprises</w:t>
      </w:r>
      <w:r>
        <w:rPr>
          <w:lang w:eastAsia="zh-CN"/>
        </w:rPr>
        <w:t>,</w:t>
      </w:r>
      <w:r w:rsidRPr="00B8473C">
        <w:rPr>
          <w:lang w:eastAsia="zh-CN"/>
        </w:rPr>
        <w:t xml:space="preserve"> and large-scale organizations with labour c</w:t>
      </w:r>
      <w:r w:rsidRPr="00843880">
        <w:rPr>
          <w:lang w:eastAsia="zh-CN"/>
        </w:rPr>
        <w:t>ontract.</w:t>
      </w:r>
      <w:r>
        <w:t xml:space="preserve"> The latter includes workers who</w:t>
      </w:r>
      <w:r w:rsidRPr="00843880">
        <w:t xml:space="preserve"> do not have a </w:t>
      </w:r>
      <w:r>
        <w:t>formal</w:t>
      </w:r>
      <w:r w:rsidRPr="00843880">
        <w:t xml:space="preserve"> labour contract or a long-term contractual relationship with </w:t>
      </w:r>
      <w:r>
        <w:t xml:space="preserve">their </w:t>
      </w:r>
      <w:r w:rsidRPr="00843880">
        <w:t xml:space="preserve">employers. </w:t>
      </w:r>
      <w:r>
        <w:t xml:space="preserve">This distinction is important since workers of </w:t>
      </w:r>
      <w:r>
        <w:rPr>
          <w:lang w:eastAsia="zh-CN"/>
        </w:rPr>
        <w:t>unstable employment</w:t>
      </w:r>
      <w:r>
        <w:t xml:space="preserve"> were more vulnerable to shocks such as health deterioration</w:t>
      </w:r>
      <w:r w:rsidRPr="00843880">
        <w:rPr>
          <w:color w:val="000000" w:themeColor="text1"/>
        </w:rPr>
        <w:t>.</w:t>
      </w:r>
      <w:r>
        <w:rPr>
          <w:color w:val="000000" w:themeColor="text1"/>
        </w:rPr>
        <w:t xml:space="preserve"> A </w:t>
      </w:r>
      <w:r w:rsidRPr="00843880">
        <w:t xml:space="preserve">dummy indicator </w:t>
      </w:r>
      <w:r>
        <w:t>is used to represent</w:t>
      </w:r>
      <w:r w:rsidRPr="00843880">
        <w:t xml:space="preserve"> an individual's occupation, </w:t>
      </w:r>
      <w:r>
        <w:t>with one</w:t>
      </w:r>
      <w:r w:rsidRPr="00843880">
        <w:t xml:space="preserve"> for workers </w:t>
      </w:r>
      <w:r>
        <w:t xml:space="preserve">who were formally employed and zero </w:t>
      </w:r>
      <w:r w:rsidRPr="00BD4E61">
        <w:t>otherwise.</w:t>
      </w:r>
    </w:p>
    <w:p w14:paraId="76DD4854" w14:textId="77777777" w:rsidR="004D1496" w:rsidRPr="0057251B" w:rsidRDefault="004D1496" w:rsidP="004D1496">
      <w:pPr>
        <w:snapToGrid w:val="0"/>
        <w:ind w:firstLineChars="200" w:firstLine="480"/>
        <w:jc w:val="both"/>
        <w:rPr>
          <w:rFonts w:ascii="Microsoft YaHei" w:eastAsia="Microsoft YaHei" w:hAnsi="Microsoft YaHei" w:cs="Microsoft YaHei"/>
          <w:highlight w:val="yellow"/>
          <w:lang w:eastAsia="zh-CN"/>
        </w:rPr>
      </w:pPr>
      <w:r>
        <w:t xml:space="preserve">In regressions, we control a rich set of characteristics of workers including </w:t>
      </w:r>
      <w:r w:rsidRPr="007F38D9">
        <w:t xml:space="preserve">educational </w:t>
      </w:r>
      <w:r>
        <w:t>attainment,</w:t>
      </w:r>
      <w:r w:rsidRPr="007F38D9">
        <w:t xml:space="preserve"> age and its squared term</w:t>
      </w:r>
      <w:r>
        <w:t>, sex,</w:t>
      </w:r>
      <w:r w:rsidRPr="007F38D9">
        <w:t xml:space="preserve"> nationa</w:t>
      </w:r>
      <w:r w:rsidRPr="007F38D9">
        <w:rPr>
          <w:rFonts w:hint="eastAsia"/>
        </w:rPr>
        <w:t>l</w:t>
      </w:r>
      <w:r w:rsidRPr="007F38D9">
        <w:t>ity</w:t>
      </w:r>
      <w:r>
        <w:t>,</w:t>
      </w:r>
      <w:r w:rsidRPr="007F38D9">
        <w:t xml:space="preserve"> registered</w:t>
      </w:r>
      <w:r>
        <w:t xml:space="preserve"> residence as urban and rural,</w:t>
      </w:r>
      <w:r w:rsidRPr="007F38D9">
        <w:t xml:space="preserve"> marital status</w:t>
      </w:r>
      <w:r>
        <w:t xml:space="preserve"> as well as </w:t>
      </w:r>
      <w:r w:rsidRPr="007F38D9">
        <w:t xml:space="preserve">residential </w:t>
      </w:r>
      <w:r w:rsidRPr="0057251B">
        <w:t>area</w:t>
      </w:r>
      <w:r>
        <w:rPr>
          <w:rStyle w:val="FootnoteReference"/>
        </w:rPr>
        <w:footnoteReference w:id="2"/>
      </w:r>
      <w:r w:rsidRPr="0057251B">
        <w:t xml:space="preserve"> as </w:t>
      </w:r>
      <w:r w:rsidRPr="0057251B">
        <w:rPr>
          <w:rFonts w:hint="eastAsia"/>
        </w:rPr>
        <w:t>E</w:t>
      </w:r>
      <w:r w:rsidRPr="0057251B">
        <w:t>ast China</w:t>
      </w:r>
      <w:r w:rsidRPr="0057251B">
        <w:rPr>
          <w:rFonts w:hint="eastAsia"/>
        </w:rPr>
        <w:t>,</w:t>
      </w:r>
      <w:r w:rsidRPr="0057251B">
        <w:t xml:space="preserve"> </w:t>
      </w:r>
      <w:r>
        <w:t>Central</w:t>
      </w:r>
      <w:r w:rsidRPr="0057251B">
        <w:t xml:space="preserve"> China, </w:t>
      </w:r>
      <w:r w:rsidRPr="0057251B">
        <w:rPr>
          <w:rFonts w:hint="eastAsia"/>
        </w:rPr>
        <w:t>N</w:t>
      </w:r>
      <w:r w:rsidRPr="0057251B">
        <w:t xml:space="preserve">ortheast China and </w:t>
      </w:r>
      <w:r>
        <w:t>West China.</w:t>
      </w:r>
      <w:r w:rsidRPr="0057251B">
        <w:t xml:space="preserve"> </w:t>
      </w:r>
    </w:p>
    <w:p w14:paraId="222CB38E" w14:textId="77777777" w:rsidR="004D1496" w:rsidRPr="000704B7" w:rsidRDefault="004D1496" w:rsidP="004D1496">
      <w:pPr>
        <w:snapToGrid w:val="0"/>
        <w:rPr>
          <w:b/>
          <w:i/>
        </w:rPr>
      </w:pPr>
      <w:r w:rsidRPr="000704B7">
        <w:rPr>
          <w:b/>
          <w:i/>
        </w:rPr>
        <w:t>Estimation</w:t>
      </w:r>
      <w:r>
        <w:rPr>
          <w:b/>
          <w:i/>
        </w:rPr>
        <w:t xml:space="preserve"> Models</w:t>
      </w:r>
    </w:p>
    <w:p w14:paraId="27F11DF0" w14:textId="77777777" w:rsidR="004D1496" w:rsidRPr="0092134D" w:rsidRDefault="004D1496" w:rsidP="004D1496">
      <w:pPr>
        <w:snapToGrid w:val="0"/>
        <w:ind w:firstLineChars="200" w:firstLine="480"/>
        <w:jc w:val="both"/>
        <w:rPr>
          <w:highlight w:val="yellow"/>
        </w:rPr>
      </w:pPr>
      <w:r w:rsidRPr="00A4552B">
        <w:t>We</w:t>
      </w:r>
      <w:r>
        <w:t xml:space="preserve"> apply</w:t>
      </w:r>
      <w:r w:rsidRPr="00A4552B">
        <w:t xml:space="preserve"> a Mincer (1974) equation in which the log of </w:t>
      </w:r>
      <w:r>
        <w:t>annual income is modelled as</w:t>
      </w:r>
      <w:r w:rsidRPr="00A4552B">
        <w:t xml:space="preserve"> a function of </w:t>
      </w:r>
      <w:r>
        <w:t xml:space="preserve">education and experiment in human capital. </w:t>
      </w:r>
      <w:r w:rsidRPr="0092134D">
        <w:rPr>
          <w:highlight w:val="yellow"/>
        </w:rPr>
        <w:t xml:space="preserve">The general form of </w:t>
      </w:r>
      <w:r w:rsidRPr="0092134D">
        <w:rPr>
          <w:highlight w:val="yellow"/>
          <w:lang w:eastAsia="zh-CN"/>
        </w:rPr>
        <w:t>the</w:t>
      </w:r>
      <w:r w:rsidRPr="0092134D">
        <w:rPr>
          <w:highlight w:val="yellow"/>
        </w:rPr>
        <w:t xml:space="preserve"> Mincer Equation as follows:</w:t>
      </w:r>
    </w:p>
    <w:p w14:paraId="6816415F" w14:textId="77777777" w:rsidR="004D1496" w:rsidRPr="00C34CFA" w:rsidRDefault="004D1496" w:rsidP="004D1496">
      <w:pPr>
        <w:snapToGrid w:val="0"/>
        <w:ind w:firstLineChars="200" w:firstLine="480"/>
        <w:jc w:val="center"/>
        <w:rPr>
          <w:highlight w:val="yellow"/>
          <w:lang w:eastAsia="zh-CN"/>
        </w:rPr>
      </w:pPr>
      <w:r>
        <w:rPr>
          <w:rFonts w:hint="eastAsia"/>
          <w:highlight w:val="yellow"/>
          <w:lang w:eastAsia="zh-CN"/>
        </w:rPr>
        <w:t xml:space="preserve"> </w:t>
      </w:r>
      <w:r>
        <w:rPr>
          <w:highlight w:val="yellow"/>
          <w:lang w:eastAsia="zh-CN"/>
        </w:rPr>
        <w:t xml:space="preserve">         </w:t>
      </w:r>
      <m:oMath>
        <m:r>
          <w:rPr>
            <w:rFonts w:ascii="Cambria Math" w:hAnsi="Cambria Math"/>
            <w:highlight w:val="yellow"/>
          </w:rPr>
          <m:t>ln</m:t>
        </m:r>
        <m:d>
          <m:dPr>
            <m:ctrlPr>
              <w:rPr>
                <w:rFonts w:ascii="Cambria Math" w:hAnsi="Cambria Math"/>
                <w:i/>
                <w:highlight w:val="yellow"/>
              </w:rPr>
            </m:ctrlPr>
          </m:dPr>
          <m:e>
            <m:r>
              <w:rPr>
                <w:rFonts w:ascii="Cambria Math" w:hAnsi="Cambria Math"/>
                <w:highlight w:val="yellow"/>
              </w:rPr>
              <m:t>y</m:t>
            </m:r>
          </m:e>
        </m:d>
        <m:r>
          <m:rPr>
            <m:sty m:val="p"/>
          </m:rPr>
          <w:rPr>
            <w:rFonts w:ascii="Cambria Math" w:hAnsi="Cambria Math"/>
            <w:highlight w:val="yellow"/>
          </w:rPr>
          <m:t>=</m:t>
        </m:r>
        <m:r>
          <w:rPr>
            <w:rFonts w:ascii="Cambria Math" w:hAnsi="Cambria Math"/>
            <w:highlight w:val="yellow"/>
          </w:rPr>
          <m:t>f(Sch, Exper, X, ε)</m:t>
        </m:r>
      </m:oMath>
      <w:r w:rsidRPr="00C34CFA">
        <w:rPr>
          <w:highlight w:val="yellow"/>
          <w:lang w:eastAsia="zh-CN"/>
        </w:rPr>
        <w:t xml:space="preserve">                 (1)</w:t>
      </w:r>
    </w:p>
    <w:p w14:paraId="38D6DAC4" w14:textId="77777777" w:rsidR="004D1496" w:rsidRPr="00485047" w:rsidRDefault="004D1496" w:rsidP="004D1496">
      <w:pPr>
        <w:snapToGrid w:val="0"/>
        <w:ind w:firstLineChars="200" w:firstLine="480"/>
        <w:jc w:val="both"/>
        <w:rPr>
          <w:highlight w:val="yellow"/>
        </w:rPr>
      </w:pPr>
      <w:r w:rsidRPr="00C34CFA">
        <w:rPr>
          <w:highlight w:val="yellow"/>
        </w:rPr>
        <w:lastRenderedPageBreak/>
        <w:t xml:space="preserve">Where </w:t>
      </w:r>
      <m:oMath>
        <m:r>
          <w:rPr>
            <w:rFonts w:ascii="Cambria Math" w:hAnsi="Cambria Math"/>
            <w:highlight w:val="yellow"/>
          </w:rPr>
          <m:t>ln</m:t>
        </m:r>
        <m:d>
          <m:dPr>
            <m:ctrlPr>
              <w:rPr>
                <w:rFonts w:ascii="Cambria Math" w:hAnsi="Cambria Math"/>
                <w:i/>
                <w:highlight w:val="yellow"/>
              </w:rPr>
            </m:ctrlPr>
          </m:dPr>
          <m:e>
            <m:r>
              <w:rPr>
                <w:rFonts w:ascii="Cambria Math" w:hAnsi="Cambria Math"/>
                <w:highlight w:val="yellow"/>
              </w:rPr>
              <m:t>y</m:t>
            </m:r>
          </m:e>
        </m:d>
      </m:oMath>
      <w:r w:rsidRPr="00C34CFA">
        <w:rPr>
          <w:highlight w:val="yellow"/>
        </w:rPr>
        <w:t xml:space="preserve"> denotes the log of income, </w:t>
      </w:r>
      <m:oMath>
        <m:r>
          <w:rPr>
            <w:rFonts w:ascii="Cambria Math" w:hAnsi="Cambria Math"/>
            <w:highlight w:val="yellow"/>
          </w:rPr>
          <m:t>Sch</m:t>
        </m:r>
      </m:oMath>
      <w:r w:rsidRPr="00C34CFA">
        <w:rPr>
          <w:highlight w:val="yellow"/>
        </w:rPr>
        <w:t xml:space="preserve"> and </w:t>
      </w:r>
      <m:oMath>
        <m:r>
          <w:rPr>
            <w:rFonts w:ascii="Cambria Math" w:hAnsi="Cambria Math"/>
            <w:highlight w:val="yellow"/>
          </w:rPr>
          <m:t>Exper</m:t>
        </m:r>
      </m:oMath>
      <w:r w:rsidRPr="00C34CFA">
        <w:rPr>
          <w:highlight w:val="yellow"/>
        </w:rPr>
        <w:t xml:space="preserve"> denote the schooling and working </w:t>
      </w:r>
      <w:r w:rsidRPr="00C34CFA">
        <w:rPr>
          <w:highlight w:val="yellow"/>
          <w:lang w:eastAsia="zh-CN"/>
        </w:rPr>
        <w:t>years</w:t>
      </w:r>
      <w:r w:rsidRPr="00C34CFA">
        <w:rPr>
          <w:highlight w:val="yellow"/>
        </w:rPr>
        <w:t xml:space="preserve">. </w:t>
      </w:r>
      <m:oMath>
        <m:r>
          <w:rPr>
            <w:rFonts w:ascii="Cambria Math" w:hAnsi="Cambria Math"/>
            <w:highlight w:val="yellow"/>
          </w:rPr>
          <m:t>X</m:t>
        </m:r>
      </m:oMath>
      <w:r w:rsidRPr="00C34CFA">
        <w:rPr>
          <w:highlight w:val="yellow"/>
        </w:rPr>
        <w:t xml:space="preserve"> repre</w:t>
      </w:r>
      <w:proofErr w:type="spellStart"/>
      <w:r w:rsidRPr="00C34CFA">
        <w:rPr>
          <w:highlight w:val="yellow"/>
          <w:lang w:eastAsia="zh-CN"/>
        </w:rPr>
        <w:t>se</w:t>
      </w:r>
      <w:r w:rsidRPr="00C34CFA">
        <w:rPr>
          <w:highlight w:val="yellow"/>
        </w:rPr>
        <w:t>nts</w:t>
      </w:r>
      <w:proofErr w:type="spellEnd"/>
      <w:r w:rsidRPr="00C34CFA">
        <w:rPr>
          <w:highlight w:val="yellow"/>
        </w:rPr>
        <w:t xml:space="preserve"> the other independent variables than education and </w:t>
      </w:r>
      <w:r w:rsidRPr="00485047">
        <w:rPr>
          <w:highlight w:val="yellow"/>
        </w:rPr>
        <w:t>experience, including sex, marital, living areas. O</w:t>
      </w:r>
      <w:r w:rsidRPr="00485047">
        <w:rPr>
          <w:highlight w:val="yellow"/>
          <w:lang w:eastAsia="zh-CN"/>
        </w:rPr>
        <w:t xml:space="preserve">ther unobservable factors are contained </w:t>
      </w:r>
      <w:r w:rsidRPr="00485047">
        <w:rPr>
          <w:highlight w:val="yellow"/>
        </w:rPr>
        <w:t xml:space="preserve">in the error term </w:t>
      </w:r>
      <m:oMath>
        <m:r>
          <w:rPr>
            <w:rFonts w:ascii="Cambria Math" w:hAnsi="Cambria Math"/>
            <w:highlight w:val="yellow"/>
          </w:rPr>
          <m:t>ε</m:t>
        </m:r>
      </m:oMath>
      <w:r w:rsidRPr="00485047">
        <w:rPr>
          <w:highlight w:val="yellow"/>
        </w:rPr>
        <w:t xml:space="preserve">,which satisfied </w:t>
      </w:r>
      <m:oMath>
        <m:r>
          <w:rPr>
            <w:rFonts w:ascii="Cambria Math" w:hAnsi="Cambria Math"/>
            <w:highlight w:val="yellow"/>
          </w:rPr>
          <m:t>E</m:t>
        </m:r>
        <m:d>
          <m:dPr>
            <m:ctrlPr>
              <w:rPr>
                <w:rFonts w:ascii="Cambria Math" w:hAnsi="Cambria Math"/>
                <w:highlight w:val="yellow"/>
              </w:rPr>
            </m:ctrlPr>
          </m:dPr>
          <m:e>
            <m:r>
              <w:rPr>
                <w:rFonts w:ascii="Cambria Math" w:hAnsi="Cambria Math"/>
                <w:highlight w:val="yellow"/>
              </w:rPr>
              <m:t>ε</m:t>
            </m:r>
          </m:e>
          <m:e>
            <m:r>
              <w:rPr>
                <w:rFonts w:ascii="Cambria Math" w:hAnsi="Cambria Math"/>
                <w:highlight w:val="yellow"/>
              </w:rPr>
              <m:t>X</m:t>
            </m:r>
          </m:e>
        </m:d>
        <m:r>
          <m:rPr>
            <m:sty m:val="p"/>
          </m:rPr>
          <w:rPr>
            <w:rFonts w:ascii="Cambria Math" w:hAnsi="Cambria Math"/>
            <w:highlight w:val="yellow"/>
          </w:rPr>
          <m:t>=0</m:t>
        </m:r>
      </m:oMath>
      <w:r w:rsidRPr="00485047">
        <w:rPr>
          <w:highlight w:val="yellow"/>
        </w:rPr>
        <w:t xml:space="preserve">. </w:t>
      </w:r>
    </w:p>
    <w:p w14:paraId="25935158" w14:textId="77777777" w:rsidR="004D1496" w:rsidRPr="00A4552B" w:rsidRDefault="004D1496" w:rsidP="004D1496">
      <w:pPr>
        <w:snapToGrid w:val="0"/>
        <w:ind w:firstLineChars="200" w:firstLine="480"/>
        <w:jc w:val="both"/>
      </w:pPr>
      <w:r w:rsidRPr="00485047">
        <w:rPr>
          <w:highlight w:val="yellow"/>
        </w:rPr>
        <w:t>A</w:t>
      </w:r>
      <w:r w:rsidRPr="00485047">
        <w:rPr>
          <w:rFonts w:hint="eastAsia"/>
          <w:highlight w:val="yellow"/>
        </w:rPr>
        <w:t>l</w:t>
      </w:r>
      <w:r w:rsidRPr="00485047">
        <w:rPr>
          <w:highlight w:val="yellow"/>
        </w:rPr>
        <w:t>so, the effect of health on productive time and thereby income is hypothesized in Grossman model (Grossman,1972), which add new a perspective of the human capital research that health is a component that affects income.</w:t>
      </w:r>
      <w:r w:rsidRPr="00485047">
        <w:t xml:space="preserve"> </w:t>
      </w:r>
      <w:r>
        <w:t xml:space="preserve">Following the expansion of Mincer Equation in previous literature, we model the log of annual income as a function of </w:t>
      </w:r>
      <w:r w:rsidRPr="00A4552B">
        <w:t xml:space="preserve">health status, age, </w:t>
      </w:r>
      <w:r>
        <w:t>sex</w:t>
      </w:r>
      <w:r w:rsidRPr="00A4552B">
        <w:t>, education, marital status</w:t>
      </w:r>
      <w:r>
        <w:t xml:space="preserve">, </w:t>
      </w:r>
      <w:r w:rsidRPr="00A4552B">
        <w:t xml:space="preserve">and </w:t>
      </w:r>
      <w:r>
        <w:t>other of covariates</w:t>
      </w:r>
      <w:r w:rsidRPr="00A4552B">
        <w:t>.</w:t>
      </w:r>
      <w:r>
        <w:t xml:space="preserve"> </w:t>
      </w:r>
      <w:r>
        <w:rPr>
          <w:lang w:eastAsia="zh-CN"/>
        </w:rPr>
        <w:t>Endogeneity may arise if unobserved individual characteristics are correlated with health variable. I</w:t>
      </w:r>
      <w:r>
        <w:rPr>
          <w:rFonts w:hint="eastAsia"/>
          <w:lang w:eastAsia="zh-CN"/>
        </w:rPr>
        <w:t>n</w:t>
      </w:r>
      <w:r>
        <w:rPr>
          <w:lang w:eastAsia="zh-CN"/>
        </w:rPr>
        <w:t xml:space="preserve"> panel data, by assuming that these unobserved individual characteristics as time-constant, we can use fixed effect models</w:t>
      </w:r>
      <w:r>
        <w:t>. The model presents</w:t>
      </w:r>
      <w:r w:rsidRPr="00A4552B">
        <w:t xml:space="preserve"> as in Eq. (</w:t>
      </w:r>
      <w:r>
        <w:t>2</w:t>
      </w:r>
      <w:r w:rsidRPr="00A4552B">
        <w:t>):</w:t>
      </w:r>
    </w:p>
    <w:p w14:paraId="1FA46307" w14:textId="77777777" w:rsidR="004D1496" w:rsidRPr="00A4552B" w:rsidRDefault="004D1496" w:rsidP="004D1496">
      <w:pPr>
        <w:snapToGrid w:val="0"/>
        <w:ind w:firstLineChars="200" w:firstLine="480"/>
        <w:jc w:val="center"/>
        <w:rPr>
          <w:sz w:val="32"/>
        </w:rPr>
      </w:pPr>
      <w:r w:rsidRPr="00A4552B">
        <w:rPr>
          <w:szCs w:val="21"/>
        </w:rPr>
        <w:t xml:space="preserve">         </w:t>
      </w:r>
      <m:oMath>
        <m:r>
          <w:rPr>
            <w:rFonts w:ascii="Cambria Math" w:eastAsiaTheme="minorHAnsi" w:hAnsi="Cambria Math"/>
            <w:szCs w:val="21"/>
          </w:rPr>
          <m:t xml:space="preserve"> </m:t>
        </m:r>
        <m:sSub>
          <m:sSubPr>
            <m:ctrlPr>
              <w:rPr>
                <w:rFonts w:ascii="Cambria Math" w:eastAsiaTheme="minorHAnsi" w:hAnsi="Cambria Math"/>
                <w:szCs w:val="21"/>
              </w:rPr>
            </m:ctrlPr>
          </m:sSubPr>
          <m:e>
            <m:r>
              <w:rPr>
                <w:rFonts w:ascii="Cambria Math" w:eastAsiaTheme="minorHAnsi" w:hAnsi="Cambria Math"/>
                <w:szCs w:val="21"/>
              </w:rPr>
              <m:t>lnincome</m:t>
            </m:r>
          </m:e>
          <m:sub>
            <m:r>
              <w:rPr>
                <w:rFonts w:ascii="Cambria Math" w:eastAsiaTheme="minorHAnsi" w:hAnsi="Cambria Math"/>
                <w:szCs w:val="21"/>
              </w:rPr>
              <m:t>it</m:t>
            </m:r>
          </m:sub>
        </m:sSub>
        <m:r>
          <m:rPr>
            <m:sty m:val="p"/>
          </m:rPr>
          <w:rPr>
            <w:rFonts w:ascii="Cambria Math" w:eastAsiaTheme="minorHAnsi" w:hAnsi="Cambria Math"/>
            <w:szCs w:val="21"/>
          </w:rPr>
          <m:t>=</m:t>
        </m:r>
        <m:sSub>
          <m:sSubPr>
            <m:ctrlPr>
              <w:rPr>
                <w:rFonts w:ascii="Cambria Math" w:eastAsiaTheme="minorHAnsi" w:hAnsi="Cambria Math"/>
                <w:i/>
                <w:szCs w:val="21"/>
              </w:rPr>
            </m:ctrlPr>
          </m:sSubPr>
          <m:e>
            <m:r>
              <w:rPr>
                <w:rFonts w:ascii="Cambria Math" w:eastAsiaTheme="minorHAnsi" w:hAnsi="Cambria Math"/>
                <w:szCs w:val="21"/>
              </w:rPr>
              <m:t>α</m:t>
            </m:r>
          </m:e>
          <m:sub>
            <m:r>
              <w:rPr>
                <w:rFonts w:ascii="Cambria Math" w:eastAsiaTheme="minorHAnsi" w:hAnsi="Cambria Math"/>
                <w:szCs w:val="21"/>
              </w:rPr>
              <m:t>i</m:t>
            </m:r>
          </m:sub>
        </m:sSub>
        <m:r>
          <w:rPr>
            <w:rFonts w:ascii="Cambria Math" w:eastAsiaTheme="minorHAnsi" w:hAnsi="Cambria Math"/>
            <w:szCs w:val="21"/>
          </w:rPr>
          <m:t>+</m:t>
        </m:r>
        <m:sSubSup>
          <m:sSubSupPr>
            <m:ctrlPr>
              <w:rPr>
                <w:rFonts w:ascii="Cambria Math" w:eastAsiaTheme="minorHAnsi" w:hAnsi="Cambria Math"/>
                <w:szCs w:val="21"/>
              </w:rPr>
            </m:ctrlPr>
          </m:sSubSupPr>
          <m:e>
            <m:r>
              <w:rPr>
                <w:rFonts w:ascii="Cambria Math" w:eastAsiaTheme="minorHAnsi" w:hAnsi="Cambria Math"/>
                <w:szCs w:val="21"/>
              </w:rPr>
              <m:t>H</m:t>
            </m:r>
          </m:e>
          <m:sub>
            <m:r>
              <w:rPr>
                <w:rFonts w:ascii="Cambria Math" w:eastAsiaTheme="minorHAnsi" w:hAnsi="Cambria Math"/>
                <w:szCs w:val="21"/>
              </w:rPr>
              <m:t>it</m:t>
            </m:r>
          </m:sub>
          <m:sup>
            <m:r>
              <w:rPr>
                <w:rFonts w:ascii="Cambria Math" w:eastAsiaTheme="minorHAnsi" w:hAnsi="Cambria Math"/>
                <w:szCs w:val="21"/>
              </w:rPr>
              <m:t>'</m:t>
            </m:r>
          </m:sup>
        </m:sSubSup>
        <m:r>
          <m:rPr>
            <m:sty m:val="p"/>
          </m:rPr>
          <w:rPr>
            <w:rFonts w:ascii="Cambria Math" w:eastAsiaTheme="minorHAnsi" w:hAnsi="Cambria Math"/>
            <w:szCs w:val="21"/>
          </w:rPr>
          <m:t>β</m:t>
        </m:r>
        <m:r>
          <w:rPr>
            <w:rFonts w:ascii="Cambria Math" w:eastAsiaTheme="minorHAnsi" w:hAnsi="Cambria Math"/>
            <w:szCs w:val="21"/>
          </w:rPr>
          <m:t>+</m:t>
        </m:r>
        <m:sSubSup>
          <m:sSubSupPr>
            <m:ctrlPr>
              <w:rPr>
                <w:rFonts w:ascii="Cambria Math" w:eastAsiaTheme="minorHAnsi" w:hAnsi="Cambria Math"/>
                <w:i/>
                <w:szCs w:val="21"/>
              </w:rPr>
            </m:ctrlPr>
          </m:sSubSupPr>
          <m:e>
            <m:r>
              <w:rPr>
                <w:rFonts w:ascii="Cambria Math" w:eastAsiaTheme="minorHAnsi" w:hAnsi="Cambria Math"/>
                <w:szCs w:val="21"/>
              </w:rPr>
              <m:t>X</m:t>
            </m:r>
          </m:e>
          <m:sub>
            <m:r>
              <w:rPr>
                <w:rFonts w:ascii="Cambria Math" w:eastAsiaTheme="minorHAnsi" w:hAnsi="Cambria Math"/>
                <w:szCs w:val="21"/>
              </w:rPr>
              <m:t>it</m:t>
            </m:r>
          </m:sub>
          <m:sup>
            <m:r>
              <w:rPr>
                <w:rFonts w:ascii="Cambria Math" w:eastAsiaTheme="minorHAnsi" w:hAnsi="Cambria Math"/>
                <w:szCs w:val="21"/>
              </w:rPr>
              <m:t>'</m:t>
            </m:r>
          </m:sup>
        </m:sSubSup>
        <m:r>
          <w:rPr>
            <w:rFonts w:ascii="Cambria Math" w:eastAsiaTheme="minorHAnsi" w:hAnsi="Cambria Math"/>
            <w:szCs w:val="21"/>
          </w:rPr>
          <m:t>γ+</m:t>
        </m:r>
        <m:sSub>
          <m:sSubPr>
            <m:ctrlPr>
              <w:rPr>
                <w:rFonts w:ascii="Cambria Math" w:eastAsiaTheme="minorHAnsi" w:hAnsi="Cambria Math"/>
                <w:i/>
                <w:szCs w:val="21"/>
              </w:rPr>
            </m:ctrlPr>
          </m:sSubPr>
          <m:e>
            <m:r>
              <w:rPr>
                <w:rFonts w:ascii="Cambria Math" w:eastAsiaTheme="minorHAnsi" w:hAnsi="Cambria Math"/>
                <w:szCs w:val="21"/>
              </w:rPr>
              <m:t>ε</m:t>
            </m:r>
          </m:e>
          <m:sub>
            <m:r>
              <w:rPr>
                <w:rFonts w:ascii="Cambria Math" w:eastAsiaTheme="minorHAnsi" w:hAnsi="Cambria Math"/>
                <w:szCs w:val="21"/>
              </w:rPr>
              <m:t>it</m:t>
            </m:r>
          </m:sub>
        </m:sSub>
      </m:oMath>
      <w:r w:rsidRPr="00A4552B">
        <w:rPr>
          <w:szCs w:val="21"/>
        </w:rPr>
        <w:t xml:space="preserve">               (</w:t>
      </w:r>
      <w:r>
        <w:rPr>
          <w:szCs w:val="21"/>
        </w:rPr>
        <w:t>2</w:t>
      </w:r>
      <w:r w:rsidRPr="00A4552B">
        <w:rPr>
          <w:szCs w:val="21"/>
        </w:rPr>
        <w:t>)</w:t>
      </w:r>
    </w:p>
    <w:p w14:paraId="0077D704" w14:textId="77777777" w:rsidR="004D1496" w:rsidRPr="00A4552B" w:rsidRDefault="004D1496" w:rsidP="004D1496">
      <w:pPr>
        <w:snapToGrid w:val="0"/>
        <w:ind w:firstLineChars="200" w:firstLine="480"/>
        <w:jc w:val="both"/>
      </w:pPr>
      <w:r>
        <w:t>W</w:t>
      </w:r>
      <w:r w:rsidRPr="00A4552B">
        <w:t xml:space="preserve">here the subscripts </w:t>
      </w:r>
      <m:oMath>
        <m:r>
          <w:rPr>
            <w:rFonts w:ascii="Cambria Math" w:hAnsi="Cambria Math"/>
            <w:sz w:val="22"/>
            <w:szCs w:val="21"/>
          </w:rPr>
          <m:t>i</m:t>
        </m:r>
      </m:oMath>
      <w:r w:rsidRPr="00A4552B">
        <w:rPr>
          <w:sz w:val="22"/>
          <w:szCs w:val="21"/>
        </w:rPr>
        <w:t xml:space="preserve"> and </w:t>
      </w:r>
      <m:oMath>
        <m:r>
          <w:rPr>
            <w:rFonts w:ascii="Cambria Math" w:hAnsi="Cambria Math"/>
            <w:sz w:val="22"/>
            <w:szCs w:val="21"/>
          </w:rPr>
          <m:t>t</m:t>
        </m:r>
      </m:oMath>
      <w:r w:rsidRPr="00A4552B">
        <w:rPr>
          <w:sz w:val="22"/>
          <w:szCs w:val="21"/>
        </w:rPr>
        <w:t xml:space="preserve"> denote individual and survey year, respectively. </w:t>
      </w:r>
      <m:oMath>
        <m:r>
          <m:rPr>
            <m:sty m:val="p"/>
          </m:rPr>
          <w:rPr>
            <w:rFonts w:ascii="Cambria Math" w:eastAsiaTheme="minorHAnsi" w:hAnsi="Cambria Math"/>
            <w:szCs w:val="21"/>
          </w:rPr>
          <m:t>β</m:t>
        </m:r>
      </m:oMath>
      <w:r w:rsidRPr="00A4552B">
        <w:rPr>
          <w:szCs w:val="21"/>
        </w:rPr>
        <w:t xml:space="preserve"> and </w:t>
      </w:r>
      <m:oMath>
        <m:r>
          <w:rPr>
            <w:rFonts w:ascii="Cambria Math" w:eastAsiaTheme="minorHAnsi" w:hAnsi="Cambria Math"/>
            <w:szCs w:val="21"/>
          </w:rPr>
          <m:t>γ</m:t>
        </m:r>
      </m:oMath>
      <w:r w:rsidRPr="00A4552B">
        <w:rPr>
          <w:szCs w:val="21"/>
        </w:rPr>
        <w:t xml:space="preserve"> </w:t>
      </w:r>
      <w:r>
        <w:rPr>
          <w:szCs w:val="21"/>
        </w:rPr>
        <w:t xml:space="preserve">are estimated </w:t>
      </w:r>
      <w:r w:rsidRPr="00A4552B">
        <w:rPr>
          <w:szCs w:val="21"/>
        </w:rPr>
        <w:t xml:space="preserve">parameters. </w:t>
      </w:r>
      <m:oMath>
        <m:sSub>
          <m:sSubPr>
            <m:ctrlPr>
              <w:rPr>
                <w:rFonts w:ascii="Cambria Math" w:eastAsiaTheme="minorHAnsi" w:hAnsi="Cambria Math"/>
                <w:szCs w:val="21"/>
              </w:rPr>
            </m:ctrlPr>
          </m:sSubPr>
          <m:e>
            <m:r>
              <w:rPr>
                <w:rFonts w:ascii="Cambria Math" w:eastAsiaTheme="minorHAnsi" w:hAnsi="Cambria Math"/>
                <w:szCs w:val="21"/>
              </w:rPr>
              <m:t>lnincome</m:t>
            </m:r>
          </m:e>
          <m:sub>
            <m:r>
              <w:rPr>
                <w:rFonts w:ascii="Cambria Math" w:eastAsiaTheme="minorHAnsi" w:hAnsi="Cambria Math"/>
                <w:szCs w:val="21"/>
              </w:rPr>
              <m:t>it</m:t>
            </m:r>
          </m:sub>
        </m:sSub>
      </m:oMath>
      <w:r w:rsidRPr="00A4552B">
        <w:rPr>
          <w:szCs w:val="21"/>
        </w:rPr>
        <w:t xml:space="preserve"> denotes </w:t>
      </w:r>
      <w:r>
        <w:rPr>
          <w:szCs w:val="21"/>
        </w:rPr>
        <w:t xml:space="preserve">the </w:t>
      </w:r>
      <w:r w:rsidRPr="00A4552B">
        <w:t xml:space="preserve">log of </w:t>
      </w:r>
      <w:r>
        <w:t>the annual income</w:t>
      </w:r>
      <w:r w:rsidRPr="00A4552B">
        <w:t xml:space="preserve"> of individual</w:t>
      </w:r>
      <m:oMath>
        <m:r>
          <w:rPr>
            <w:rFonts w:ascii="Cambria Math" w:hAnsi="Cambria Math"/>
            <w:sz w:val="22"/>
            <w:szCs w:val="21"/>
          </w:rPr>
          <m:t xml:space="preserve"> i</m:t>
        </m:r>
      </m:oMath>
      <w:r w:rsidRPr="00A4552B">
        <w:rPr>
          <w:sz w:val="22"/>
          <w:szCs w:val="21"/>
        </w:rPr>
        <w:t xml:space="preserve"> measured in RMB Yuan in time </w:t>
      </w:r>
      <m:oMath>
        <m:r>
          <w:rPr>
            <w:rFonts w:ascii="Cambria Math" w:hAnsi="Cambria Math"/>
            <w:sz w:val="22"/>
            <w:szCs w:val="21"/>
          </w:rPr>
          <m:t>t</m:t>
        </m:r>
      </m:oMath>
      <w:r w:rsidRPr="00A4552B">
        <w:rPr>
          <w:sz w:val="22"/>
          <w:szCs w:val="21"/>
        </w:rPr>
        <w:t>,</w:t>
      </w:r>
      <w:r w:rsidRPr="00A4552B">
        <w:rPr>
          <w:szCs w:val="21"/>
        </w:rPr>
        <w:t xml:space="preserve"> </w:t>
      </w:r>
      <m:oMath>
        <m:sSub>
          <m:sSubPr>
            <m:ctrlPr>
              <w:rPr>
                <w:rFonts w:ascii="Cambria Math" w:eastAsiaTheme="minorHAnsi" w:hAnsi="Cambria Math"/>
                <w:i/>
                <w:szCs w:val="21"/>
              </w:rPr>
            </m:ctrlPr>
          </m:sSubPr>
          <m:e>
            <m:r>
              <w:rPr>
                <w:rFonts w:ascii="Cambria Math" w:eastAsiaTheme="minorHAnsi" w:hAnsi="Cambria Math"/>
                <w:szCs w:val="21"/>
              </w:rPr>
              <m:t>H</m:t>
            </m:r>
          </m:e>
          <m:sub>
            <m:r>
              <w:rPr>
                <w:rFonts w:ascii="Cambria Math" w:eastAsiaTheme="minorHAnsi" w:hAnsi="Cambria Math"/>
                <w:szCs w:val="21"/>
              </w:rPr>
              <m:t>it</m:t>
            </m:r>
          </m:sub>
        </m:sSub>
      </m:oMath>
      <w:r w:rsidRPr="00A4552B">
        <w:rPr>
          <w:szCs w:val="21"/>
        </w:rPr>
        <w:t xml:space="preserve"> denotes health status of in</w:t>
      </w:r>
      <w:proofErr w:type="spellStart"/>
      <w:r w:rsidRPr="00A4552B">
        <w:rPr>
          <w:szCs w:val="21"/>
        </w:rPr>
        <w:t>dividual</w:t>
      </w:r>
      <w:proofErr w:type="spellEnd"/>
      <w:r w:rsidRPr="00A4552B">
        <w:rPr>
          <w:szCs w:val="21"/>
        </w:rPr>
        <w:t xml:space="preserve"> </w:t>
      </w:r>
      <m:oMath>
        <m:r>
          <w:rPr>
            <w:rFonts w:ascii="Cambria Math" w:hAnsi="Cambria Math"/>
            <w:sz w:val="22"/>
            <w:szCs w:val="21"/>
          </w:rPr>
          <m:t>i</m:t>
        </m:r>
      </m:oMath>
      <w:r w:rsidRPr="00A4552B">
        <w:rPr>
          <w:sz w:val="22"/>
          <w:szCs w:val="21"/>
        </w:rPr>
        <w:t xml:space="preserve"> in time </w:t>
      </w:r>
      <m:oMath>
        <m:r>
          <w:rPr>
            <w:rFonts w:ascii="Cambria Math" w:hAnsi="Cambria Math"/>
            <w:sz w:val="22"/>
            <w:szCs w:val="21"/>
          </w:rPr>
          <m:t>t</m:t>
        </m:r>
      </m:oMath>
      <w:r w:rsidRPr="00A4552B">
        <w:rPr>
          <w:sz w:val="22"/>
          <w:szCs w:val="21"/>
        </w:rPr>
        <w:t xml:space="preserve">. </w:t>
      </w:r>
      <m:oMath>
        <m:sSub>
          <m:sSubPr>
            <m:ctrlPr>
              <w:rPr>
                <w:rFonts w:ascii="Cambria Math" w:eastAsiaTheme="minorHAnsi" w:hAnsi="Cambria Math"/>
                <w:i/>
                <w:szCs w:val="21"/>
              </w:rPr>
            </m:ctrlPr>
          </m:sSubPr>
          <m:e>
            <m:r>
              <w:rPr>
                <w:rFonts w:ascii="Cambria Math" w:eastAsiaTheme="minorHAnsi" w:hAnsi="Cambria Math"/>
                <w:szCs w:val="21"/>
              </w:rPr>
              <m:t>X</m:t>
            </m:r>
          </m:e>
          <m:sub>
            <m:r>
              <w:rPr>
                <w:rFonts w:ascii="Cambria Math" w:eastAsiaTheme="minorHAnsi" w:hAnsi="Cambria Math"/>
                <w:szCs w:val="21"/>
              </w:rPr>
              <m:t>it</m:t>
            </m:r>
          </m:sub>
        </m:sSub>
      </m:oMath>
      <w:r w:rsidRPr="00A4552B">
        <w:rPr>
          <w:szCs w:val="21"/>
        </w:rPr>
        <w:t xml:space="preserve"> is a series of dummy indicators of </w:t>
      </w:r>
      <w:r>
        <w:rPr>
          <w:szCs w:val="21"/>
        </w:rPr>
        <w:t xml:space="preserve">an </w:t>
      </w:r>
      <w:r w:rsidRPr="00A4552B">
        <w:rPr>
          <w:szCs w:val="21"/>
        </w:rPr>
        <w:t xml:space="preserve">individual's characteristics as covariates. </w:t>
      </w:r>
      <m:oMath>
        <m:r>
          <w:rPr>
            <w:rFonts w:ascii="Cambria Math" w:eastAsiaTheme="minorHAnsi" w:hAnsi="Cambria Math"/>
            <w:szCs w:val="21"/>
          </w:rPr>
          <m:t xml:space="preserve"> </m:t>
        </m:r>
        <m:sSub>
          <m:sSubPr>
            <m:ctrlPr>
              <w:rPr>
                <w:rFonts w:ascii="Cambria Math" w:eastAsiaTheme="minorHAnsi" w:hAnsi="Cambria Math"/>
                <w:i/>
                <w:szCs w:val="21"/>
              </w:rPr>
            </m:ctrlPr>
          </m:sSubPr>
          <m:e>
            <m:r>
              <w:rPr>
                <w:rFonts w:ascii="Cambria Math" w:eastAsiaTheme="minorHAnsi" w:hAnsi="Cambria Math"/>
                <w:szCs w:val="21"/>
              </w:rPr>
              <m:t>α</m:t>
            </m:r>
          </m:e>
          <m:sub>
            <m:r>
              <w:rPr>
                <w:rFonts w:ascii="Cambria Math" w:eastAsiaTheme="minorHAnsi" w:hAnsi="Cambria Math"/>
                <w:szCs w:val="21"/>
              </w:rPr>
              <m:t>i</m:t>
            </m:r>
          </m:sub>
        </m:sSub>
      </m:oMath>
      <w:r w:rsidRPr="00A4552B">
        <w:rPr>
          <w:szCs w:val="21"/>
        </w:rPr>
        <w:t xml:space="preserve"> represents </w:t>
      </w:r>
      <w:r>
        <w:rPr>
          <w:szCs w:val="21"/>
        </w:rPr>
        <w:t>the individual specific</w:t>
      </w:r>
      <w:r w:rsidRPr="00A4552B">
        <w:rPr>
          <w:szCs w:val="21"/>
        </w:rPr>
        <w:t xml:space="preserve"> effect</w:t>
      </w:r>
      <w:r>
        <w:rPr>
          <w:szCs w:val="21"/>
        </w:rPr>
        <w:t xml:space="preserve">, </w:t>
      </w:r>
      <w:r w:rsidRPr="00A4552B">
        <w:rPr>
          <w:szCs w:val="21"/>
        </w:rPr>
        <w:t>which is assumed time</w:t>
      </w:r>
      <w:r>
        <w:rPr>
          <w:szCs w:val="21"/>
        </w:rPr>
        <w:t>-</w:t>
      </w:r>
      <w:r w:rsidRPr="00A4552B">
        <w:rPr>
          <w:szCs w:val="21"/>
        </w:rPr>
        <w:t>irrelevant in</w:t>
      </w:r>
      <w:r>
        <w:rPr>
          <w:szCs w:val="21"/>
        </w:rPr>
        <w:t xml:space="preserve"> models of fixed effects</w:t>
      </w:r>
      <w:r w:rsidRPr="00A4552B">
        <w:rPr>
          <w:szCs w:val="21"/>
        </w:rPr>
        <w:t xml:space="preserve">. </w:t>
      </w:r>
      <m:oMath>
        <m:sSub>
          <m:sSubPr>
            <m:ctrlPr>
              <w:rPr>
                <w:rFonts w:ascii="Cambria Math" w:eastAsiaTheme="minorHAnsi" w:hAnsi="Cambria Math"/>
                <w:i/>
                <w:szCs w:val="21"/>
              </w:rPr>
            </m:ctrlPr>
          </m:sSubPr>
          <m:e>
            <m:r>
              <w:rPr>
                <w:rFonts w:ascii="Cambria Math" w:eastAsiaTheme="minorHAnsi" w:hAnsi="Cambria Math"/>
                <w:szCs w:val="21"/>
              </w:rPr>
              <m:t>ε</m:t>
            </m:r>
          </m:e>
          <m:sub>
            <m:r>
              <w:rPr>
                <w:rFonts w:ascii="Cambria Math" w:eastAsiaTheme="minorHAnsi" w:hAnsi="Cambria Math"/>
                <w:szCs w:val="21"/>
              </w:rPr>
              <m:t>it</m:t>
            </m:r>
          </m:sub>
        </m:sSub>
      </m:oMath>
      <w:r w:rsidRPr="00A4552B">
        <w:rPr>
          <w:szCs w:val="21"/>
        </w:rPr>
        <w:t xml:space="preserve"> is a </w:t>
      </w:r>
      <w:r>
        <w:rPr>
          <w:szCs w:val="21"/>
        </w:rPr>
        <w:t>random</w:t>
      </w:r>
      <w:r w:rsidRPr="00A4552B">
        <w:rPr>
          <w:szCs w:val="21"/>
        </w:rPr>
        <w:t xml:space="preserve"> error term</w:t>
      </w:r>
      <w:r>
        <w:rPr>
          <w:szCs w:val="21"/>
        </w:rPr>
        <w:t xml:space="preserve"> and is often assumed to be </w:t>
      </w:r>
      <w:proofErr w:type="spellStart"/>
      <w:r>
        <w:rPr>
          <w:szCs w:val="21"/>
        </w:rPr>
        <w:t>iid</w:t>
      </w:r>
      <w:proofErr w:type="spellEnd"/>
      <w:r>
        <w:rPr>
          <w:szCs w:val="21"/>
        </w:rPr>
        <w:t xml:space="preserve"> normally </w:t>
      </w:r>
      <w:proofErr w:type="gramStart"/>
      <w:r>
        <w:rPr>
          <w:szCs w:val="21"/>
        </w:rPr>
        <w:t>distributed</w:t>
      </w:r>
      <w:r w:rsidRPr="00A4552B">
        <w:rPr>
          <w:szCs w:val="21"/>
        </w:rPr>
        <w:t>.</w:t>
      </w:r>
      <w:proofErr w:type="gramEnd"/>
    </w:p>
    <w:p w14:paraId="10807545" w14:textId="77777777" w:rsidR="004D1496" w:rsidRDefault="004D1496" w:rsidP="004D1496">
      <w:pPr>
        <w:snapToGrid w:val="0"/>
        <w:ind w:firstLineChars="200" w:firstLine="480"/>
        <w:jc w:val="both"/>
        <w:rPr>
          <w:szCs w:val="21"/>
        </w:rPr>
      </w:pPr>
      <w:proofErr w:type="gramStart"/>
      <w:r>
        <w:rPr>
          <w:szCs w:val="21"/>
          <w:lang w:eastAsia="zh-CN"/>
        </w:rPr>
        <w:t>T</w:t>
      </w:r>
      <w:r>
        <w:rPr>
          <w:lang w:eastAsia="zh-CN"/>
        </w:rPr>
        <w:t>he majority of</w:t>
      </w:r>
      <w:proofErr w:type="gramEnd"/>
      <w:r>
        <w:rPr>
          <w:lang w:eastAsia="zh-CN"/>
        </w:rPr>
        <w:t xml:space="preserve"> current </w:t>
      </w:r>
      <w:r w:rsidRPr="00585EF8">
        <w:rPr>
          <w:lang w:eastAsia="zh-CN"/>
        </w:rPr>
        <w:t xml:space="preserve">analyses using classical regression models show that, on average, health has a significant impact on income. </w:t>
      </w:r>
      <w:r w:rsidRPr="0092134D">
        <w:rPr>
          <w:highlight w:val="yellow"/>
          <w:lang w:eastAsia="zh-CN"/>
        </w:rPr>
        <w:t xml:space="preserve">However, in the case of the widening income gap, estimating the average effect of health on income would underestimate the impact for poor workers and </w:t>
      </w:r>
      <w:r>
        <w:rPr>
          <w:highlight w:val="yellow"/>
          <w:lang w:eastAsia="zh-CN"/>
        </w:rPr>
        <w:t>underrate</w:t>
      </w:r>
      <w:r w:rsidRPr="00B42338">
        <w:rPr>
          <w:highlight w:val="yellow"/>
          <w:lang w:eastAsia="zh-CN"/>
        </w:rPr>
        <w:t xml:space="preserve"> the inequality of the health-income effect.</w:t>
      </w:r>
      <w:r>
        <w:rPr>
          <w:lang w:eastAsia="zh-CN"/>
        </w:rPr>
        <w:t xml:space="preserve"> </w:t>
      </w:r>
      <w:r>
        <w:rPr>
          <w:szCs w:val="21"/>
          <w:lang w:eastAsia="zh-CN"/>
        </w:rPr>
        <w:t xml:space="preserve">To better understand the heterogeneous </w:t>
      </w:r>
      <w:r>
        <w:rPr>
          <w:szCs w:val="21"/>
          <w:lang w:eastAsia="zh-CN"/>
        </w:rPr>
        <w:lastRenderedPageBreak/>
        <w:t xml:space="preserve">treatment effects of health on income for individuals with varying income levels, we resort to quantile regression. </w:t>
      </w:r>
    </w:p>
    <w:p w14:paraId="2B1F901E" w14:textId="77777777" w:rsidR="004D1496" w:rsidRPr="008612E3" w:rsidRDefault="004D1496" w:rsidP="004D1496">
      <w:pPr>
        <w:snapToGrid w:val="0"/>
        <w:ind w:firstLineChars="200" w:firstLine="480"/>
        <w:jc w:val="both"/>
        <w:rPr>
          <w:szCs w:val="21"/>
        </w:rPr>
      </w:pPr>
      <w:r>
        <w:rPr>
          <w:szCs w:val="21"/>
          <w:lang w:eastAsia="zh-CN"/>
        </w:rPr>
        <w:t>Q</w:t>
      </w:r>
      <w:r w:rsidRPr="002C7AB5">
        <w:rPr>
          <w:szCs w:val="21"/>
          <w:lang w:eastAsia="zh-CN"/>
        </w:rPr>
        <w:t>uantile reg</w:t>
      </w:r>
      <w:r w:rsidRPr="002C7AB5">
        <w:rPr>
          <w:szCs w:val="21"/>
        </w:rPr>
        <w:t xml:space="preserve">ression </w:t>
      </w:r>
      <w:r>
        <w:rPr>
          <w:szCs w:val="21"/>
        </w:rPr>
        <w:t>wa</w:t>
      </w:r>
      <w:r w:rsidRPr="002C7AB5">
        <w:rPr>
          <w:szCs w:val="21"/>
        </w:rPr>
        <w:t xml:space="preserve">s first introduced by </w:t>
      </w:r>
      <w:proofErr w:type="spellStart"/>
      <w:r w:rsidRPr="002C7AB5">
        <w:rPr>
          <w:szCs w:val="21"/>
        </w:rPr>
        <w:t>Koenker</w:t>
      </w:r>
      <w:proofErr w:type="spellEnd"/>
      <w:r w:rsidRPr="002C7AB5">
        <w:rPr>
          <w:szCs w:val="21"/>
        </w:rPr>
        <w:t xml:space="preserve"> and Bassett in 1978</w:t>
      </w:r>
      <w:r>
        <w:rPr>
          <w:szCs w:val="21"/>
        </w:rPr>
        <w:t xml:space="preserve"> (</w:t>
      </w:r>
      <w:proofErr w:type="spellStart"/>
      <w:r>
        <w:rPr>
          <w:szCs w:val="21"/>
        </w:rPr>
        <w:t>Koneker</w:t>
      </w:r>
      <w:proofErr w:type="spellEnd"/>
      <w:r>
        <w:rPr>
          <w:szCs w:val="21"/>
        </w:rPr>
        <w:t xml:space="preserve"> &amp; Bassett, 1978)</w:t>
      </w:r>
      <w:r>
        <w:rPr>
          <w:rFonts w:hint="eastAsia"/>
          <w:szCs w:val="21"/>
          <w:lang w:eastAsia="zh-CN"/>
        </w:rPr>
        <w:t>,</w:t>
      </w:r>
      <w:r>
        <w:rPr>
          <w:szCs w:val="21"/>
          <w:lang w:eastAsia="zh-CN"/>
        </w:rPr>
        <w:t xml:space="preserve"> </w:t>
      </w:r>
      <w:r>
        <w:rPr>
          <w:szCs w:val="21"/>
        </w:rPr>
        <w:t>as an</w:t>
      </w:r>
      <w:r w:rsidRPr="002C7AB5">
        <w:rPr>
          <w:szCs w:val="21"/>
        </w:rPr>
        <w:t xml:space="preserve"> extension of the </w:t>
      </w:r>
      <w:r>
        <w:rPr>
          <w:szCs w:val="21"/>
        </w:rPr>
        <w:t>classical regression</w:t>
      </w:r>
      <w:r w:rsidRPr="002C7AB5">
        <w:rPr>
          <w:szCs w:val="21"/>
        </w:rPr>
        <w:t xml:space="preserve"> model</w:t>
      </w:r>
      <w:r>
        <w:rPr>
          <w:szCs w:val="21"/>
        </w:rPr>
        <w:t xml:space="preserve"> and the p</w:t>
      </w:r>
      <w:r w:rsidRPr="002C7AB5">
        <w:rPr>
          <w:szCs w:val="21"/>
        </w:rPr>
        <w:t>anel quantile regression is quantile regression</w:t>
      </w:r>
      <w:r>
        <w:rPr>
          <w:szCs w:val="21"/>
        </w:rPr>
        <w:t xml:space="preserve"> using panel data</w:t>
      </w:r>
      <w:r w:rsidRPr="002C7AB5">
        <w:rPr>
          <w:szCs w:val="21"/>
        </w:rPr>
        <w:t xml:space="preserve">. Considered a linear model of the </w:t>
      </w:r>
      <m:oMath>
        <m:r>
          <m:rPr>
            <m:sty m:val="p"/>
          </m:rPr>
          <w:rPr>
            <w:rFonts w:ascii="Cambria Math" w:hAnsi="Cambria Math"/>
            <w:szCs w:val="21"/>
          </w:rPr>
          <m:t>τ</m:t>
        </m:r>
      </m:oMath>
      <w:r w:rsidRPr="008612E3">
        <w:rPr>
          <w:rFonts w:hint="eastAsia"/>
          <w:szCs w:val="21"/>
        </w:rPr>
        <w:t>t</w:t>
      </w:r>
      <w:r w:rsidRPr="008612E3">
        <w:rPr>
          <w:szCs w:val="21"/>
        </w:rPr>
        <w:t>h quantile</w:t>
      </w:r>
    </w:p>
    <w:p w14:paraId="74E888C7" w14:textId="77777777" w:rsidR="004D1496" w:rsidRPr="008612E3" w:rsidRDefault="004D1496" w:rsidP="004D1496">
      <w:pPr>
        <w:shd w:val="clear" w:color="auto" w:fill="FFFFFF"/>
        <w:ind w:firstLineChars="200" w:firstLine="480"/>
        <w:jc w:val="center"/>
        <w:rPr>
          <w:szCs w:val="21"/>
        </w:rPr>
      </w:pPr>
      <m:oMath>
        <m:sSub>
          <m:sSubPr>
            <m:ctrlPr>
              <w:rPr>
                <w:rFonts w:ascii="Cambria Math" w:hAnsi="Cambria Math"/>
                <w:szCs w:val="21"/>
              </w:rPr>
            </m:ctrlPr>
          </m:sSubPr>
          <m:e>
            <m:r>
              <w:rPr>
                <w:rFonts w:ascii="Cambria Math" w:hAnsi="Cambria Math"/>
                <w:szCs w:val="21"/>
              </w:rPr>
              <m:t>y</m:t>
            </m:r>
          </m:e>
          <m:sub>
            <m:r>
              <w:rPr>
                <w:rFonts w:ascii="Cambria Math" w:hAnsi="Cambria Math"/>
                <w:szCs w:val="21"/>
              </w:rPr>
              <m:t>i</m:t>
            </m:r>
          </m:sub>
        </m:sSub>
        <m:r>
          <m:rPr>
            <m:sty m:val="p"/>
          </m:rPr>
          <w:rPr>
            <w:rFonts w:ascii="Cambria Math" w:hAnsi="Cambria Math"/>
            <w:szCs w:val="21"/>
          </w:rPr>
          <m:t>=</m:t>
        </m:r>
        <m:sSubSup>
          <m:sSubSupPr>
            <m:ctrlPr>
              <w:rPr>
                <w:rFonts w:ascii="Cambria Math" w:hAnsi="Cambria Math"/>
                <w:szCs w:val="21"/>
              </w:rPr>
            </m:ctrlPr>
          </m:sSubSupPr>
          <m:e>
            <m:r>
              <w:rPr>
                <w:rFonts w:ascii="Cambria Math" w:hAnsi="Cambria Math"/>
                <w:szCs w:val="21"/>
              </w:rPr>
              <m:t>x</m:t>
            </m:r>
          </m:e>
          <m:sub>
            <m:r>
              <w:rPr>
                <w:rFonts w:ascii="Cambria Math" w:hAnsi="Cambria Math"/>
                <w:szCs w:val="21"/>
              </w:rPr>
              <m:t>i</m:t>
            </m:r>
          </m:sub>
          <m:sup>
            <m:r>
              <w:rPr>
                <w:rFonts w:ascii="Cambria Math" w:hAnsi="Cambria Math"/>
                <w:szCs w:val="21"/>
              </w:rPr>
              <m:t>T</m:t>
            </m:r>
          </m:sup>
        </m:sSubSup>
        <m:sSub>
          <m:sSubPr>
            <m:ctrlPr>
              <w:rPr>
                <w:rFonts w:ascii="Cambria Math" w:hAnsi="Cambria Math"/>
                <w:szCs w:val="21"/>
              </w:rPr>
            </m:ctrlPr>
          </m:sSubPr>
          <m:e>
            <m:r>
              <w:rPr>
                <w:rFonts w:ascii="Cambria Math" w:hAnsi="Cambria Math"/>
                <w:szCs w:val="21"/>
              </w:rPr>
              <m:t>β</m:t>
            </m:r>
          </m:e>
          <m:sub>
            <m:r>
              <w:rPr>
                <w:rFonts w:ascii="Cambria Math" w:hAnsi="Cambria Math"/>
                <w:szCs w:val="21"/>
              </w:rPr>
              <m:t>τ</m:t>
            </m:r>
          </m:sub>
        </m:sSub>
        <m:r>
          <m:rPr>
            <m:sty m:val="p"/>
          </m:rPr>
          <w:rPr>
            <w:rFonts w:ascii="Cambria Math" w:hAnsi="Cambria Math"/>
            <w:szCs w:val="21"/>
          </w:rPr>
          <m:t>+</m:t>
        </m:r>
        <m:sSub>
          <m:sSubPr>
            <m:ctrlPr>
              <w:rPr>
                <w:rFonts w:ascii="Cambria Math" w:hAnsi="Cambria Math"/>
                <w:szCs w:val="21"/>
              </w:rPr>
            </m:ctrlPr>
          </m:sSubPr>
          <m:e>
            <m:r>
              <w:rPr>
                <w:rFonts w:ascii="Cambria Math" w:hAnsi="Cambria Math" w:hint="eastAsia"/>
                <w:szCs w:val="21"/>
              </w:rPr>
              <m:t>e</m:t>
            </m:r>
          </m:e>
          <m:sub>
            <m:r>
              <w:rPr>
                <w:rFonts w:ascii="Cambria Math" w:hAnsi="Cambria Math"/>
                <w:szCs w:val="21"/>
              </w:rPr>
              <m:t>i</m:t>
            </m:r>
          </m:sub>
        </m:sSub>
      </m:oMath>
      <w:proofErr w:type="gramStart"/>
      <w:r w:rsidRPr="008612E3">
        <w:rPr>
          <w:szCs w:val="21"/>
        </w:rPr>
        <w:t xml:space="preserve">,   </w:t>
      </w:r>
      <w:proofErr w:type="gramEnd"/>
      <w:r w:rsidRPr="008612E3">
        <w:rPr>
          <w:szCs w:val="21"/>
        </w:rPr>
        <w:t xml:space="preserve">     i=1,…,n,</w:t>
      </w:r>
    </w:p>
    <w:p w14:paraId="17D4337E" w14:textId="77777777" w:rsidR="004D1496" w:rsidRPr="008612E3" w:rsidRDefault="004D1496" w:rsidP="004D1496">
      <w:pPr>
        <w:shd w:val="clear" w:color="auto" w:fill="FFFFFF"/>
        <w:ind w:firstLineChars="200" w:firstLine="480"/>
        <w:jc w:val="both"/>
        <w:rPr>
          <w:szCs w:val="21"/>
        </w:rPr>
      </w:pPr>
      <w:r w:rsidRPr="008612E3">
        <w:rPr>
          <w:szCs w:val="21"/>
        </w:rPr>
        <w:t xml:space="preserve">Where the </w:t>
      </w:r>
      <m:oMath>
        <m:r>
          <m:rPr>
            <m:sty m:val="p"/>
          </m:rPr>
          <w:rPr>
            <w:rFonts w:ascii="Cambria Math" w:hAnsi="Cambria Math"/>
            <w:szCs w:val="21"/>
          </w:rPr>
          <m:t>τ</m:t>
        </m:r>
      </m:oMath>
      <w:r w:rsidRPr="008612E3">
        <w:rPr>
          <w:rFonts w:hint="eastAsia"/>
          <w:szCs w:val="21"/>
        </w:rPr>
        <w:t>t</w:t>
      </w:r>
      <w:r w:rsidRPr="008612E3">
        <w:rPr>
          <w:szCs w:val="21"/>
        </w:rPr>
        <w:t xml:space="preserve">h quantile of </w:t>
      </w:r>
      <m:oMath>
        <m:sSub>
          <m:sSubPr>
            <m:ctrlPr>
              <w:rPr>
                <w:rFonts w:ascii="Cambria Math" w:hAnsi="Cambria Math"/>
                <w:szCs w:val="21"/>
              </w:rPr>
            </m:ctrlPr>
          </m:sSubPr>
          <m:e>
            <m:r>
              <w:rPr>
                <w:rFonts w:ascii="Cambria Math" w:hAnsi="Cambria Math" w:hint="eastAsia"/>
                <w:szCs w:val="21"/>
              </w:rPr>
              <m:t>e</m:t>
            </m:r>
          </m:e>
          <m:sub>
            <m:r>
              <w:rPr>
                <w:rFonts w:ascii="Cambria Math" w:hAnsi="Cambria Math"/>
                <w:szCs w:val="21"/>
              </w:rPr>
              <m:t>i</m:t>
            </m:r>
          </m:sub>
        </m:sSub>
      </m:oMath>
      <w:r w:rsidRPr="008612E3">
        <w:rPr>
          <w:rFonts w:hint="eastAsia"/>
          <w:szCs w:val="21"/>
        </w:rPr>
        <w:t xml:space="preserve"> </w:t>
      </w:r>
      <w:r w:rsidRPr="008612E3">
        <w:rPr>
          <w:szCs w:val="21"/>
        </w:rPr>
        <w:t>is zero.</w:t>
      </w:r>
      <w:r>
        <w:rPr>
          <w:rFonts w:hint="eastAsia"/>
          <w:szCs w:val="21"/>
          <w:lang w:eastAsia="zh-CN"/>
        </w:rPr>
        <w:t xml:space="preserve"> </w:t>
      </w:r>
      <w:r w:rsidRPr="008612E3">
        <w:rPr>
          <w:rFonts w:hint="eastAsia"/>
          <w:szCs w:val="21"/>
        </w:rPr>
        <w:t>T</w:t>
      </w:r>
      <w:r w:rsidRPr="008612E3">
        <w:rPr>
          <w:szCs w:val="21"/>
        </w:rPr>
        <w:t xml:space="preserve">he estimator of </w:t>
      </w:r>
      <m:oMath>
        <m:sSub>
          <m:sSubPr>
            <m:ctrlPr>
              <w:rPr>
                <w:rFonts w:ascii="Cambria Math" w:hAnsi="Cambria Math"/>
                <w:szCs w:val="21"/>
              </w:rPr>
            </m:ctrlPr>
          </m:sSubPr>
          <m:e>
            <m:r>
              <w:rPr>
                <w:rFonts w:ascii="Cambria Math" w:hAnsi="Cambria Math"/>
                <w:szCs w:val="21"/>
              </w:rPr>
              <m:t>β</m:t>
            </m:r>
          </m:e>
          <m:sub>
            <m:r>
              <w:rPr>
                <w:rFonts w:ascii="Cambria Math" w:hAnsi="Cambria Math"/>
                <w:szCs w:val="21"/>
              </w:rPr>
              <m:t>τ</m:t>
            </m:r>
          </m:sub>
        </m:sSub>
      </m:oMath>
      <w:r w:rsidRPr="008612E3">
        <w:rPr>
          <w:rFonts w:hint="eastAsia"/>
          <w:szCs w:val="21"/>
        </w:rPr>
        <w:t xml:space="preserve"> </w:t>
      </w:r>
      <w:r w:rsidRPr="008612E3">
        <w:rPr>
          <w:szCs w:val="21"/>
        </w:rPr>
        <w:t>can be derived from</w:t>
      </w:r>
      <w:r>
        <w:rPr>
          <w:szCs w:val="21"/>
        </w:rPr>
        <w:t xml:space="preserve"> solving</w:t>
      </w:r>
      <w:r w:rsidRPr="008612E3">
        <w:rPr>
          <w:rFonts w:hint="eastAsia"/>
          <w:szCs w:val="21"/>
        </w:rPr>
        <w:t>:</w:t>
      </w:r>
    </w:p>
    <w:p w14:paraId="42C827F0" w14:textId="77777777" w:rsidR="004D1496" w:rsidRPr="008612E3" w:rsidRDefault="004D1496" w:rsidP="004D1496">
      <w:pPr>
        <w:shd w:val="clear" w:color="auto" w:fill="FFFFFF"/>
        <w:ind w:firstLineChars="200" w:firstLine="480"/>
        <w:rPr>
          <w:szCs w:val="21"/>
        </w:rPr>
      </w:pPr>
      <m:oMathPara>
        <m:oMath>
          <m:acc>
            <m:accPr>
              <m:ctrlPr>
                <w:rPr>
                  <w:rFonts w:ascii="Cambria Math" w:hAnsi="Cambria Math"/>
                  <w:szCs w:val="21"/>
                </w:rPr>
              </m:ctrlPr>
            </m:accPr>
            <m:e>
              <m:sSub>
                <m:sSubPr>
                  <m:ctrlPr>
                    <w:rPr>
                      <w:rFonts w:ascii="Cambria Math" w:hAnsi="Cambria Math"/>
                      <w:szCs w:val="21"/>
                    </w:rPr>
                  </m:ctrlPr>
                </m:sSubPr>
                <m:e>
                  <m:r>
                    <w:rPr>
                      <w:rFonts w:ascii="Cambria Math" w:hAnsi="Cambria Math"/>
                      <w:szCs w:val="21"/>
                    </w:rPr>
                    <m:t>β</m:t>
                  </m:r>
                </m:e>
                <m:sub>
                  <m:r>
                    <w:rPr>
                      <w:rFonts w:ascii="Cambria Math" w:hAnsi="Cambria Math"/>
                      <w:szCs w:val="21"/>
                    </w:rPr>
                    <m:t>τ</m:t>
                  </m:r>
                </m:sub>
              </m:sSub>
            </m:e>
          </m:acc>
          <m:r>
            <m:rPr>
              <m:sty m:val="p"/>
            </m:rPr>
            <w:rPr>
              <w:rFonts w:ascii="Cambria Math" w:hAnsi="Cambria Math"/>
              <w:szCs w:val="21"/>
            </w:rPr>
            <m:t>=</m:t>
          </m:r>
          <m:r>
            <w:rPr>
              <w:rFonts w:ascii="Cambria Math" w:hAnsi="Cambria Math"/>
              <w:szCs w:val="21"/>
            </w:rPr>
            <m:t>argmin</m:t>
          </m:r>
          <m:nary>
            <m:naryPr>
              <m:chr m:val="∑"/>
              <m:limLoc m:val="undOvr"/>
              <m:ctrlPr>
                <w:rPr>
                  <w:rFonts w:ascii="Cambria Math" w:hAnsi="Cambria Math"/>
                  <w:szCs w:val="21"/>
                </w:rPr>
              </m:ctrlPr>
            </m:naryPr>
            <m:sub>
              <m:r>
                <w:rPr>
                  <w:rFonts w:ascii="Cambria Math" w:hAnsi="Cambria Math"/>
                  <w:szCs w:val="21"/>
                </w:rPr>
                <m:t>i</m:t>
              </m:r>
              <m:r>
                <m:rPr>
                  <m:sty m:val="p"/>
                </m:rPr>
                <w:rPr>
                  <w:rFonts w:ascii="Cambria Math" w:hAnsi="Cambria Math"/>
                  <w:szCs w:val="21"/>
                </w:rPr>
                <m:t>=1</m:t>
              </m:r>
            </m:sub>
            <m:sup>
              <m:r>
                <w:rPr>
                  <w:rFonts w:ascii="Cambria Math" w:hAnsi="Cambria Math"/>
                  <w:szCs w:val="21"/>
                </w:rPr>
                <m:t>n</m:t>
              </m:r>
            </m:sup>
            <m:e>
              <m:sSub>
                <m:sSubPr>
                  <m:ctrlPr>
                    <w:rPr>
                      <w:rFonts w:ascii="Cambria Math" w:hAnsi="Cambria Math"/>
                      <w:szCs w:val="21"/>
                    </w:rPr>
                  </m:ctrlPr>
                </m:sSubPr>
                <m:e>
                  <m:r>
                    <w:rPr>
                      <w:rFonts w:ascii="Cambria Math" w:hAnsi="Cambria Math"/>
                      <w:szCs w:val="21"/>
                    </w:rPr>
                    <m:t>ρ</m:t>
                  </m:r>
                </m:e>
                <m:sub>
                  <m:r>
                    <w:rPr>
                      <w:rFonts w:ascii="Cambria Math" w:hAnsi="Cambria Math"/>
                      <w:szCs w:val="21"/>
                    </w:rPr>
                    <m:t>τ</m:t>
                  </m:r>
                </m:sub>
              </m:sSub>
              <m:r>
                <m:rPr>
                  <m:sty m:val="p"/>
                </m:rPr>
                <w:rPr>
                  <w:rFonts w:ascii="Cambria Math" w:hAnsi="Cambria Math"/>
                  <w:szCs w:val="21"/>
                </w:rPr>
                <m:t>(</m:t>
              </m:r>
              <m:sSub>
                <m:sSubPr>
                  <m:ctrlPr>
                    <w:rPr>
                      <w:rFonts w:ascii="Cambria Math" w:hAnsi="Cambria Math"/>
                      <w:szCs w:val="21"/>
                    </w:rPr>
                  </m:ctrlPr>
                </m:sSubPr>
                <m:e>
                  <m:r>
                    <w:rPr>
                      <w:rFonts w:ascii="Cambria Math" w:hAnsi="Cambria Math"/>
                      <w:szCs w:val="21"/>
                    </w:rPr>
                    <m:t>y</m:t>
                  </m:r>
                </m:e>
                <m:sub>
                  <m:r>
                    <w:rPr>
                      <w:rFonts w:ascii="Cambria Math" w:hAnsi="Cambria Math"/>
                      <w:szCs w:val="21"/>
                    </w:rPr>
                    <m:t>i</m:t>
                  </m:r>
                </m:sub>
              </m:sSub>
              <m:r>
                <m:rPr>
                  <m:sty m:val="p"/>
                </m:rPr>
                <w:rPr>
                  <w:rFonts w:ascii="Cambria Math" w:hAnsi="Cambria Math"/>
                  <w:szCs w:val="21"/>
                </w:rPr>
                <m:t>-</m:t>
              </m:r>
              <m:sSubSup>
                <m:sSubSupPr>
                  <m:ctrlPr>
                    <w:rPr>
                      <w:rFonts w:ascii="Cambria Math" w:hAnsi="Cambria Math"/>
                      <w:szCs w:val="21"/>
                    </w:rPr>
                  </m:ctrlPr>
                </m:sSubSupPr>
                <m:e>
                  <m:r>
                    <w:rPr>
                      <w:rFonts w:ascii="Cambria Math" w:hAnsi="Cambria Math"/>
                      <w:szCs w:val="21"/>
                    </w:rPr>
                    <m:t>x</m:t>
                  </m:r>
                </m:e>
                <m:sub>
                  <m:r>
                    <w:rPr>
                      <w:rFonts w:ascii="Cambria Math" w:hAnsi="Cambria Math"/>
                      <w:szCs w:val="21"/>
                    </w:rPr>
                    <m:t>i</m:t>
                  </m:r>
                </m:sub>
                <m:sup>
                  <m:r>
                    <w:rPr>
                      <w:rFonts w:ascii="Cambria Math" w:hAnsi="Cambria Math"/>
                      <w:szCs w:val="21"/>
                    </w:rPr>
                    <m:t>T</m:t>
                  </m:r>
                </m:sup>
              </m:sSubSup>
              <m:r>
                <w:rPr>
                  <w:rFonts w:ascii="Cambria Math" w:hAnsi="Cambria Math"/>
                  <w:szCs w:val="21"/>
                </w:rPr>
                <m:t>β</m:t>
              </m:r>
              <m:r>
                <m:rPr>
                  <m:sty m:val="p"/>
                </m:rPr>
                <w:rPr>
                  <w:rFonts w:ascii="Cambria Math" w:hAnsi="Cambria Math" w:hint="eastAsia"/>
                  <w:szCs w:val="21"/>
                </w:rPr>
                <m:t>)</m:t>
              </m:r>
            </m:e>
          </m:nary>
        </m:oMath>
      </m:oMathPara>
    </w:p>
    <w:p w14:paraId="13B100C0" w14:textId="77777777" w:rsidR="004D1496" w:rsidRPr="0092134D" w:rsidRDefault="004D1496" w:rsidP="004D1496">
      <w:pPr>
        <w:snapToGrid w:val="0"/>
        <w:ind w:firstLineChars="200" w:firstLine="480"/>
        <w:jc w:val="both"/>
        <w:rPr>
          <w:szCs w:val="21"/>
          <w:highlight w:val="lightGray"/>
        </w:rPr>
      </w:pPr>
      <w:r>
        <w:rPr>
          <w:szCs w:val="21"/>
        </w:rPr>
        <w:t xml:space="preserve">The </w:t>
      </w:r>
      <w:r w:rsidRPr="00FD06D6">
        <w:rPr>
          <w:szCs w:val="21"/>
        </w:rPr>
        <w:t xml:space="preserve">quantile regressions are modelled as the conditional quantiles of the dependent variable and solved by minimizing the sum of weighted residual absolute values of residuals </w:t>
      </w:r>
      <w:r>
        <w:rPr>
          <w:szCs w:val="21"/>
        </w:rPr>
        <w:t>instead of</w:t>
      </w:r>
      <w:r w:rsidRPr="00FD06D6">
        <w:rPr>
          <w:szCs w:val="21"/>
        </w:rPr>
        <w:t xml:space="preserve"> minimizes the sum of squared residuals</w:t>
      </w:r>
      <w:r>
        <w:rPr>
          <w:szCs w:val="21"/>
        </w:rPr>
        <w:t xml:space="preserve"> in OLS estimates</w:t>
      </w:r>
      <w:r w:rsidRPr="00FD06D6">
        <w:rPr>
          <w:szCs w:val="21"/>
        </w:rPr>
        <w:t>.</w:t>
      </w:r>
      <w:r w:rsidRPr="0092559E">
        <w:rPr>
          <w:szCs w:val="21"/>
          <w:highlight w:val="lightGray"/>
        </w:rPr>
        <w:t xml:space="preserve"> Compared with linear mod</w:t>
      </w:r>
      <w:r w:rsidRPr="00520121">
        <w:rPr>
          <w:szCs w:val="21"/>
          <w:highlight w:val="lightGray"/>
        </w:rPr>
        <w:t>els, the quantile models are often less biased to skewed data and could capture</w:t>
      </w:r>
      <w:r w:rsidRPr="0092134D">
        <w:rPr>
          <w:szCs w:val="21"/>
          <w:highlight w:val="lightGray"/>
        </w:rPr>
        <w:t xml:space="preserve"> varying effects. Therefore, quantile regressions fit non-normal distributed data and result in more robust estimates.</w:t>
      </w:r>
    </w:p>
    <w:p w14:paraId="08768212" w14:textId="77777777" w:rsidR="004D1496" w:rsidRDefault="004D1496" w:rsidP="004D1496">
      <w:pPr>
        <w:snapToGrid w:val="0"/>
        <w:ind w:firstLineChars="200" w:firstLine="480"/>
        <w:jc w:val="both"/>
        <w:rPr>
          <w:szCs w:val="21"/>
        </w:rPr>
      </w:pPr>
      <w:r w:rsidRPr="0092134D">
        <w:rPr>
          <w:szCs w:val="21"/>
          <w:highlight w:val="lightGray"/>
        </w:rPr>
        <w:t>In addition, quantile regressions are well-known to be more robust to the outliers and require much weaker assumptions for the distribution of the error term compared with classical linear regressions.</w:t>
      </w:r>
    </w:p>
    <w:p w14:paraId="4568A87B" w14:textId="77777777" w:rsidR="004D1496" w:rsidRPr="00A4552B" w:rsidRDefault="004D1496" w:rsidP="004D1496">
      <w:pPr>
        <w:snapToGrid w:val="0"/>
        <w:ind w:firstLineChars="200" w:firstLine="480"/>
        <w:jc w:val="both"/>
      </w:pPr>
      <w:r>
        <w:t xml:space="preserve">The panel data quantile regression is the extension of quantile regression in panel data </w:t>
      </w:r>
      <w:r w:rsidRPr="009D54D5">
        <w:t xml:space="preserve">by </w:t>
      </w:r>
      <w:proofErr w:type="spellStart"/>
      <w:r w:rsidRPr="009D54D5">
        <w:t>Koenker</w:t>
      </w:r>
      <w:proofErr w:type="spellEnd"/>
      <w:r w:rsidRPr="009D54D5">
        <w:t xml:space="preserve"> (2004)</w:t>
      </w:r>
      <w:r>
        <w:t>.</w:t>
      </w:r>
      <w:r w:rsidRPr="009D54D5">
        <w:t xml:space="preserve"> </w:t>
      </w:r>
      <w:r w:rsidRPr="00A4552B">
        <w:t>Considered Eq. (</w:t>
      </w:r>
      <w:r>
        <w:t>2</w:t>
      </w:r>
      <w:r w:rsidRPr="00A4552B">
        <w:t>)</w:t>
      </w:r>
      <w:r>
        <w:t xml:space="preserve"> where</w:t>
      </w:r>
      <w:r w:rsidRPr="00A4552B">
        <w:t xml:space="preserve"> the </w:t>
      </w:r>
      <m:oMath>
        <m:r>
          <m:rPr>
            <m:sty m:val="p"/>
          </m:rPr>
          <w:rPr>
            <w:rFonts w:ascii="Cambria Math" w:hAnsi="Cambria Math"/>
          </w:rPr>
          <m:t>τ</m:t>
        </m:r>
      </m:oMath>
      <w:r w:rsidRPr="00A4552B">
        <w:t xml:space="preserve">th quantile of the conditional distribution of </w:t>
      </w:r>
      <m:oMath>
        <m:sSub>
          <m:sSubPr>
            <m:ctrlPr>
              <w:rPr>
                <w:rFonts w:ascii="Cambria Math" w:eastAsiaTheme="minorHAnsi" w:hAnsi="Cambria Math"/>
                <w:szCs w:val="21"/>
              </w:rPr>
            </m:ctrlPr>
          </m:sSubPr>
          <m:e>
            <m:r>
              <w:rPr>
                <w:rFonts w:ascii="Cambria Math" w:eastAsiaTheme="minorHAnsi" w:hAnsi="Cambria Math"/>
                <w:szCs w:val="21"/>
              </w:rPr>
              <m:t>lnincome</m:t>
            </m:r>
          </m:e>
          <m:sub>
            <m:r>
              <w:rPr>
                <w:rFonts w:ascii="Cambria Math" w:eastAsiaTheme="minorHAnsi" w:hAnsi="Cambria Math"/>
                <w:szCs w:val="21"/>
              </w:rPr>
              <m:t>it</m:t>
            </m:r>
          </m:sub>
        </m:sSub>
      </m:oMath>
      <w:r w:rsidRPr="00A4552B">
        <w:rPr>
          <w:szCs w:val="21"/>
        </w:rPr>
        <w:t xml:space="preserve"> given explanatory variable vector </w:t>
      </w:r>
      <m:oMath>
        <m:r>
          <w:rPr>
            <w:rFonts w:ascii="Cambria Math" w:eastAsiaTheme="minorHAnsi" w:hAnsi="Cambria Math"/>
            <w:sz w:val="22"/>
            <w:szCs w:val="21"/>
          </w:rPr>
          <m:t>X</m:t>
        </m:r>
      </m:oMath>
      <w:r w:rsidRPr="00A4552B">
        <w:rPr>
          <w:sz w:val="22"/>
          <w:szCs w:val="21"/>
        </w:rPr>
        <w:t xml:space="preserve"> </w:t>
      </w:r>
      <w:r w:rsidRPr="00A4552B">
        <w:rPr>
          <w:szCs w:val="21"/>
        </w:rPr>
        <w:t>is specified as</w:t>
      </w:r>
      <w:r w:rsidRPr="00A4552B">
        <w:t>:</w:t>
      </w:r>
    </w:p>
    <w:p w14:paraId="5B145C83" w14:textId="77777777" w:rsidR="004D1496" w:rsidRPr="00A4552B" w:rsidRDefault="004D1496" w:rsidP="004D1496">
      <w:pPr>
        <w:snapToGrid w:val="0"/>
        <w:ind w:firstLineChars="200" w:firstLine="440"/>
        <w:jc w:val="center"/>
      </w:pPr>
      <w:r w:rsidRPr="00A4552B">
        <w:rPr>
          <w:sz w:val="22"/>
          <w:szCs w:val="21"/>
        </w:rPr>
        <w:t xml:space="preserve">      </w:t>
      </w:r>
      <m:oMath>
        <m:r>
          <w:rPr>
            <w:rFonts w:ascii="Cambria Math" w:eastAsiaTheme="minorHAnsi" w:hAnsi="Cambria Math"/>
            <w:sz w:val="22"/>
            <w:szCs w:val="21"/>
          </w:rPr>
          <m:t xml:space="preserve"> </m:t>
        </m:r>
        <m:sSub>
          <m:sSubPr>
            <m:ctrlPr>
              <w:rPr>
                <w:rFonts w:ascii="Cambria Math" w:eastAsiaTheme="minorHAnsi" w:hAnsi="Cambria Math"/>
                <w:i/>
                <w:sz w:val="22"/>
                <w:szCs w:val="21"/>
              </w:rPr>
            </m:ctrlPr>
          </m:sSubPr>
          <m:e>
            <m:r>
              <w:rPr>
                <w:rFonts w:ascii="Cambria Math" w:eastAsiaTheme="minorHAnsi" w:hAnsi="Cambria Math"/>
                <w:sz w:val="22"/>
                <w:szCs w:val="21"/>
              </w:rPr>
              <m:t>Q</m:t>
            </m:r>
          </m:e>
          <m:sub>
            <m:r>
              <w:rPr>
                <w:rFonts w:ascii="Cambria Math" w:eastAsiaTheme="minorHAnsi" w:hAnsi="Cambria Math"/>
                <w:sz w:val="22"/>
                <w:szCs w:val="21"/>
              </w:rPr>
              <m:t>τ</m:t>
            </m:r>
          </m:sub>
        </m:sSub>
        <m:d>
          <m:dPr>
            <m:ctrlPr>
              <w:rPr>
                <w:rFonts w:ascii="Cambria Math" w:hAnsi="Cambria Math"/>
              </w:rPr>
            </m:ctrlPr>
          </m:dPr>
          <m:e>
            <m:sSub>
              <m:sSubPr>
                <m:ctrlPr>
                  <w:rPr>
                    <w:rFonts w:ascii="Cambria Math" w:hAnsi="Cambria Math"/>
                  </w:rPr>
                </m:ctrlPr>
              </m:sSubPr>
              <m:e>
                <m:r>
                  <w:rPr>
                    <w:rFonts w:ascii="Cambria Math" w:hAnsi="Cambria Math"/>
                  </w:rPr>
                  <m:t>lnwage</m:t>
                </m:r>
              </m:e>
              <m:sub>
                <m:r>
                  <w:rPr>
                    <w:rFonts w:ascii="Cambria Math" w:hAnsi="Cambria Math"/>
                  </w:rPr>
                  <m:t>it</m:t>
                </m:r>
              </m:sub>
            </m:sSub>
            <m:r>
              <m:rPr>
                <m:sty m:val="p"/>
              </m:rPr>
              <w:rPr>
                <w:rFonts w:ascii="Cambria Math" w:hAnsi="Cambria Math"/>
              </w:rPr>
              <m:t xml:space="preserve"> </m:t>
            </m:r>
          </m:e>
          <m:e>
            <m:r>
              <m:rPr>
                <m:sty m:val="p"/>
              </m:rPr>
              <w:rPr>
                <w:rFonts w:ascii="Cambria Math" w:hAnsi="Cambria Math"/>
              </w:rPr>
              <m:t xml:space="preserve"> </m:t>
            </m:r>
            <m:r>
              <w:rPr>
                <w:rFonts w:ascii="Cambria Math" w:hAnsi="Cambria Math"/>
              </w:rPr>
              <m:t>X</m:t>
            </m:r>
          </m:e>
        </m:d>
        <m:r>
          <m:rPr>
            <m:sty m:val="p"/>
          </m:rP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i</m:t>
            </m:r>
          </m:sub>
        </m:sSub>
        <m:r>
          <m:rPr>
            <m:sty m:val="p"/>
          </m:rP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T</m:t>
            </m:r>
          </m:sup>
        </m:sSup>
        <m:r>
          <w:rPr>
            <w:rFonts w:ascii="Cambria Math" w:hAnsi="Cambria Math"/>
          </w:rPr>
          <m:t>β</m:t>
        </m:r>
        <m:r>
          <m:rPr>
            <m:sty m:val="p"/>
          </m:rPr>
          <w:rPr>
            <w:rFonts w:ascii="Cambria Math" w:hAnsi="Cambria Math"/>
          </w:rPr>
          <m:t>(</m:t>
        </m:r>
        <m:r>
          <w:rPr>
            <w:rFonts w:ascii="Cambria Math" w:hAnsi="Cambria Math"/>
          </w:rPr>
          <m:t>τ</m:t>
        </m:r>
        <m:r>
          <m:rPr>
            <m:sty m:val="p"/>
          </m:rPr>
          <w:rPr>
            <w:rFonts w:ascii="Cambria Math" w:hAnsi="Cambria Math"/>
          </w:rPr>
          <m:t>),            τ∈(0,1).</m:t>
        </m:r>
      </m:oMath>
      <w:r w:rsidRPr="00A4552B">
        <w:t xml:space="preserve">          (</w:t>
      </w:r>
      <w:r>
        <w:t>3</w:t>
      </w:r>
      <w:r w:rsidRPr="00A4552B">
        <w:t>)</w:t>
      </w:r>
    </w:p>
    <w:p w14:paraId="372DE1A9" w14:textId="77777777" w:rsidR="004D1496" w:rsidRDefault="004D1496" w:rsidP="004D1496">
      <w:pPr>
        <w:snapToGrid w:val="0"/>
        <w:ind w:firstLineChars="200" w:firstLine="480"/>
        <w:jc w:val="both"/>
        <w:rPr>
          <w:szCs w:val="21"/>
        </w:rPr>
      </w:pPr>
      <w:r>
        <w:t>W</w:t>
      </w:r>
      <w:r w:rsidRPr="00A4552B">
        <w:t>here</w:t>
      </w:r>
      <m:oMath>
        <m:r>
          <m:rPr>
            <m:sty m:val="p"/>
          </m:rPr>
          <w:rPr>
            <w:rFonts w:ascii="Cambria Math" w:hAnsi="Cambria Math"/>
          </w:rPr>
          <m:t xml:space="preserve"> </m:t>
        </m:r>
        <m:sSub>
          <m:sSubPr>
            <m:ctrlPr>
              <w:rPr>
                <w:rFonts w:ascii="Cambria Math" w:hAnsi="Cambria Math"/>
              </w:rPr>
            </m:ctrlPr>
          </m:sSubPr>
          <m:e>
            <m:r>
              <w:rPr>
                <w:rFonts w:ascii="Cambria Math" w:hAnsi="Cambria Math"/>
              </w:rPr>
              <m:t>Q</m:t>
            </m:r>
          </m:e>
          <m:sub>
            <m:r>
              <w:rPr>
                <w:rFonts w:ascii="Cambria Math" w:hAnsi="Cambria Math"/>
              </w:rPr>
              <m:t>τ</m:t>
            </m:r>
          </m:sub>
        </m:sSub>
        <m:d>
          <m:dPr>
            <m:ctrlPr>
              <w:rPr>
                <w:rFonts w:ascii="Cambria Math" w:hAnsi="Cambria Math"/>
              </w:rPr>
            </m:ctrlPr>
          </m:dPr>
          <m:e>
            <m:sSub>
              <m:sSubPr>
                <m:ctrlPr>
                  <w:rPr>
                    <w:rFonts w:ascii="Cambria Math" w:hAnsi="Cambria Math"/>
                  </w:rPr>
                </m:ctrlPr>
              </m:sSubPr>
              <m:e>
                <m:r>
                  <w:rPr>
                    <w:rFonts w:ascii="Cambria Math" w:hAnsi="Cambria Math"/>
                  </w:rPr>
                  <m:t>lnwage</m:t>
                </m:r>
              </m:e>
              <m:sub>
                <m:r>
                  <w:rPr>
                    <w:rFonts w:ascii="Cambria Math" w:hAnsi="Cambria Math"/>
                  </w:rPr>
                  <m:t>it</m:t>
                </m:r>
              </m:sub>
            </m:sSub>
            <m:r>
              <m:rPr>
                <m:sty m:val="p"/>
              </m:rPr>
              <w:rPr>
                <w:rFonts w:ascii="Cambria Math" w:hAnsi="Cambria Math"/>
              </w:rPr>
              <m:t xml:space="preserve"> </m:t>
            </m:r>
          </m:e>
          <m:e>
            <m:r>
              <m:rPr>
                <m:sty m:val="p"/>
              </m:rPr>
              <w:rPr>
                <w:rFonts w:ascii="Cambria Math" w:hAnsi="Cambria Math"/>
              </w:rPr>
              <m:t xml:space="preserve"> </m:t>
            </m:r>
            <m:r>
              <w:rPr>
                <w:rFonts w:ascii="Cambria Math" w:hAnsi="Cambria Math"/>
              </w:rPr>
              <m:t>X</m:t>
            </m:r>
          </m:e>
        </m:d>
      </m:oMath>
      <w:r w:rsidRPr="00A4552B">
        <w:t xml:space="preserve"> denotes the quantile </w:t>
      </w:r>
      <m:oMath>
        <m:r>
          <m:rPr>
            <m:sty m:val="p"/>
          </m:rPr>
          <w:rPr>
            <w:rFonts w:ascii="Cambria Math" w:hAnsi="Cambria Math"/>
          </w:rPr>
          <m:t>τ</m:t>
        </m:r>
      </m:oMath>
      <w:r w:rsidRPr="00A4552B">
        <w:t xml:space="preserve"> of log </w:t>
      </w:r>
      <w:r>
        <w:t>monthly wage</w:t>
      </w:r>
      <w:r w:rsidRPr="00A4552B">
        <w:t xml:space="preserve"> conditional on the vector of regressors.</w:t>
      </w:r>
    </w:p>
    <w:p w14:paraId="7636E296" w14:textId="77777777" w:rsidR="004D1496" w:rsidRDefault="004D1496" w:rsidP="004D1496">
      <w:pPr>
        <w:snapToGrid w:val="0"/>
        <w:ind w:rightChars="100" w:right="240" w:firstLineChars="200" w:firstLine="480"/>
        <w:jc w:val="both"/>
        <w:rPr>
          <w:lang w:eastAsia="zh-CN"/>
        </w:rPr>
      </w:pPr>
      <w:r w:rsidRPr="0092134D">
        <w:rPr>
          <w:szCs w:val="21"/>
          <w:highlight w:val="cyan"/>
        </w:rPr>
        <w:lastRenderedPageBreak/>
        <w:t>The panel quantile model combines the advantages of panel data and quantile regression</w:t>
      </w:r>
      <w:r w:rsidRPr="0092134D">
        <w:rPr>
          <w:szCs w:val="21"/>
          <w:highlight w:val="cyan"/>
          <w:lang w:eastAsia="zh-CN"/>
        </w:rPr>
        <w:t xml:space="preserve">, in the sense that it effectively controls unobserved individual heterogeneity while being more robust to functional misspecification. Using panel quantile regression, we </w:t>
      </w:r>
      <w:proofErr w:type="gramStart"/>
      <w:r w:rsidRPr="0092134D">
        <w:rPr>
          <w:szCs w:val="21"/>
          <w:highlight w:val="cyan"/>
          <w:lang w:eastAsia="zh-CN"/>
        </w:rPr>
        <w:t>are able to</w:t>
      </w:r>
      <w:proofErr w:type="gramEnd"/>
      <w:r w:rsidRPr="0092134D">
        <w:rPr>
          <w:szCs w:val="21"/>
          <w:highlight w:val="cyan"/>
          <w:lang w:eastAsia="zh-CN"/>
        </w:rPr>
        <w:t xml:space="preserve"> recover </w:t>
      </w:r>
      <w:r w:rsidRPr="0092134D">
        <w:rPr>
          <w:szCs w:val="21"/>
          <w:highlight w:val="cyan"/>
        </w:rPr>
        <w:t xml:space="preserve">the relationship between the dependent variable and other covariant based on the distribution of dependent variable at different quantiles (Gu &amp; </w:t>
      </w:r>
      <w:proofErr w:type="spellStart"/>
      <w:r w:rsidRPr="0092134D">
        <w:rPr>
          <w:szCs w:val="21"/>
          <w:highlight w:val="cyan"/>
        </w:rPr>
        <w:t>Volgushev</w:t>
      </w:r>
      <w:proofErr w:type="spellEnd"/>
      <w:r w:rsidRPr="0092134D">
        <w:rPr>
          <w:szCs w:val="21"/>
          <w:highlight w:val="cyan"/>
        </w:rPr>
        <w:t>, 2019). The results of panel quantile regression show the different effects for specific quantile with robustness, which is suitable for our research.</w:t>
      </w:r>
    </w:p>
    <w:p w14:paraId="329F9EA9" w14:textId="77777777" w:rsidR="004D1496" w:rsidRDefault="004D1496" w:rsidP="004D1496">
      <w:pPr>
        <w:snapToGrid w:val="0"/>
        <w:ind w:firstLineChars="200" w:firstLine="480"/>
        <w:jc w:val="both"/>
        <w:rPr>
          <w:rFonts w:ascii="Verdana" w:hAnsi="Verdana"/>
          <w:color w:val="000033"/>
          <w:sz w:val="17"/>
          <w:szCs w:val="17"/>
        </w:rPr>
      </w:pPr>
      <w:r>
        <w:rPr>
          <w:lang w:eastAsia="zh-CN"/>
        </w:rPr>
        <w:t xml:space="preserve">In addition, </w:t>
      </w:r>
      <w:r w:rsidRPr="0092134D">
        <w:rPr>
          <w:highlight w:val="cyan"/>
          <w:lang w:eastAsia="zh-CN"/>
        </w:rPr>
        <w:t>we are also interested in the heterogeneity of the health-income effect among different demographic and socio-economic groups</w:t>
      </w:r>
      <w:r>
        <w:rPr>
          <w:lang w:eastAsia="zh-CN"/>
        </w:rPr>
        <w:t xml:space="preserve"> measured as sex, register residence and residential area. As male and female workers are endowed with different physical and mental capacity, they are expected to have different levels of health and income (Z</w:t>
      </w:r>
      <w:r>
        <w:rPr>
          <w:rFonts w:hint="eastAsia"/>
          <w:lang w:eastAsia="zh-CN"/>
        </w:rPr>
        <w:t>hang</w:t>
      </w:r>
      <w:r>
        <w:rPr>
          <w:lang w:eastAsia="zh-CN"/>
        </w:rPr>
        <w:t xml:space="preserve"> et al., 2015; Hare, 2019). </w:t>
      </w:r>
      <w:r w:rsidRPr="00932C7E">
        <w:rPr>
          <w:rFonts w:hint="eastAsia"/>
        </w:rPr>
        <w:t>A</w:t>
      </w:r>
      <w:r w:rsidRPr="00932C7E">
        <w:t xml:space="preserve">ccording to the existing </w:t>
      </w:r>
      <w:r>
        <w:t>literature</w:t>
      </w:r>
      <w:r w:rsidRPr="00932C7E">
        <w:t>, there are vast differences between rural and urban residents in China,</w:t>
      </w:r>
      <w:r>
        <w:t xml:space="preserve"> with</w:t>
      </w:r>
      <w:r w:rsidRPr="00932C7E">
        <w:t xml:space="preserve"> the effect of health on wages is more </w:t>
      </w:r>
      <w:r>
        <w:t>pronounced</w:t>
      </w:r>
      <w:r w:rsidRPr="00932C7E">
        <w:t xml:space="preserve"> for rural residents (Wei, 2004; Liu &amp; Li, 2008).</w:t>
      </w:r>
      <w:r>
        <w:t xml:space="preserve"> Moreover, we test the health impact based on residential area. </w:t>
      </w:r>
    </w:p>
    <w:p w14:paraId="30969123" w14:textId="77777777" w:rsidR="004D1496" w:rsidRPr="00DC4B75" w:rsidRDefault="004D1496" w:rsidP="004D1496">
      <w:pPr>
        <w:snapToGrid w:val="0"/>
        <w:ind w:firstLineChars="200" w:firstLine="480"/>
        <w:jc w:val="both"/>
        <w:rPr>
          <w:rFonts w:ascii="Verdana" w:hAnsi="Verdana"/>
          <w:color w:val="000033"/>
          <w:sz w:val="17"/>
          <w:szCs w:val="17"/>
        </w:rPr>
      </w:pPr>
      <w:r w:rsidRPr="0092134D">
        <w:rPr>
          <w:highlight w:val="cyan"/>
          <w:lang w:eastAsia="zh-CN"/>
        </w:rPr>
        <w:t xml:space="preserve">Finally, we analyse the influence mechanism of health-income </w:t>
      </w:r>
      <w:proofErr w:type="gramStart"/>
      <w:r w:rsidRPr="0092134D">
        <w:rPr>
          <w:highlight w:val="cyan"/>
          <w:lang w:eastAsia="zh-CN"/>
        </w:rPr>
        <w:t>effect</w:t>
      </w:r>
      <w:r>
        <w:rPr>
          <w:lang w:eastAsia="zh-CN"/>
        </w:rPr>
        <w:t>, and</w:t>
      </w:r>
      <w:proofErr w:type="gramEnd"/>
      <w:r>
        <w:rPr>
          <w:lang w:eastAsia="zh-CN"/>
        </w:rPr>
        <w:t xml:space="preserve"> discuss the influence path of health on income by adding the interaction terms between health and other variables.</w:t>
      </w:r>
    </w:p>
    <w:p w14:paraId="1B4ABA18" w14:textId="77777777" w:rsidR="004D1496" w:rsidRPr="00745452" w:rsidRDefault="004D1496" w:rsidP="004D1496">
      <w:pPr>
        <w:snapToGrid w:val="0"/>
        <w:ind w:firstLineChars="200" w:firstLine="480"/>
        <w:jc w:val="both"/>
      </w:pPr>
      <w:r w:rsidRPr="00310AD6">
        <w:t>Con</w:t>
      </w:r>
      <w:r>
        <w:t>cerned with the problem of</w:t>
      </w:r>
      <w:r w:rsidRPr="00310AD6">
        <w:t xml:space="preserve"> multicollinearity </w:t>
      </w:r>
      <w:r>
        <w:t>in regressions</w:t>
      </w:r>
      <w:r w:rsidRPr="00310AD6">
        <w:t>, we report bootstra</w:t>
      </w:r>
      <w:r>
        <w:t>p</w:t>
      </w:r>
      <w:r w:rsidRPr="00310AD6">
        <w:t xml:space="preserve"> error</w:t>
      </w:r>
      <w:r>
        <w:t>s (bootstrap of 1,000 times)</w:t>
      </w:r>
      <w:r w:rsidRPr="00310AD6">
        <w:t xml:space="preserve"> </w:t>
      </w:r>
      <w:r>
        <w:t>rather than the asymptotic</w:t>
      </w:r>
      <w:r w:rsidRPr="00310AD6">
        <w:t xml:space="preserve"> standard error to guarantee the efficiency of the regression model</w:t>
      </w:r>
      <w:r w:rsidRPr="00310AD6">
        <w:rPr>
          <w:rFonts w:hint="eastAsia"/>
        </w:rPr>
        <w:t>.</w:t>
      </w:r>
      <w:r>
        <w:t xml:space="preserve"> </w:t>
      </w:r>
      <w:r w:rsidRPr="00A4552B">
        <w:t xml:space="preserve">All </w:t>
      </w:r>
      <w:r>
        <w:t>statistical and regression analysis</w:t>
      </w:r>
      <w:r w:rsidRPr="00A4552B">
        <w:t xml:space="preserve"> </w:t>
      </w:r>
      <w:r>
        <w:t>is</w:t>
      </w:r>
      <w:r w:rsidRPr="00A4552B">
        <w:t xml:space="preserve"> performed using R 3.5.1.</w:t>
      </w:r>
    </w:p>
    <w:p w14:paraId="20AB1C83" w14:textId="77777777" w:rsidR="00E95803" w:rsidRDefault="00E95803"/>
    <w:sectPr w:rsidR="00E958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0EBAD5" w14:textId="77777777" w:rsidR="00437F9D" w:rsidRDefault="00437F9D" w:rsidP="004D1496">
      <w:pPr>
        <w:spacing w:line="240" w:lineRule="auto"/>
      </w:pPr>
      <w:r>
        <w:separator/>
      </w:r>
    </w:p>
  </w:endnote>
  <w:endnote w:type="continuationSeparator" w:id="0">
    <w:p w14:paraId="597A0196" w14:textId="77777777" w:rsidR="00437F9D" w:rsidRDefault="00437F9D" w:rsidP="004D14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43AD1D" w14:textId="77777777" w:rsidR="00437F9D" w:rsidRDefault="00437F9D" w:rsidP="004D1496">
      <w:pPr>
        <w:spacing w:line="240" w:lineRule="auto"/>
      </w:pPr>
      <w:r>
        <w:separator/>
      </w:r>
    </w:p>
  </w:footnote>
  <w:footnote w:type="continuationSeparator" w:id="0">
    <w:p w14:paraId="2FC0F8A7" w14:textId="77777777" w:rsidR="00437F9D" w:rsidRDefault="00437F9D" w:rsidP="004D1496">
      <w:pPr>
        <w:spacing w:line="240" w:lineRule="auto"/>
      </w:pPr>
      <w:r>
        <w:continuationSeparator/>
      </w:r>
    </w:p>
  </w:footnote>
  <w:footnote w:id="1">
    <w:p w14:paraId="1CD1DE0C" w14:textId="77777777" w:rsidR="004D1496" w:rsidRDefault="004D1496" w:rsidP="004D1496">
      <w:pPr>
        <w:pStyle w:val="FootnoteText"/>
        <w:rPr>
          <w:lang w:eastAsia="zh-CN"/>
        </w:rPr>
      </w:pPr>
      <w:r w:rsidRPr="0092134D">
        <w:rPr>
          <w:rStyle w:val="FootnoteReference"/>
          <w:highlight w:val="yellow"/>
        </w:rPr>
        <w:footnoteRef/>
      </w:r>
      <w:r w:rsidRPr="0092134D">
        <w:rPr>
          <w:highlight w:val="yellow"/>
        </w:rPr>
        <w:t xml:space="preserve"> </w:t>
      </w:r>
      <w:r w:rsidRPr="0092134D">
        <w:rPr>
          <w:highlight w:val="yellow"/>
          <w:lang w:eastAsia="zh-CN"/>
        </w:rPr>
        <w:t>The percentage of workers who reported their health as “excellent” and “very good” is 5.3% and 8.8%, respectively. The effect of aggregated sample is 2.4% understated compared to the separated results. We believe it is acceptable and will not bias the results.</w:t>
      </w:r>
    </w:p>
  </w:footnote>
  <w:footnote w:id="2">
    <w:p w14:paraId="3A403618" w14:textId="77777777" w:rsidR="004D1496" w:rsidRDefault="004D1496" w:rsidP="004D1496">
      <w:pPr>
        <w:pStyle w:val="FootnoteText"/>
        <w:snapToGrid w:val="0"/>
        <w:ind w:leftChars="0" w:left="0" w:firstLine="0"/>
      </w:pPr>
      <w:r>
        <w:rPr>
          <w:rStyle w:val="FootnoteReference"/>
        </w:rPr>
        <w:footnoteRef/>
      </w:r>
      <w:r>
        <w:t xml:space="preserve"> </w:t>
      </w:r>
      <w:r w:rsidRPr="009E1747">
        <w:rPr>
          <w:lang w:eastAsia="zh-CN"/>
        </w:rPr>
        <w:t xml:space="preserve">Beijing, Tianjin, Hebei, Shanghai, Jiangsu, Zhejiang, Fujian, Shandong, Guangdong </w:t>
      </w:r>
      <w:r>
        <w:rPr>
          <w:lang w:eastAsia="zh-CN"/>
        </w:rPr>
        <w:t>are</w:t>
      </w:r>
      <w:r w:rsidRPr="009E1747">
        <w:rPr>
          <w:lang w:eastAsia="zh-CN"/>
        </w:rPr>
        <w:t xml:space="preserve"> East China.</w:t>
      </w:r>
    </w:p>
    <w:p w14:paraId="4C68185A" w14:textId="77777777" w:rsidR="004D1496" w:rsidRDefault="004D1496" w:rsidP="004D1496">
      <w:pPr>
        <w:pStyle w:val="FootnoteText"/>
        <w:snapToGrid w:val="0"/>
      </w:pPr>
      <w:r w:rsidRPr="009E1747">
        <w:rPr>
          <w:lang w:eastAsia="zh-CN"/>
        </w:rPr>
        <w:t>Shanxi, Anhui, Jiangxi, Henan, Hubei, Hunan, a</w:t>
      </w:r>
      <w:r>
        <w:rPr>
          <w:lang w:eastAsia="zh-CN"/>
        </w:rPr>
        <w:t>re</w:t>
      </w:r>
      <w:r w:rsidRPr="009E1747">
        <w:rPr>
          <w:lang w:eastAsia="zh-CN"/>
        </w:rPr>
        <w:t xml:space="preserve"> Central China.</w:t>
      </w:r>
    </w:p>
    <w:p w14:paraId="507B022C" w14:textId="77777777" w:rsidR="004D1496" w:rsidRDefault="004D1496" w:rsidP="004D1496">
      <w:pPr>
        <w:pStyle w:val="FootnoteText"/>
        <w:snapToGrid w:val="0"/>
        <w:rPr>
          <w:lang w:eastAsia="zh-CN"/>
        </w:rPr>
      </w:pPr>
      <w:r w:rsidRPr="009E1747">
        <w:rPr>
          <w:lang w:eastAsia="zh-CN"/>
        </w:rPr>
        <w:t>Liaoning, Jilin, Heilongjiang a</w:t>
      </w:r>
      <w:r>
        <w:rPr>
          <w:lang w:eastAsia="zh-CN"/>
        </w:rPr>
        <w:t>re</w:t>
      </w:r>
      <w:r w:rsidRPr="009E1747">
        <w:rPr>
          <w:lang w:eastAsia="zh-CN"/>
        </w:rPr>
        <w:t xml:space="preserve"> Northeast China, </w:t>
      </w:r>
    </w:p>
    <w:p w14:paraId="1A0F24C8" w14:textId="77777777" w:rsidR="004D1496" w:rsidRDefault="004D1496" w:rsidP="004D1496">
      <w:pPr>
        <w:pStyle w:val="FootnoteText"/>
        <w:snapToGrid w:val="0"/>
        <w:rPr>
          <w:lang w:eastAsia="zh-CN"/>
        </w:rPr>
      </w:pPr>
      <w:r w:rsidRPr="009E1747">
        <w:rPr>
          <w:lang w:eastAsia="zh-CN"/>
        </w:rPr>
        <w:t>Guangxi, Chongqing, Sichuan, Guizhou, Yunnan, Shanxi, Gansu a</w:t>
      </w:r>
      <w:r>
        <w:rPr>
          <w:lang w:eastAsia="zh-CN"/>
        </w:rPr>
        <w:t>re</w:t>
      </w:r>
      <w:r w:rsidRPr="009E1747">
        <w:rPr>
          <w:lang w:eastAsia="zh-CN"/>
        </w:rPr>
        <w:t xml:space="preserve"> West China.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496"/>
    <w:rsid w:val="00437F9D"/>
    <w:rsid w:val="004D1496"/>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85F2D"/>
  <w15:chartTrackingRefBased/>
  <w15:docId w15:val="{5C7755B7-7214-4DDA-B2B2-438A05EE8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1496"/>
    <w:pPr>
      <w:spacing w:after="0" w:line="480" w:lineRule="auto"/>
    </w:pPr>
    <w:rPr>
      <w:rFonts w:ascii="Times New Roman" w:eastAsia="SimSu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rsid w:val="004D1496"/>
    <w:pPr>
      <w:spacing w:line="240" w:lineRule="auto"/>
      <w:ind w:leftChars="75" w:left="464" w:hanging="284"/>
      <w:jc w:val="both"/>
    </w:pPr>
    <w:rPr>
      <w:sz w:val="20"/>
      <w:szCs w:val="20"/>
    </w:rPr>
  </w:style>
  <w:style w:type="character" w:customStyle="1" w:styleId="FootnoteTextChar">
    <w:name w:val="Footnote Text Char"/>
    <w:basedOn w:val="DefaultParagraphFont"/>
    <w:link w:val="FootnoteText"/>
    <w:rsid w:val="004D1496"/>
    <w:rPr>
      <w:rFonts w:ascii="Times New Roman" w:eastAsia="SimSun" w:hAnsi="Times New Roman" w:cs="Times New Roman"/>
      <w:sz w:val="20"/>
      <w:szCs w:val="20"/>
      <w:lang w:val="en-GB" w:eastAsia="en-GB"/>
    </w:rPr>
  </w:style>
  <w:style w:type="character" w:styleId="FootnoteReference">
    <w:name w:val="footnote reference"/>
    <w:basedOn w:val="DefaultParagraphFont"/>
    <w:rsid w:val="004D1496"/>
    <w:rPr>
      <w:vertAlign w:val="superscript"/>
    </w:rPr>
  </w:style>
  <w:style w:type="table" w:styleId="TableGrid">
    <w:name w:val="Table Grid"/>
    <w:basedOn w:val="TableNormal"/>
    <w:uiPriority w:val="39"/>
    <w:rsid w:val="004D1496"/>
    <w:pPr>
      <w:spacing w:after="0" w:line="240" w:lineRule="auto"/>
    </w:pPr>
    <w:rPr>
      <w:rFonts w:eastAsiaTheme="minorEastAsia"/>
      <w:kern w:val="2"/>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1905</Words>
  <Characters>10859</Characters>
  <Application>Microsoft Office Word</Application>
  <DocSecurity>0</DocSecurity>
  <Lines>90</Lines>
  <Paragraphs>25</Paragraphs>
  <ScaleCrop>false</ScaleCrop>
  <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2020-05-19T23:47:00Z</dcterms:created>
  <dcterms:modified xsi:type="dcterms:W3CDTF">2020-05-19T23:47:00Z</dcterms:modified>
</cp:coreProperties>
</file>