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5F3A978" w14:textId="11A0EC70" w:rsidR="00E335BA" w:rsidRPr="00E335BA" w:rsidRDefault="00E335BA" w:rsidP="00E335BA">
      <w:pPr>
        <w:spacing w:line="480" w:lineRule="auto"/>
        <w:jc w:val="center"/>
        <w:rPr>
          <w:b/>
          <w:bCs/>
          <w:lang w:val="fr-FR"/>
        </w:rPr>
      </w:pPr>
      <w:proofErr w:type="spellStart"/>
      <w:r w:rsidRPr="00E335BA">
        <w:rPr>
          <w:b/>
          <w:bCs/>
          <w:lang w:val="fr-FR"/>
        </w:rPr>
        <w:t>Molines</w:t>
      </w:r>
      <w:proofErr w:type="spellEnd"/>
      <w:r w:rsidRPr="00E335BA">
        <w:rPr>
          <w:b/>
          <w:bCs/>
          <w:lang w:val="fr-FR"/>
        </w:rPr>
        <w:t xml:space="preserve"> </w:t>
      </w:r>
      <w:r w:rsidRPr="004C7B40">
        <w:rPr>
          <w:b/>
          <w:bCs/>
          <w:i/>
          <w:iCs/>
          <w:lang w:val="fr-FR"/>
        </w:rPr>
        <w:t>et al.</w:t>
      </w:r>
      <w:r>
        <w:rPr>
          <w:b/>
          <w:bCs/>
          <w:lang w:val="fr-FR"/>
        </w:rPr>
        <w:t xml:space="preserve">, 2020, </w:t>
      </w:r>
      <w:proofErr w:type="spellStart"/>
      <w:r w:rsidRPr="00E335BA">
        <w:rPr>
          <w:b/>
          <w:bCs/>
          <w:lang w:val="fr-FR"/>
        </w:rPr>
        <w:t>Supplemental</w:t>
      </w:r>
      <w:proofErr w:type="spellEnd"/>
      <w:r w:rsidRPr="00E335BA">
        <w:rPr>
          <w:b/>
          <w:bCs/>
          <w:lang w:val="fr-FR"/>
        </w:rPr>
        <w:t xml:space="preserve"> </w:t>
      </w:r>
      <w:proofErr w:type="spellStart"/>
      <w:r>
        <w:rPr>
          <w:b/>
          <w:bCs/>
          <w:lang w:val="fr-FR"/>
        </w:rPr>
        <w:t>M</w:t>
      </w:r>
      <w:r w:rsidRPr="00E335BA">
        <w:rPr>
          <w:b/>
          <w:bCs/>
          <w:lang w:val="fr-FR"/>
        </w:rPr>
        <w:t>aterial</w:t>
      </w:r>
      <w:proofErr w:type="spellEnd"/>
      <w:r w:rsidRPr="00E335BA">
        <w:rPr>
          <w:b/>
          <w:bCs/>
          <w:lang w:val="fr-FR"/>
        </w:rPr>
        <w:br/>
      </w:r>
    </w:p>
    <w:p w14:paraId="2DA1FB1E" w14:textId="5F1A1064" w:rsidR="006324D3" w:rsidRPr="0093274F" w:rsidRDefault="0093274F" w:rsidP="0093274F">
      <w:pPr>
        <w:spacing w:line="480" w:lineRule="auto"/>
        <w:rPr>
          <w:b/>
          <w:bCs/>
        </w:rPr>
      </w:pPr>
      <w:r w:rsidRPr="0093274F">
        <w:rPr>
          <w:b/>
          <w:bCs/>
        </w:rPr>
        <w:t>Methods</w:t>
      </w:r>
    </w:p>
    <w:p w14:paraId="0B22A191" w14:textId="77777777" w:rsidR="0093274F" w:rsidRPr="00396986" w:rsidRDefault="0093274F" w:rsidP="0093274F">
      <w:pPr>
        <w:spacing w:line="480" w:lineRule="auto"/>
      </w:pPr>
      <w:r w:rsidRPr="00396986">
        <w:t>Protein expression and purification</w:t>
      </w:r>
    </w:p>
    <w:p w14:paraId="4A9CDF3D" w14:textId="546E0979" w:rsidR="0093274F" w:rsidRPr="00396986" w:rsidRDefault="0093274F" w:rsidP="0093274F">
      <w:pPr>
        <w:spacing w:line="480" w:lineRule="auto"/>
      </w:pPr>
      <w:r w:rsidRPr="00476F9E">
        <w:rPr>
          <w:i/>
          <w:iCs/>
        </w:rPr>
        <w:t>EB1</w:t>
      </w:r>
      <w:r w:rsidRPr="00476F9E">
        <w:t xml:space="preserve"> –</w:t>
      </w:r>
      <w:r>
        <w:t xml:space="preserve"> </w:t>
      </w:r>
      <w:r w:rsidRPr="00FC0958">
        <w:t>Histidine-tag recombinant mouse EB1 was purified as described previously</w:t>
      </w:r>
      <w:r w:rsidR="00292365">
        <w:t xml:space="preserve"> </w:t>
      </w:r>
      <w:r w:rsidR="00001DEF">
        <w:fldChar w:fldCharType="begin" w:fldLock="1"/>
      </w:r>
      <w:r w:rsidR="00001DEF">
        <w:instrText>ADDIN CSL_CITATION {"citationItems":[{"id":"ITEM-1","itemData":{"DOI":"10.1038/ncb1703","ISSN":"14657392","abstract":"End binding 1 (EB1) is a plus-end-tracking protein (+TIP) that localizes to microtubule plus ends where it modulates their dynamics and interactions with intracellular organelles. Although the regulating activity of EB1 on microtubule dynamics has been studied in cells and purified systems, the molecular mechanisms involved in its specific activity are still unclear. Here, we describe how EB1 regulates the dynamics and structure of microtubules assembled from pure tubulin. We found that EB1 stimulates spontaneous nucleation and growth of microtubules, and promotes both catastrophes (transitions from growth to shrinkage) and rescues (reverse events). Electron cryomicroscopy showed that EB1 induces the initial formation of tubulin sheets, which rapidly close into the common 13-protofilament-microtubule architecture. Our results suggest that EB1 favours the lateral association of free tubulin at microtubule-sheet edges, thereby stimulating nucleation, sheet growth and closure. The reduction of sheet length at microtubule growing-ends together with the elimination of stressed microtubule lattices may account for catastrophes. Conversely, occasional binding of EB1 to the microtubule lattice may induce rescues.","author":[{"dropping-particle":"","family":"Vitre","given":"Benjamin","non-dropping-particle":"","parse-names":false,"suffix":""},{"dropping-particle":"","family":"Coquelle","given":"Frédéric M.","non-dropping-particle":"","parse-names":false,"suffix":""},{"dropping-particle":"","family":"Heichette","given":"Claire","non-dropping-particle":"","parse-names":false,"suffix":""},{"dropping-particle":"","family":"Garnier","given":"Cyrille","non-dropping-particle":"","parse-names":false,"suffix":""},{"dropping-particle":"","family":"Chrétien","given":"Denis","non-dropping-particle":"","parse-names":false,"suffix":""},{"dropping-particle":"","family":"Arnal","given":"Isabelle","non-dropping-particle":"","parse-names":false,"suffix":""}],"container-title":"Nature Cell Biology","id":"ITEM-1","issue":"4","issued":{"date-parts":[["2008"]]},"page":"415-421","title":"EB1 regulates microtubule dynamics and tubulin sheet closure in vitro","type":"article-journal","volume":"10"},"uris":["http://www.mendeley.com/documents/?uuid=0afac094-0734-3e7b-9b8a-c71284860ea2"]}],"mendeley":{"formattedCitation":"[1]","plainTextFormattedCitation":"[1]","previouslyFormattedCitation":"[1]"},"properties":{"noteIndex":0},"schema":"https://github.com/citation-style-language/schema/raw/master/csl-citation.json"}</w:instrText>
      </w:r>
      <w:r w:rsidR="00001DEF">
        <w:fldChar w:fldCharType="separate"/>
      </w:r>
      <w:r w:rsidR="00001DEF" w:rsidRPr="00001DEF">
        <w:rPr>
          <w:noProof/>
        </w:rPr>
        <w:t>[1]</w:t>
      </w:r>
      <w:r w:rsidR="00001DEF">
        <w:fldChar w:fldCharType="end"/>
      </w:r>
      <w:r w:rsidR="00001DEF">
        <w:t xml:space="preserve"> </w:t>
      </w:r>
      <w:r w:rsidRPr="00FC0958">
        <w:t xml:space="preserve">and stored in a BRB80 buffer (80 mM 1,4-piperazinediethanesulfonic acid, 1 mM ethylene glycol </w:t>
      </w:r>
      <w:proofErr w:type="spellStart"/>
      <w:r w:rsidRPr="00FC0958">
        <w:t>tetraacetic</w:t>
      </w:r>
      <w:proofErr w:type="spellEnd"/>
      <w:r w:rsidRPr="00FC0958">
        <w:t xml:space="preserve"> acid, 1 mM MgCl2, pH 6.8) containing 50 mM </w:t>
      </w:r>
      <w:proofErr w:type="spellStart"/>
      <w:r w:rsidRPr="00FC0958">
        <w:t>KCl</w:t>
      </w:r>
      <w:proofErr w:type="spellEnd"/>
      <w:r w:rsidRPr="00FC0958">
        <w:t>.</w:t>
      </w:r>
    </w:p>
    <w:p w14:paraId="7F2CFD66" w14:textId="7355655B" w:rsidR="0093274F" w:rsidRPr="0096583E" w:rsidRDefault="0093274F" w:rsidP="0093274F">
      <w:pPr>
        <w:spacing w:line="480" w:lineRule="auto"/>
        <w:jc w:val="both"/>
      </w:pPr>
      <w:r w:rsidRPr="00720016">
        <w:rPr>
          <w:i/>
          <w:iCs/>
        </w:rPr>
        <w:t>EB1-b</w:t>
      </w:r>
      <w:r>
        <w:t xml:space="preserve"> – The </w:t>
      </w:r>
      <w:r w:rsidRPr="00111C10">
        <w:t>pET32b</w:t>
      </w:r>
      <w:r>
        <w:t xml:space="preserve"> plasmid containing the EB1-b sequence from Komaki </w:t>
      </w:r>
      <w:r w:rsidRPr="00E967BF">
        <w:rPr>
          <w:i/>
          <w:iCs/>
        </w:rPr>
        <w:t>et al.</w:t>
      </w:r>
      <w:r>
        <w:t xml:space="preserve"> 2010 </w:t>
      </w:r>
      <w:r w:rsidR="00001DEF">
        <w:fldChar w:fldCharType="begin" w:fldLock="1"/>
      </w:r>
      <w:r w:rsidR="00001DEF">
        <w:instrText>ADDIN CSL_CITATION {"citationItems":[{"id":"ITEM-1","itemData":{"DOI":"10.1242/jcs.062703","ISSN":"00219533","abstract":"End-binding 1 (EB1) proteins are evolutionarily conserved plus-end-tracking proteins that localize to growing microtubule plus ends where they regulate microtubule dynamics and interactions with intracellular targets. Animal EB1 proteins have acidic C-terminal tails that might induce an autoinhibitory conformation. Although EB1 proteins with the same structural features occur in plants (EB1a and EB1b in Arabidopsis thaliana), a variant form (EB1c) is present that lacks the characteristic tail. We show that in Arabidopsis the tail region of EB1b, but not of EB1c, inhibits microtubule assembly in vitro. EB1a and EB1b form heterodimers with each other, but not with EB1c. Furthermore, the EB1 genes are expressed in various cell types of Arabidopsis, but the expression of EB1c is particularly strong in the meristematic cells where it is targeted to the nucleus by a nuclear localization signal in the C-terminal tail. Reduced expression of EB1c compromised the alignment of spindle and phragmoplast microtubules and caused frequent lagging of separating chromosomes at anaphase. Roots of the eb1c mutant were hypersensitive to a microtubule-disrupting drug and complete rescue of the mutant phenotype required the tail region of EB1c. These results suggest that a plant-specific EB1 subtype has evolved to function preferentially on the spindle microtubules by accumulating in the prophase nucleus.","author":[{"dropping-particle":"","family":"Komaki","given":"Shinichiro","non-dropping-particle":"","parse-names":false,"suffix":""},{"dropping-particle":"","family":"Abe","given":"Tatsuya","non-dropping-particle":"","parse-names":false,"suffix":""},{"dropping-particle":"","family":"Coutuer","given":"Silvie","non-dropping-particle":"","parse-names":false,"suffix":""},{"dropping-particle":"","family":"Inzé","given":"Dirk","non-dropping-particle":"","parse-names":false,"suffix":""},{"dropping-particle":"","family":"Russinova","given":"Eugenia","non-dropping-particle":"","parse-names":false,"suffix":""},{"dropping-particle":"","family":"Hashimoto","given":"Takashi","non-dropping-particle":"","parse-names":false,"suffix":""}],"container-title":"Journal of Cell Science","id":"ITEM-1","issue":"3","issued":{"date-parts":[["2010","2","1"]]},"page":"451-459","title":"Nuclear-localized subtype of end-binding 1 protein regulates spindle organization in Arabidopsis","type":"article-journal","volume":"123"},"uris":["http://www.mendeley.com/documents/?uuid=b94b45c4-5cca-36e5-bac2-a4485e87d847"]}],"mendeley":{"formattedCitation":"[2]","plainTextFormattedCitation":"[2]","previouslyFormattedCitation":"[2]"},"properties":{"noteIndex":0},"schema":"https://github.com/citation-style-language/schema/raw/master/csl-citation.json"}</w:instrText>
      </w:r>
      <w:r w:rsidR="00001DEF">
        <w:fldChar w:fldCharType="separate"/>
      </w:r>
      <w:r w:rsidR="00001DEF" w:rsidRPr="00001DEF">
        <w:rPr>
          <w:noProof/>
        </w:rPr>
        <w:t>[2]</w:t>
      </w:r>
      <w:r w:rsidR="00001DEF">
        <w:fldChar w:fldCharType="end"/>
      </w:r>
      <w:r w:rsidR="00001DEF">
        <w:t xml:space="preserve"> </w:t>
      </w:r>
      <w:r>
        <w:t xml:space="preserve">was transformed in </w:t>
      </w:r>
      <w:r w:rsidRPr="003F658C">
        <w:rPr>
          <w:i/>
          <w:iCs/>
        </w:rPr>
        <w:t>E. coli</w:t>
      </w:r>
      <w:r>
        <w:t xml:space="preserve"> BL21 </w:t>
      </w:r>
      <w:proofErr w:type="spellStart"/>
      <w:r>
        <w:t>pLys</w:t>
      </w:r>
      <w:proofErr w:type="spellEnd"/>
      <w:r>
        <w:t xml:space="preserve"> S strain. </w:t>
      </w:r>
      <w:r w:rsidRPr="008B7277">
        <w:t>Bacteria were grown at 37</w:t>
      </w:r>
      <w:r>
        <w:t>°</w:t>
      </w:r>
      <w:r w:rsidRPr="008B7277">
        <w:t>C overnight, diluted back to 0.0</w:t>
      </w:r>
      <w:r>
        <w:t>5</w:t>
      </w:r>
      <w:r w:rsidRPr="008B7277">
        <w:t xml:space="preserve"> OD</w:t>
      </w:r>
      <w:r w:rsidRPr="009235C7">
        <w:rPr>
          <w:vertAlign w:val="subscript"/>
        </w:rPr>
        <w:t>600</w:t>
      </w:r>
      <w:r>
        <w:t xml:space="preserve"> </w:t>
      </w:r>
      <w:r w:rsidRPr="008B7277">
        <w:t xml:space="preserve">and then </w:t>
      </w:r>
      <w:r>
        <w:t>grew at 37°C until OD</w:t>
      </w:r>
      <w:r w:rsidRPr="00111C10">
        <w:rPr>
          <w:vertAlign w:val="subscript"/>
        </w:rPr>
        <w:t>600</w:t>
      </w:r>
      <w:r>
        <w:t xml:space="preserve"> reached 0.5. At that point, expression was </w:t>
      </w:r>
      <w:r w:rsidRPr="008B7277">
        <w:t>induced with</w:t>
      </w:r>
      <w:r>
        <w:t xml:space="preserve"> </w:t>
      </w:r>
      <w:r w:rsidRPr="00111C10">
        <w:t>IPTG at 1 mM</w:t>
      </w:r>
      <w:r>
        <w:t xml:space="preserve"> for 5h at 32°C. After centrifugation, the pellet was suspended in 15 mL of lysis buffer then placed on ice for 30 minutes. The lysis buffer contains </w:t>
      </w:r>
      <w:r w:rsidRPr="00E954E1">
        <w:t>TRIS at 40 mM</w:t>
      </w:r>
      <w:r>
        <w:t xml:space="preserve"> (pH 7 with HCl)</w:t>
      </w:r>
      <w:r w:rsidRPr="00E954E1">
        <w:t>,</w:t>
      </w:r>
      <w:r>
        <w:t xml:space="preserve"> NaCl at 300 mM, Triton X-100 at 0.1%, lysozyme at 1 mg.mL</w:t>
      </w:r>
      <w:r w:rsidRPr="00505473">
        <w:rPr>
          <w:vertAlign w:val="superscript"/>
        </w:rPr>
        <w:t>-1</w:t>
      </w:r>
      <w:r>
        <w:t xml:space="preserve">, aprotinin at 10 </w:t>
      </w:r>
      <w:r>
        <w:rPr>
          <w:rFonts w:cstheme="minorHAnsi"/>
        </w:rPr>
        <w:t>μ</w:t>
      </w:r>
      <w:r>
        <w:t>g.mL</w:t>
      </w:r>
      <w:r w:rsidRPr="00505473">
        <w:rPr>
          <w:vertAlign w:val="superscript"/>
        </w:rPr>
        <w:t>-1</w:t>
      </w:r>
      <w:r>
        <w:t xml:space="preserve">, leupeptin at 10 </w:t>
      </w:r>
      <w:r>
        <w:rPr>
          <w:rFonts w:cstheme="minorHAnsi"/>
        </w:rPr>
        <w:t>μ</w:t>
      </w:r>
      <w:r>
        <w:t>g.mL</w:t>
      </w:r>
      <w:r w:rsidRPr="00505473">
        <w:rPr>
          <w:vertAlign w:val="superscript"/>
        </w:rPr>
        <w:t>-1</w:t>
      </w:r>
      <w:r>
        <w:t xml:space="preserve">, </w:t>
      </w:r>
      <w:proofErr w:type="spellStart"/>
      <w:r>
        <w:t>pepstatin</w:t>
      </w:r>
      <w:proofErr w:type="spellEnd"/>
      <w:r>
        <w:t xml:space="preserve"> A at 1</w:t>
      </w:r>
      <w:r w:rsidRPr="00505473">
        <w:rPr>
          <w:rFonts w:cstheme="minorHAnsi"/>
        </w:rPr>
        <w:t xml:space="preserve"> </w:t>
      </w:r>
      <w:r>
        <w:rPr>
          <w:rFonts w:cstheme="minorHAnsi"/>
        </w:rPr>
        <w:t>μ</w:t>
      </w:r>
      <w:r>
        <w:t>g.mL</w:t>
      </w:r>
      <w:r>
        <w:rPr>
          <w:vertAlign w:val="superscript"/>
        </w:rPr>
        <w:t>-</w:t>
      </w:r>
      <w:r w:rsidRPr="00505473">
        <w:rPr>
          <w:vertAlign w:val="superscript"/>
        </w:rPr>
        <w:t>1</w:t>
      </w:r>
      <w:r w:rsidRPr="00505473">
        <w:t xml:space="preserve"> and PMSF at 1 </w:t>
      </w:r>
      <w:proofErr w:type="spellStart"/>
      <w:r w:rsidRPr="00505473">
        <w:t>mM.</w:t>
      </w:r>
      <w:proofErr w:type="spellEnd"/>
      <w:r>
        <w:t xml:space="preserve"> </w:t>
      </w:r>
      <w:r w:rsidRPr="00505473">
        <w:t>Cells</w:t>
      </w:r>
      <w:r>
        <w:t xml:space="preserve"> were lysed by sonication. 2000 units of </w:t>
      </w:r>
      <w:proofErr w:type="spellStart"/>
      <w:r>
        <w:t>DNAse</w:t>
      </w:r>
      <w:proofErr w:type="spellEnd"/>
      <w:r>
        <w:t xml:space="preserve"> II were added to the solution which was left on ice for 10 minutes. The solution was centrifuged at 25.000 </w:t>
      </w:r>
      <w:r w:rsidRPr="00476F9E">
        <w:rPr>
          <w:i/>
          <w:iCs/>
        </w:rPr>
        <w:t>g</w:t>
      </w:r>
      <w:r>
        <w:t xml:space="preserve"> at 4</w:t>
      </w:r>
      <w:r>
        <w:rPr>
          <w:rFonts w:ascii="Times New Roman" w:hAnsi="Times New Roman" w:cs="Times New Roman"/>
          <w:sz w:val="23"/>
          <w:szCs w:val="23"/>
        </w:rPr>
        <w:t>°</w:t>
      </w:r>
      <w:r>
        <w:t xml:space="preserve">C for 30 minutes. After equilibration of a Talon cobalt high affinity resin (Takara Bio) with 20 mM TRIS pH 7, NaCl at 300 mM, Triton X-100 at 1% (v/v) and imidazole at 10 mM, the resin is incubated with the supernatant for 40 minutes at 4°C. The flow through is removed by centrifugation at 4°C at 700 </w:t>
      </w:r>
      <w:r w:rsidRPr="00576397">
        <w:rPr>
          <w:i/>
          <w:iCs/>
        </w:rPr>
        <w:t>g</w:t>
      </w:r>
      <w:r>
        <w:t xml:space="preserve"> for 5 minutes. The resin is washed three times with the equilibration buffer. Each wash lasts 15 minutes at 4°C. The protein is then eluted by fraction of 500 </w:t>
      </w:r>
      <w:proofErr w:type="spellStart"/>
      <w:r>
        <w:rPr>
          <w:rFonts w:ascii="Calibri" w:hAnsi="Calibri" w:cs="Calibri"/>
        </w:rPr>
        <w:t>μ</w:t>
      </w:r>
      <w:r>
        <w:t>L</w:t>
      </w:r>
      <w:proofErr w:type="spellEnd"/>
      <w:r>
        <w:t xml:space="preserve">, at 4°C with a buffer of TRIS at 20 mM (pH 7 with HCl), NaCl at 150 mM and imidazole at 200 </w:t>
      </w:r>
      <w:proofErr w:type="spellStart"/>
      <w:r>
        <w:t>mM.</w:t>
      </w:r>
      <w:proofErr w:type="spellEnd"/>
      <w:r>
        <w:t xml:space="preserve"> </w:t>
      </w:r>
      <w:r w:rsidRPr="00423700">
        <w:t xml:space="preserve">The resulting purified protein was processed further through exclusion chromatography </w:t>
      </w:r>
      <w:r w:rsidR="008100F7">
        <w:t>(</w:t>
      </w:r>
      <w:proofErr w:type="spellStart"/>
      <w:r w:rsidR="008100F7" w:rsidRPr="008100F7">
        <w:t>Superdex</w:t>
      </w:r>
      <w:proofErr w:type="spellEnd"/>
      <w:r w:rsidR="008100F7" w:rsidRPr="008100F7">
        <w:t xml:space="preserve"> 200 gel filtration column—GE-Healthcare, 17-5175-01</w:t>
      </w:r>
      <w:r w:rsidR="008100F7">
        <w:t xml:space="preserve">) </w:t>
      </w:r>
      <w:r w:rsidRPr="00423700">
        <w:t>to ensure purity</w:t>
      </w:r>
      <w:r>
        <w:t xml:space="preserve"> </w:t>
      </w:r>
      <w:r w:rsidRPr="0096583E">
        <w:t>and eluted in BRB80 buffer.</w:t>
      </w:r>
    </w:p>
    <w:p w14:paraId="7C0234E0" w14:textId="249CE8F4" w:rsidR="0093274F" w:rsidRDefault="0093274F" w:rsidP="0093274F">
      <w:pPr>
        <w:spacing w:line="480" w:lineRule="auto"/>
      </w:pPr>
      <w:r w:rsidRPr="0096583E">
        <w:rPr>
          <w:i/>
          <w:iCs/>
        </w:rPr>
        <w:lastRenderedPageBreak/>
        <w:t xml:space="preserve">Tubulin </w:t>
      </w:r>
      <w:r w:rsidRPr="0096583E">
        <w:t xml:space="preserve">- Tubulin was purified from calf brains </w:t>
      </w:r>
      <w:r w:rsidR="00001DEF" w:rsidRPr="0096583E">
        <w:fldChar w:fldCharType="begin" w:fldLock="1"/>
      </w:r>
      <w:r w:rsidR="00001DEF" w:rsidRPr="0096583E">
        <w:instrText>ADDIN CSL_CITATION {"citationItems":[{"id":"ITEM-1","itemData":{"DOI":"10.1007/978-1-61779-252-6_2","ISBN":"9781617792519","ISSN":"10643745","abstract":"Microtubules, polymers of the heterodimeric protein αβ-tubulin, give shape to cells and are the tracks for vesicle transport and chromosome segregation. In vitro assays to study microtubule functions and their regulation by microtubule-associated proteins require the availability of purified αβ-tubulin. In this chapter, we describe the process of purification of heterodimeric αβ-tubulin from porcine brain. © 2011 Springer Science+Business Media, LLC.","author":[{"dropping-particle":"","family":"Gell","given":"Christopher","non-dropping-particle":"","parse-names":false,"suffix":""},{"dropping-particle":"","family":"Friel","given":"Claire T.","non-dropping-particle":"","parse-names":false,"suffix":""},{"dropping-particle":"","family":"Borgonovo","given":"Barbara","non-dropping-particle":"","parse-names":false,"suffix":""},{"dropping-particle":"","family":"Drechsel","given":"David N.","non-dropping-particle":"","parse-names":false,"suffix":""},{"dropping-particle":"","family":"Hyman","given":"Anthony A.","non-dropping-particle":"","parse-names":false,"suffix":""},{"dropping-particle":"","family":"Howard","given":"Jonathon","non-dropping-particle":"","parse-names":false,"suffix":""}],"container-title":"Methods in Molecular Biology","id":"ITEM-1","issued":{"date-parts":[["2011"]]},"page":"15-28","title":"Purification of tubulin from porcine brain","type":"article-journal","volume":"777"},"uris":["http://www.mendeley.com/documents/?uuid=bf20961b-b610-3561-b5ea-d2b52b8680d7"]}],"mendeley":{"formattedCitation":"[3]","plainTextFormattedCitation":"[3]","previouslyFormattedCitation":"[3]"},"properties":{"noteIndex":0},"schema":"https://github.com/citation-style-language/schema/raw/master/csl-citation.json"}</w:instrText>
      </w:r>
      <w:r w:rsidR="00001DEF" w:rsidRPr="0096583E">
        <w:fldChar w:fldCharType="separate"/>
      </w:r>
      <w:r w:rsidR="00001DEF" w:rsidRPr="0096583E">
        <w:rPr>
          <w:noProof/>
        </w:rPr>
        <w:t>[3]</w:t>
      </w:r>
      <w:r w:rsidR="00001DEF" w:rsidRPr="0096583E">
        <w:fldChar w:fldCharType="end"/>
      </w:r>
      <w:r w:rsidR="00292365" w:rsidRPr="0096583E">
        <w:t xml:space="preserve"> </w:t>
      </w:r>
      <w:r w:rsidRPr="0096583E">
        <w:t>and fluorescently labelled with ATTO-488 or ATTO-565 fluorophores, as previously described</w:t>
      </w:r>
      <w:r w:rsidR="00292365" w:rsidRPr="0096583E">
        <w:t xml:space="preserve"> </w:t>
      </w:r>
      <w:r w:rsidR="00001DEF" w:rsidRPr="0096583E">
        <w:fldChar w:fldCharType="begin" w:fldLock="1"/>
      </w:r>
      <w:r w:rsidR="00001DEF" w:rsidRPr="0096583E">
        <w:instrText>ADDIN CSL_CITATION {"citationItems":[{"id":"ITEM-1","itemData":{"DOI":"10.1242/jcs.1991.supplement_14.25","ISSN":"00219533","abstract":"Short microtubule seeds are constructed using heavily rhodamine-labeled tubulin. Polymerisation of the ends of these seeds is initiated using a mixture of 1:10 labeled and unlabeled tubulin, so that the new polymerisation is only dimly labeled. This is done in the presence of NEM tubulin, which inhibits growth from the microtubule minus ends. The polarity-marked microtubules are fixed at a desired length by adding taxol.","author":[{"dropping-particle":"","family":"Hyman","given":"A. A.","non-dropping-particle":"","parse-names":false,"suffix":""}],"container-title":"Journal of Cell Science","id":"ITEM-1","issue":"SUPPL. 14","issued":{"date-parts":[["1991"]]},"page":"125-127","title":"Preparation of marked microtubules for the assay of the polarity of microtubule-based motors by fluorescence","type":"paper-conference","volume":"98"},"uris":["http://www.mendeley.com/documents/?uuid=6e96d566-8b5c-34f2-9c8b-884ff6798026"]}],"mendeley":{"formattedCitation":"[4]","plainTextFormattedCitation":"[4]","previouslyFormattedCitation":"[4]"},"properties":{"noteIndex":0},"schema":"https://github.com/citation-style-language/schema/raw/master/csl-citation.json"}</w:instrText>
      </w:r>
      <w:r w:rsidR="00001DEF" w:rsidRPr="0096583E">
        <w:fldChar w:fldCharType="separate"/>
      </w:r>
      <w:r w:rsidR="00001DEF" w:rsidRPr="0096583E">
        <w:rPr>
          <w:noProof/>
        </w:rPr>
        <w:t>[4]</w:t>
      </w:r>
      <w:r w:rsidR="00001DEF" w:rsidRPr="0096583E">
        <w:fldChar w:fldCharType="end"/>
      </w:r>
      <w:r w:rsidRPr="0096583E">
        <w:t>.</w:t>
      </w:r>
      <w:r>
        <w:t xml:space="preserve"> </w:t>
      </w:r>
    </w:p>
    <w:p w14:paraId="32A19B7B" w14:textId="3BA71186" w:rsidR="008100F7" w:rsidRPr="008100F7" w:rsidRDefault="008100F7" w:rsidP="0093274F">
      <w:pPr>
        <w:spacing w:line="480" w:lineRule="auto"/>
      </w:pPr>
      <w:bookmarkStart w:id="0" w:name="_Hlk41812758"/>
      <w:r w:rsidRPr="008100F7">
        <w:rPr>
          <w:i/>
          <w:iCs/>
        </w:rPr>
        <w:t>Protein concentration</w:t>
      </w:r>
      <w:r w:rsidRPr="008100F7">
        <w:t xml:space="preserve"> – Protein concentration (for both tubulin </w:t>
      </w:r>
      <w:r>
        <w:t xml:space="preserve">and EB1s) was estimated using the Bradford method. </w:t>
      </w:r>
    </w:p>
    <w:bookmarkEnd w:id="0"/>
    <w:p w14:paraId="220D2447" w14:textId="77777777" w:rsidR="0049567C" w:rsidRDefault="0049567C" w:rsidP="0049567C">
      <w:pPr>
        <w:spacing w:line="480" w:lineRule="auto"/>
        <w:jc w:val="both"/>
      </w:pPr>
      <w:r>
        <w:t>Sample preparation</w:t>
      </w:r>
    </w:p>
    <w:p w14:paraId="6985B25F" w14:textId="0469C78A" w:rsidR="0049567C" w:rsidRDefault="0049567C" w:rsidP="0049567C">
      <w:pPr>
        <w:spacing w:line="480" w:lineRule="auto"/>
        <w:jc w:val="both"/>
      </w:pPr>
      <w:r>
        <w:t xml:space="preserve">A perfusion chamber was made from cleaned glass slide and a coverslip using double sided tape. Slide and coverslip were cleaned as described in </w:t>
      </w:r>
      <w:proofErr w:type="spellStart"/>
      <w:r>
        <w:t>Portran</w:t>
      </w:r>
      <w:proofErr w:type="spellEnd"/>
      <w:r>
        <w:t xml:space="preserve"> et al., 2013 </w:t>
      </w:r>
      <w:r w:rsidR="00001DEF">
        <w:fldChar w:fldCharType="begin" w:fldLock="1"/>
      </w:r>
      <w:r w:rsidR="00001DEF">
        <w:instrText>ADDIN CSL_CITATION {"citationItems":[{"id":"ITEM-1","itemData":{"DOI":"10.1091/mbc.E13-03-0141","ISSN":"10591524","abstract":"Microtubules (MTs) are dynamic cytoskeletal elements involved in numerous cellular processes. Although they are highly rigid polymers with a persistence length of 1-8 mm, they may exhibit a curved shape at a scale of few micrometers within cells, depending on their biological functions. However, how MT flexural rigidity in cells is regulated remains poorly understood. Here we ask whether MT-associated proteins (MAPs) could locally control the mechanical properties of MTs. We show that two major cross-linkers of the conserved MAP65/PRC1/Ase1 family drastically decrease MT rigidity. Their MT-binding domain mediates this effect. Remarkably, the softening effect of MAP65 observed on single MTs is maintained when MTs are cross-linked. By reconstituting physical collisions between growing MTs/MT bundles, we further show that the decrease in MT stiffness induced by MAP65 proteins is responsible for the sharp bending deformations observed in cells when they coalign at a steep angle to create bundles. Taken together, these data provide new insights into how MAP65, by modifying MT mechanical properties, may regulate the formation of complex MT arrays. © 2013 Portran et al.","author":[{"dropping-particle":"","family":"Portran","given":"D.","non-dropping-particle":"","parse-names":false,"suffix":""},{"dropping-particle":"","family":"Zoccoler","given":"M.","non-dropping-particle":"","parse-names":false,"suffix":""},{"dropping-particle":"","family":"Stoppin-MelletGaillard","given":"J.","non-dropping-particle":"","parse-names":false,"suffix":""},{"dropping-particle":"","family":"Stoppin-Mellet","given":"V.","non-dropping-particle":"","parse-names":false,"suffix":""},{"dropping-particle":"","family":"Neumann","given":"E.","non-dropping-particle":"","parse-names":false,"suffix":""},{"dropping-particle":"","family":"Arnal","given":"I.","non-dropping-particle":"","parse-names":false,"suffix":""},{"dropping-particle":"","family":"Martiel","given":"J. L.","non-dropping-particle":"","parse-names":false,"suffix":""},{"dropping-particle":"","family":"Vantard","given":"M.","non-dropping-particle":"","parse-names":false,"suffix":""}],"container-title":"Molecular Biology of the Cell","id":"ITEM-1","issue":"12","issued":{"date-parts":[["2013","6","15"]]},"page":"1964-1973","title":"MAP65/Ase1 promote microtubule flexibility","type":"article-journal","volume":"24"},"uris":["http://www.mendeley.com/documents/?uuid=fe99379c-568a-301b-b3ea-8728007f64c7"]}],"mendeley":{"formattedCitation":"[5]","plainTextFormattedCitation":"[5]","previouslyFormattedCitation":"[5]"},"properties":{"noteIndex":0},"schema":"https://github.com/citation-style-language/schema/raw/master/csl-citation.json"}</w:instrText>
      </w:r>
      <w:r w:rsidR="00001DEF">
        <w:fldChar w:fldCharType="separate"/>
      </w:r>
      <w:r w:rsidR="00001DEF" w:rsidRPr="00001DEF">
        <w:rPr>
          <w:noProof/>
        </w:rPr>
        <w:t>[5]</w:t>
      </w:r>
      <w:r w:rsidR="00001DEF">
        <w:fldChar w:fldCharType="end"/>
      </w:r>
      <w:r>
        <w:t xml:space="preserve">. The chamber was perfused with </w:t>
      </w:r>
      <w:proofErr w:type="spellStart"/>
      <w:r>
        <w:t>Neutravidine</w:t>
      </w:r>
      <w:proofErr w:type="spellEnd"/>
      <w:r>
        <w:t xml:space="preserve"> (25 μg.mL-1 in BRB80/BSA 1% (m/v)) for 2 minutes, PLL-PEG for 30 sec (2 </w:t>
      </w:r>
      <w:proofErr w:type="spellStart"/>
      <w:r>
        <w:t>kDa</w:t>
      </w:r>
      <w:proofErr w:type="spellEnd"/>
      <w:r>
        <w:t xml:space="preserve"> 0.1 mg.ml-1 in 10mM </w:t>
      </w:r>
      <w:proofErr w:type="spellStart"/>
      <w:r>
        <w:t>Hepes</w:t>
      </w:r>
      <w:proofErr w:type="spellEnd"/>
      <w:r>
        <w:t xml:space="preserve">, pH 7.4), BRB80/BSA 1%, GMPCPP-stabilized, ATTO-565-labeled microtubule seeds </w:t>
      </w:r>
      <w:r w:rsidR="00001DEF">
        <w:fldChar w:fldCharType="begin" w:fldLock="1"/>
      </w:r>
      <w:r w:rsidR="00001DEF">
        <w:instrText>ADDIN CSL_CITATION {"citationItems":[{"id":"ITEM-1","itemData":{"DOI":"10.1016/bs.mcb.2017.06.013","ISSN":"0091679X","abstract":"Tau is a major microtubule-associated protein (MAP) mainly expressed in the brain. Tau binds the lattice of microtubules and favors their elongation and bundling. Recent studies have shown that tau is also a partner of end-binding proteins (EBs) in neurons. EBs belong to the protein family of the plus-end tracking proteins that preferentially associate with the growing plus-ends of microtubules and control microtubule end behavior and anchorage to intracellular organelles. Reconstituted cell-free systems using purified proteins are required to understand the precise mechanisms by which tau influences EB localization on microtubules and how the concerted activity of these two MAPs modulates microtubule dynamics. We developed an in vitro assay combining TIRF microscopy and site-directed mutagenesis to dissect the interaction of tau with EBs and to study how this interaction affects microtubule dynamics. Here, we describe the detailed procedures to purify proteins (tubulin, tau, and EBs), prepare the samples for TIRF microscopy, and analyze microtubule dynamics, and EB binding at microtubule ends in the presence of tau.","author":[{"dropping-particle":"","family":"Ramirez-Rios","given":"Sacnicte","non-dropping-particle":"","parse-names":false,"suffix":""},{"dropping-particle":"","family":"Serre","given":"Laurence","non-dropping-particle":"","parse-names":false,"suffix":""},{"dropping-particle":"","family":"Stoppin-Mellet","given":"Virginie","non-dropping-particle":"","parse-names":false,"suffix":""},{"dropping-particle":"","family":"Prezel","given":"Elea","non-dropping-particle":"","parse-names":false,"suffix":""},{"dropping-particle":"","family":"Vinit","given":"Angélique","non-dropping-particle":"","parse-names":false,"suffix":""},{"dropping-particle":"","family":"Courriol","given":"Emilie","non-dropping-particle":"","parse-names":false,"suffix":""},{"dropping-particle":"","family":"Fourest-Lieuvin","given":"Anne","non-dropping-particle":"","parse-names":false,"suffix":""},{"dropping-particle":"","family":"Delaroche","given":"Julie","non-dropping-particle":"","parse-names":false,"suffix":""},{"dropping-particle":"","family":"Denarier","given":"Eric","non-dropping-particle":"","parse-names":false,"suffix":""},{"dropping-particle":"","family":"Arnal","given":"Isabelle","non-dropping-particle":"","parse-names":false,"suffix":""}],"container-title":"Methods in Cell Biology","id":"ITEM-1","issued":{"date-parts":[["2017"]]},"page":"179-197","title":"A TIRF microscopy assay to decode how tau regulates EB's tracking at microtubule ends","type":"chapter","volume":"141"},"uris":["http://www.mendeley.com/documents/?uuid=a34af0a7-f801-34f0-99fa-66c4e5f9edf1"]}],"mendeley":{"formattedCitation":"[6]","plainTextFormattedCitation":"[6]","previouslyFormattedCitation":"[6]"},"properties":{"noteIndex":0},"schema":"https://github.com/citation-style-language/schema/raw/master/csl-citation.json"}</w:instrText>
      </w:r>
      <w:r w:rsidR="00001DEF">
        <w:fldChar w:fldCharType="separate"/>
      </w:r>
      <w:r w:rsidR="00001DEF" w:rsidRPr="00001DEF">
        <w:rPr>
          <w:noProof/>
        </w:rPr>
        <w:t>[6]</w:t>
      </w:r>
      <w:r w:rsidR="00001DEF">
        <w:fldChar w:fldCharType="end"/>
      </w:r>
      <w:r w:rsidR="00001DEF">
        <w:t xml:space="preserve"> </w:t>
      </w:r>
      <w:r>
        <w:t xml:space="preserve">were then perfused for 5 minutes before washing the chamber three times with BRB80/BSA 1% and then flowing the reaction mix. The reaction mix contained BRB80, complemented with 1% BSA, 50 mM </w:t>
      </w:r>
      <w:proofErr w:type="spellStart"/>
      <w:r>
        <w:t>KCl</w:t>
      </w:r>
      <w:proofErr w:type="spellEnd"/>
      <w:r>
        <w:t xml:space="preserve">, 1 mg.mL-1 glucose , 70 μg.ml-1 of catalase, 580 μg.ml-1 glucose oxidase, 4 mM DTT, 1 mM GTP, 0.017% methyl-cellulose (m/v), 10 </w:t>
      </w:r>
      <w:proofErr w:type="spellStart"/>
      <w:r>
        <w:t>μM</w:t>
      </w:r>
      <w:proofErr w:type="spellEnd"/>
      <w:r>
        <w:t xml:space="preserve"> of unlabeled tubulin and, 5 </w:t>
      </w:r>
      <w:proofErr w:type="spellStart"/>
      <w:r>
        <w:t>μM</w:t>
      </w:r>
      <w:proofErr w:type="spellEnd"/>
      <w:r>
        <w:t xml:space="preserve"> ATTO-488-labeled tubulin. After the perfusion of the reaction mix, the chamber was sealed with putty and then placed on the microscope stage at 36°C for imaging.</w:t>
      </w:r>
    </w:p>
    <w:p w14:paraId="368EE559" w14:textId="20B6E492" w:rsidR="00CB572B" w:rsidRDefault="00292365" w:rsidP="0093274F">
      <w:pPr>
        <w:spacing w:line="480" w:lineRule="auto"/>
        <w:rPr>
          <w:b/>
          <w:bCs/>
        </w:rPr>
      </w:pPr>
      <w:r w:rsidRPr="00292365">
        <w:rPr>
          <w:b/>
          <w:bCs/>
        </w:rPr>
        <w:t>References</w:t>
      </w:r>
    </w:p>
    <w:p w14:paraId="26F757A7" w14:textId="4851CA11" w:rsidR="00001DEF" w:rsidRPr="00001DEF" w:rsidRDefault="00001DEF" w:rsidP="00001DEF">
      <w:pPr>
        <w:widowControl w:val="0"/>
        <w:autoSpaceDE w:val="0"/>
        <w:autoSpaceDN w:val="0"/>
        <w:adjustRightInd w:val="0"/>
        <w:spacing w:line="480" w:lineRule="auto"/>
        <w:rPr>
          <w:rFonts w:ascii="Calibri" w:hAnsi="Calibri" w:cs="Times New Roman"/>
          <w:noProof/>
          <w:szCs w:val="24"/>
        </w:rPr>
      </w:pPr>
      <w:r>
        <w:rPr>
          <w:b/>
          <w:bCs/>
        </w:rPr>
        <w:fldChar w:fldCharType="begin" w:fldLock="1"/>
      </w:r>
      <w:r>
        <w:rPr>
          <w:b/>
          <w:bCs/>
        </w:rPr>
        <w:instrText xml:space="preserve">ADDIN Mendeley Bibliography CSL_BIBLIOGRAPHY </w:instrText>
      </w:r>
      <w:r>
        <w:rPr>
          <w:b/>
          <w:bCs/>
        </w:rPr>
        <w:fldChar w:fldCharType="separate"/>
      </w:r>
      <w:r w:rsidRPr="00001DEF">
        <w:rPr>
          <w:rFonts w:ascii="Calibri" w:hAnsi="Calibri" w:cs="Times New Roman"/>
          <w:noProof/>
          <w:szCs w:val="24"/>
        </w:rPr>
        <w:t>1. Vitre B, Coquelle FM, Heichette C, Garnier C, Chrétien D, Arnal I. EB1 regulates microtubule dynamics and tubulin sheet closure in vitro. Nat Cell Biol. 2008;10:415–21.</w:t>
      </w:r>
    </w:p>
    <w:p w14:paraId="79EA5B5C" w14:textId="77777777" w:rsidR="00001DEF" w:rsidRPr="00001DEF" w:rsidRDefault="00001DEF" w:rsidP="00001DEF">
      <w:pPr>
        <w:widowControl w:val="0"/>
        <w:autoSpaceDE w:val="0"/>
        <w:autoSpaceDN w:val="0"/>
        <w:adjustRightInd w:val="0"/>
        <w:spacing w:line="480" w:lineRule="auto"/>
        <w:rPr>
          <w:rFonts w:ascii="Calibri" w:hAnsi="Calibri" w:cs="Times New Roman"/>
          <w:noProof/>
          <w:szCs w:val="24"/>
        </w:rPr>
      </w:pPr>
      <w:r w:rsidRPr="00001DEF">
        <w:rPr>
          <w:rFonts w:ascii="Calibri" w:hAnsi="Calibri" w:cs="Times New Roman"/>
          <w:noProof/>
          <w:szCs w:val="24"/>
        </w:rPr>
        <w:t>2. Komaki S, Abe T, Coutuer S, Inzé D, Russinova E, Hashimoto T. Nuclear-localized subtype of end-binding 1 protein regulates spindle organization in Arabidopsis. J Cell Sci. 2010;123:451–9.</w:t>
      </w:r>
    </w:p>
    <w:p w14:paraId="2EBFD361" w14:textId="77777777" w:rsidR="00001DEF" w:rsidRPr="00001DEF" w:rsidRDefault="00001DEF" w:rsidP="00001DEF">
      <w:pPr>
        <w:widowControl w:val="0"/>
        <w:autoSpaceDE w:val="0"/>
        <w:autoSpaceDN w:val="0"/>
        <w:adjustRightInd w:val="0"/>
        <w:spacing w:line="480" w:lineRule="auto"/>
        <w:rPr>
          <w:rFonts w:ascii="Calibri" w:hAnsi="Calibri" w:cs="Times New Roman"/>
          <w:noProof/>
          <w:szCs w:val="24"/>
        </w:rPr>
      </w:pPr>
      <w:r w:rsidRPr="00001DEF">
        <w:rPr>
          <w:rFonts w:ascii="Calibri" w:hAnsi="Calibri" w:cs="Times New Roman"/>
          <w:noProof/>
          <w:szCs w:val="24"/>
        </w:rPr>
        <w:t>3. Gell C, Friel CT, Borgonovo B, Drechsel DN, Hyman AA, Howard J. Purification of tubulin from porcine brain. Methods Mol Biol. 2011;777:15–28.</w:t>
      </w:r>
    </w:p>
    <w:p w14:paraId="101D0CEE" w14:textId="77777777" w:rsidR="00001DEF" w:rsidRPr="00001DEF" w:rsidRDefault="00001DEF" w:rsidP="00001DEF">
      <w:pPr>
        <w:widowControl w:val="0"/>
        <w:autoSpaceDE w:val="0"/>
        <w:autoSpaceDN w:val="0"/>
        <w:adjustRightInd w:val="0"/>
        <w:spacing w:line="480" w:lineRule="auto"/>
        <w:rPr>
          <w:rFonts w:ascii="Calibri" w:hAnsi="Calibri" w:cs="Times New Roman"/>
          <w:noProof/>
          <w:szCs w:val="24"/>
        </w:rPr>
      </w:pPr>
      <w:r w:rsidRPr="00001DEF">
        <w:rPr>
          <w:rFonts w:ascii="Calibri" w:hAnsi="Calibri" w:cs="Times New Roman"/>
          <w:noProof/>
          <w:szCs w:val="24"/>
        </w:rPr>
        <w:lastRenderedPageBreak/>
        <w:t>4. Hyman AA. Preparation of marked microtubules for the assay of the polarity of microtubule-based motors by fluorescence. In: Journal of Cell Science. 1991. p. 125–7.</w:t>
      </w:r>
    </w:p>
    <w:p w14:paraId="4585AE06" w14:textId="77777777" w:rsidR="00001DEF" w:rsidRPr="00001DEF" w:rsidRDefault="00001DEF" w:rsidP="00001DEF">
      <w:pPr>
        <w:widowControl w:val="0"/>
        <w:autoSpaceDE w:val="0"/>
        <w:autoSpaceDN w:val="0"/>
        <w:adjustRightInd w:val="0"/>
        <w:spacing w:line="480" w:lineRule="auto"/>
        <w:rPr>
          <w:rFonts w:ascii="Calibri" w:hAnsi="Calibri" w:cs="Times New Roman"/>
          <w:noProof/>
          <w:szCs w:val="24"/>
        </w:rPr>
      </w:pPr>
      <w:r w:rsidRPr="00001DEF">
        <w:rPr>
          <w:rFonts w:ascii="Calibri" w:hAnsi="Calibri" w:cs="Times New Roman"/>
          <w:noProof/>
          <w:szCs w:val="24"/>
        </w:rPr>
        <w:t>5. Portran D, Zoccoler M, Stoppin-MelletGaillard J, Stoppin-Mellet V, Neumann E, Arnal I, et al. MAP65/Ase1 promote microtubule flexibility. Mol Biol Cell. 2013;24:1964–73.</w:t>
      </w:r>
    </w:p>
    <w:p w14:paraId="3471F26C" w14:textId="77777777" w:rsidR="00001DEF" w:rsidRPr="00001DEF" w:rsidRDefault="00001DEF" w:rsidP="00001DEF">
      <w:pPr>
        <w:widowControl w:val="0"/>
        <w:autoSpaceDE w:val="0"/>
        <w:autoSpaceDN w:val="0"/>
        <w:adjustRightInd w:val="0"/>
        <w:spacing w:line="480" w:lineRule="auto"/>
        <w:rPr>
          <w:rFonts w:ascii="Calibri" w:hAnsi="Calibri"/>
          <w:noProof/>
        </w:rPr>
      </w:pPr>
      <w:r w:rsidRPr="00001DEF">
        <w:rPr>
          <w:rFonts w:ascii="Calibri" w:hAnsi="Calibri" w:cs="Times New Roman"/>
          <w:noProof/>
          <w:szCs w:val="24"/>
        </w:rPr>
        <w:t>6. Ramirez-Rios S, Serre L, Stoppin-Mellet V, Prezel E, Vinit A, Courriol E, et al. A TIRF microscopy assay to decode how tau regulates EB’s tracking at microtubule ends. In: Methods in Cell Biology. 2017. p. 179–97.</w:t>
      </w:r>
    </w:p>
    <w:p w14:paraId="236B6D9D" w14:textId="486AE7F7" w:rsidR="00001DEF" w:rsidRPr="00292365" w:rsidRDefault="00001DEF" w:rsidP="0093274F">
      <w:pPr>
        <w:spacing w:line="480" w:lineRule="auto"/>
        <w:rPr>
          <w:b/>
          <w:bCs/>
        </w:rPr>
      </w:pPr>
      <w:r>
        <w:rPr>
          <w:b/>
          <w:bCs/>
        </w:rPr>
        <w:fldChar w:fldCharType="end"/>
      </w:r>
    </w:p>
    <w:p w14:paraId="4E714365" w14:textId="6A335F84" w:rsidR="009F1022" w:rsidRDefault="009F1022">
      <w:r>
        <w:br w:type="page"/>
      </w:r>
    </w:p>
    <w:tbl>
      <w:tblPr>
        <w:tblStyle w:val="TableGrid"/>
        <w:tblW w:w="0" w:type="auto"/>
        <w:tblLook w:val="04A0" w:firstRow="1" w:lastRow="0" w:firstColumn="1" w:lastColumn="0" w:noHBand="0" w:noVBand="1"/>
      </w:tblPr>
      <w:tblGrid>
        <w:gridCol w:w="9350"/>
      </w:tblGrid>
      <w:tr w:rsidR="00FA0170" w14:paraId="6205CB9E" w14:textId="77777777" w:rsidTr="00FA0170">
        <w:tc>
          <w:tcPr>
            <w:tcW w:w="9350" w:type="dxa"/>
            <w:vAlign w:val="center"/>
          </w:tcPr>
          <w:p w14:paraId="41D34B8A" w14:textId="4B79AAF8" w:rsidR="00FA0170" w:rsidRDefault="004C7B40" w:rsidP="00FA0170">
            <w:pPr>
              <w:spacing w:line="480" w:lineRule="auto"/>
              <w:jc w:val="center"/>
            </w:pPr>
            <w:r>
              <w:rPr>
                <w:noProof/>
              </w:rPr>
              <w:lastRenderedPageBreak/>
              <w:drawing>
                <wp:inline distT="0" distB="0" distL="0" distR="0" wp14:anchorId="684A6FB0" wp14:editId="640CCFB9">
                  <wp:extent cx="5527568" cy="4054110"/>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537300" cy="4061248"/>
                          </a:xfrm>
                          <a:prstGeom prst="rect">
                            <a:avLst/>
                          </a:prstGeom>
                          <a:noFill/>
                        </pic:spPr>
                      </pic:pic>
                    </a:graphicData>
                  </a:graphic>
                </wp:inline>
              </w:drawing>
            </w:r>
          </w:p>
        </w:tc>
      </w:tr>
      <w:tr w:rsidR="00FA0170" w:rsidRPr="00FA0170" w14:paraId="1618409A" w14:textId="77777777" w:rsidTr="00FA0170">
        <w:tc>
          <w:tcPr>
            <w:tcW w:w="9350" w:type="dxa"/>
            <w:vAlign w:val="center"/>
          </w:tcPr>
          <w:p w14:paraId="27F3A062" w14:textId="77777777" w:rsidR="004C7B40" w:rsidRDefault="00FA0170" w:rsidP="004C7B40">
            <w:pPr>
              <w:jc w:val="both"/>
              <w:rPr>
                <w:b/>
                <w:bCs/>
              </w:rPr>
            </w:pPr>
            <w:r w:rsidRPr="00CB572B">
              <w:rPr>
                <w:b/>
                <w:bCs/>
              </w:rPr>
              <w:t>Sup. Figure 1</w:t>
            </w:r>
            <w:r w:rsidRPr="004C7B40">
              <w:rPr>
                <w:b/>
                <w:bCs/>
              </w:rPr>
              <w:t xml:space="preserve">: </w:t>
            </w:r>
            <w:r w:rsidR="004C7B40" w:rsidRPr="004C7B40">
              <w:rPr>
                <w:b/>
                <w:bCs/>
              </w:rPr>
              <w:t>Procedure for the purification of plant EB1b protein.</w:t>
            </w:r>
          </w:p>
          <w:p w14:paraId="1361481D" w14:textId="47F1F292" w:rsidR="00FA0170" w:rsidRPr="00FA0170" w:rsidRDefault="004C7B40" w:rsidP="004C7B40">
            <w:pPr>
              <w:jc w:val="both"/>
            </w:pPr>
            <w:r w:rsidRPr="004C7B40">
              <w:rPr>
                <w:b/>
                <w:bCs/>
              </w:rPr>
              <w:t>(A)</w:t>
            </w:r>
            <w:r w:rsidRPr="004C7B40">
              <w:t xml:space="preserve"> Purifications by affinity chromatography (His-Tag). Each step of the purification was tested by SDS PAGE electrophoresis using 20 µL samples of, from left to right respectively, (1) bacterial lysate, (2) supernatant and (3) pellet after centrifugation of the lysate to remove insoluble elements, (4) flow through after the incubation step with TALON beads, (5-7) three successive washes and the (11-13) 3 elution fractions of interest (identified by a rapid Bradford's test). </w:t>
            </w:r>
            <w:r w:rsidRPr="004C7B40">
              <w:rPr>
                <w:b/>
                <w:bCs/>
              </w:rPr>
              <w:t>(B)</w:t>
            </w:r>
            <w:r w:rsidRPr="004C7B40">
              <w:t xml:space="preserve"> Subsequent purification by exclusion chromatography using 200 µL of the purified protein. The numbers correspond to the elution fractions collected sequentially. Fractions #42 to #44 were pooled into pool 1, #53 to #55 into pool 2 and #56 to #59 into pool 3. Pool 1 was used for the in vitro experiments. </w:t>
            </w:r>
            <w:r w:rsidRPr="004C7B40">
              <w:rPr>
                <w:b/>
                <w:bCs/>
              </w:rPr>
              <w:t>(C)</w:t>
            </w:r>
            <w:r w:rsidRPr="004C7B40">
              <w:t xml:space="preserve"> Comparison of the protein quality before and after the gel filtration. The band corresponding to the EB1b protein is indicated with a black arrow. The numbers above the tracks correspond to the fraction pools described before.</w:t>
            </w:r>
          </w:p>
        </w:tc>
      </w:tr>
    </w:tbl>
    <w:p w14:paraId="6E9211F1" w14:textId="77777777" w:rsidR="009F1022" w:rsidRPr="00FA0170" w:rsidRDefault="009F1022" w:rsidP="0093274F">
      <w:pPr>
        <w:spacing w:line="480" w:lineRule="auto"/>
      </w:pPr>
    </w:p>
    <w:p w14:paraId="38AACA60" w14:textId="77777777" w:rsidR="0093274F" w:rsidRPr="00FA0170" w:rsidRDefault="0093274F" w:rsidP="0093274F">
      <w:pPr>
        <w:spacing w:line="480" w:lineRule="auto"/>
      </w:pPr>
    </w:p>
    <w:sectPr w:rsidR="0093274F" w:rsidRPr="00FA0170" w:rsidSect="00C957C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4"/>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Y3N7E0MTGzNDY0sDRW0lEKTi0uzszPAykwqwUAgLdrkiwAAAA="/>
  </w:docVars>
  <w:rsids>
    <w:rsidRoot w:val="002B30C6"/>
    <w:rsid w:val="00001DEF"/>
    <w:rsid w:val="000E53E9"/>
    <w:rsid w:val="00193E79"/>
    <w:rsid w:val="001C5199"/>
    <w:rsid w:val="00292365"/>
    <w:rsid w:val="002B30C6"/>
    <w:rsid w:val="00485B9C"/>
    <w:rsid w:val="0049567C"/>
    <w:rsid w:val="004C7B40"/>
    <w:rsid w:val="004D1211"/>
    <w:rsid w:val="004E5B4C"/>
    <w:rsid w:val="0055149B"/>
    <w:rsid w:val="00553A80"/>
    <w:rsid w:val="00566B72"/>
    <w:rsid w:val="005A01FC"/>
    <w:rsid w:val="006A32FD"/>
    <w:rsid w:val="006A3C4F"/>
    <w:rsid w:val="006F5493"/>
    <w:rsid w:val="00762E21"/>
    <w:rsid w:val="00781F0D"/>
    <w:rsid w:val="008100F7"/>
    <w:rsid w:val="008F3D19"/>
    <w:rsid w:val="0093274F"/>
    <w:rsid w:val="0096583E"/>
    <w:rsid w:val="009F1022"/>
    <w:rsid w:val="009F3D2C"/>
    <w:rsid w:val="00A227D5"/>
    <w:rsid w:val="00A37EF6"/>
    <w:rsid w:val="00A658B3"/>
    <w:rsid w:val="00C266ED"/>
    <w:rsid w:val="00C32121"/>
    <w:rsid w:val="00C957CF"/>
    <w:rsid w:val="00CB572B"/>
    <w:rsid w:val="00D16304"/>
    <w:rsid w:val="00D33FD3"/>
    <w:rsid w:val="00E335BA"/>
    <w:rsid w:val="00FA0170"/>
    <w:rsid w:val="00FD5ADF"/>
    <w:rsid w:val="00FF594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6AF0CC"/>
  <w15:chartTrackingRefBased/>
  <w15:docId w15:val="{E5EAD388-0569-47A3-B6CE-7C085EEB04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3274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3274F"/>
    <w:rPr>
      <w:rFonts w:ascii="Segoe UI" w:hAnsi="Segoe UI" w:cs="Segoe UI"/>
      <w:sz w:val="18"/>
      <w:szCs w:val="18"/>
    </w:rPr>
  </w:style>
  <w:style w:type="character" w:styleId="CommentReference">
    <w:name w:val="annotation reference"/>
    <w:basedOn w:val="DefaultParagraphFont"/>
    <w:uiPriority w:val="99"/>
    <w:semiHidden/>
    <w:unhideWhenUsed/>
    <w:rsid w:val="009F3D2C"/>
    <w:rPr>
      <w:sz w:val="16"/>
      <w:szCs w:val="16"/>
    </w:rPr>
  </w:style>
  <w:style w:type="paragraph" w:styleId="CommentText">
    <w:name w:val="annotation text"/>
    <w:basedOn w:val="Normal"/>
    <w:link w:val="CommentTextChar"/>
    <w:uiPriority w:val="99"/>
    <w:semiHidden/>
    <w:unhideWhenUsed/>
    <w:rsid w:val="009F3D2C"/>
    <w:pPr>
      <w:spacing w:line="240" w:lineRule="auto"/>
    </w:pPr>
    <w:rPr>
      <w:sz w:val="20"/>
      <w:szCs w:val="20"/>
    </w:rPr>
  </w:style>
  <w:style w:type="character" w:customStyle="1" w:styleId="CommentTextChar">
    <w:name w:val="Comment Text Char"/>
    <w:basedOn w:val="DefaultParagraphFont"/>
    <w:link w:val="CommentText"/>
    <w:uiPriority w:val="99"/>
    <w:semiHidden/>
    <w:rsid w:val="009F3D2C"/>
    <w:rPr>
      <w:sz w:val="20"/>
      <w:szCs w:val="20"/>
    </w:rPr>
  </w:style>
  <w:style w:type="paragraph" w:styleId="CommentSubject">
    <w:name w:val="annotation subject"/>
    <w:basedOn w:val="CommentText"/>
    <w:next w:val="CommentText"/>
    <w:link w:val="CommentSubjectChar"/>
    <w:uiPriority w:val="99"/>
    <w:semiHidden/>
    <w:unhideWhenUsed/>
    <w:rsid w:val="009F3D2C"/>
    <w:rPr>
      <w:b/>
      <w:bCs/>
    </w:rPr>
  </w:style>
  <w:style w:type="character" w:customStyle="1" w:styleId="CommentSubjectChar">
    <w:name w:val="Comment Subject Char"/>
    <w:basedOn w:val="CommentTextChar"/>
    <w:link w:val="CommentSubject"/>
    <w:uiPriority w:val="99"/>
    <w:semiHidden/>
    <w:rsid w:val="009F3D2C"/>
    <w:rPr>
      <w:b/>
      <w:bCs/>
      <w:sz w:val="20"/>
      <w:szCs w:val="20"/>
    </w:rPr>
  </w:style>
  <w:style w:type="table" w:styleId="TableGrid">
    <w:name w:val="Table Grid"/>
    <w:basedOn w:val="TableNormal"/>
    <w:uiPriority w:val="39"/>
    <w:rsid w:val="00FA01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1515F1-EE9B-4EF2-85DF-B5AAB0B7E4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2967</Words>
  <Characters>16912</Characters>
  <Application>Microsoft Office Word</Application>
  <DocSecurity>0</DocSecurity>
  <Lines>140</Lines>
  <Paragraphs>39</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19840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2</cp:revision>
  <cp:lastPrinted>2020-05-31T17:26:00Z</cp:lastPrinted>
  <dcterms:created xsi:type="dcterms:W3CDTF">2020-05-31T17:37:00Z</dcterms:created>
  <dcterms:modified xsi:type="dcterms:W3CDTF">2020-05-31T17:37:00Z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http://www.zotero.org/styles/bmc-research-notes</vt:lpwstr>
  </property>
  <property fmtid="{D5CDD505-2E9C-101B-9397-08002B2CF9AE}" pid="9" name="Mendeley Recent Style Name 3_1">
    <vt:lpwstr>BMC Research Notes</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35896436-3fbe-33df-a767-c655b4f5929a</vt:lpwstr>
  </property>
  <property fmtid="{D5CDD505-2E9C-101B-9397-08002B2CF9AE}" pid="24" name="Mendeley Citation Style_1">
    <vt:lpwstr>http://www.zotero.org/styles/bmc-research-notes</vt:lpwstr>
  </property>
</Properties>
</file>