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0A" w:rsidRDefault="00AC6E0A" w:rsidP="00AC6E0A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 The ranking of the docked ligands with respect to their binding energy.</w:t>
      </w:r>
    </w:p>
    <w:tbl>
      <w:tblPr>
        <w:tblStyle w:val="TableGridLight"/>
        <w:tblW w:w="0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0"/>
        <w:gridCol w:w="3820"/>
        <w:gridCol w:w="1530"/>
        <w:gridCol w:w="3335"/>
      </w:tblGrid>
      <w:tr w:rsidR="00AC6E0A" w:rsidTr="00AC6E0A">
        <w:trPr>
          <w:trHeight w:val="177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Entry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Compound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Energy-Kcal/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mol</w:t>
            </w:r>
            <w:proofErr w:type="spellEnd"/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IC</w:t>
            </w:r>
            <w:r>
              <w:rPr>
                <w:rFonts w:ascii="Times New Roman" w:hAnsi="Times New Roman"/>
                <w:b/>
                <w:bCs/>
                <w:color w:val="000000" w:themeColor="text1"/>
                <w:vertAlign w:val="subscript"/>
              </w:rPr>
              <w:t>50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±SE [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μM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</w:rPr>
              <w:t xml:space="preserve">] or inhibition [%] @ 50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</w:rPr>
              <w:t>μM</w:t>
            </w:r>
            <w:proofErr w:type="spellEnd"/>
          </w:p>
        </w:tc>
      </w:tr>
      <w:tr w:rsidR="00AC6E0A" w:rsidTr="00AC6E0A">
        <w:trPr>
          <w:trHeight w:val="921"/>
          <w:jc w:val="center"/>
        </w:trPr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590" w:dyaOrig="10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5pt;height:50.25pt" o:ole="">
                  <v:imagedata r:id="rId4" o:title=""/>
                </v:shape>
                <o:OLEObject Type="Embed" ProgID="ChemDraw.Document.6.0" ShapeID="_x0000_i1025" DrawAspect="Content" ObjectID="_1710067334" r:id="rId5"/>
              </w:objec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-4.99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ind w:firstLine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122.7±23.6</w:t>
            </w:r>
          </w:p>
        </w:tc>
      </w:tr>
      <w:tr w:rsidR="00AC6E0A" w:rsidTr="00AC6E0A">
        <w:trPr>
          <w:trHeight w:val="270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545" w:dyaOrig="1245">
                <v:shape id="_x0000_i1026" type="#_x0000_t75" style="width:77.25pt;height:62.25pt" o:ole="">
                  <v:imagedata r:id="rId6" o:title=""/>
                </v:shape>
                <o:OLEObject Type="Embed" ProgID="ChemDraw.Document.6.0" ShapeID="_x0000_i1026" DrawAspect="Content" ObjectID="_1710067335" r:id="rId7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-8.93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8.3±83.5</w:t>
            </w:r>
          </w:p>
        </w:tc>
      </w:tr>
      <w:tr w:rsidR="00AC6E0A" w:rsidTr="00AC6E0A">
        <w:trPr>
          <w:trHeight w:val="270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005" w:dyaOrig="1305">
                <v:shape id="_x0000_i1027" type="#_x0000_t75" style="width:50.25pt;height:65.25pt" o:ole="">
                  <v:imagedata r:id="rId8" o:title=""/>
                </v:shape>
                <o:OLEObject Type="Embed" ProgID="ChemDraw.Document.6.0" ShapeID="_x0000_i1027" DrawAspect="Content" ObjectID="_1710067336" r:id="rId9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-13.47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6.1±5.2</w:t>
            </w:r>
          </w:p>
        </w:tc>
      </w:tr>
      <w:tr w:rsidR="00AC6E0A" w:rsidTr="00AC6E0A">
        <w:trPr>
          <w:trHeight w:val="270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990" w:dyaOrig="1155">
                <v:shape id="_x0000_i1028" type="#_x0000_t75" style="width:49.5pt;height:57.75pt" o:ole="">
                  <v:imagedata r:id="rId10" o:title=""/>
                </v:shape>
                <o:OLEObject Type="Embed" ProgID="ChemDraw.Document.6.0" ShapeID="_x0000_i1028" DrawAspect="Content" ObjectID="_1710067337" r:id="rId11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-6.22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10.4±1.4</w:t>
            </w:r>
          </w:p>
        </w:tc>
      </w:tr>
      <w:tr w:rsidR="00AC6E0A" w:rsidTr="00AC6E0A">
        <w:trPr>
          <w:trHeight w:val="270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380" w:dyaOrig="990">
                <v:shape id="_x0000_i1029" type="#_x0000_t75" style="width:69pt;height:49.5pt" o:ole="">
                  <v:imagedata r:id="rId12" o:title=""/>
                </v:shape>
                <o:OLEObject Type="Embed" ProgID="ChemDraw.Document.6.0" ShapeID="_x0000_i1029" DrawAspect="Content" ObjectID="_1710067338" r:id="rId13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-6.1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15.6±1</w:t>
            </w:r>
          </w:p>
        </w:tc>
      </w:tr>
      <w:tr w:rsidR="00AC6E0A" w:rsidTr="00AC6E0A">
        <w:trPr>
          <w:trHeight w:val="270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005" w:dyaOrig="1245">
                <v:shape id="_x0000_i1030" type="#_x0000_t75" style="width:50.25pt;height:62.25pt" o:ole="">
                  <v:imagedata r:id="rId14" o:title=""/>
                </v:shape>
                <o:OLEObject Type="Embed" ProgID="ChemDraw.Document.6.0" ShapeID="_x0000_i1030" DrawAspect="Content" ObjectID="_1710067339" r:id="rId15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-6.01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33.4±5.6</w:t>
            </w:r>
          </w:p>
        </w:tc>
      </w:tr>
      <w:tr w:rsidR="00AC6E0A" w:rsidTr="00AC6E0A">
        <w:trPr>
          <w:trHeight w:val="1104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050" w:dyaOrig="1140">
                <v:shape id="_x0000_i1031" type="#_x0000_t75" style="width:52.5pt;height:57pt" o:ole="">
                  <v:imagedata r:id="rId16" o:title=""/>
                </v:shape>
                <o:OLEObject Type="Embed" ProgID="ChemDraw.Document.6.0" ShapeID="_x0000_i1031" DrawAspect="Content" ObjectID="_1710067340" r:id="rId17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-5.92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16.5%</w:t>
            </w:r>
          </w:p>
        </w:tc>
      </w:tr>
      <w:tr w:rsidR="00AC6E0A" w:rsidTr="00AC6E0A">
        <w:trPr>
          <w:trHeight w:val="270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945" w:dyaOrig="1140">
                <v:shape id="_x0000_i1032" type="#_x0000_t75" style="width:47.25pt;height:57pt" o:ole="">
                  <v:imagedata r:id="rId18" o:title=""/>
                </v:shape>
                <o:OLEObject Type="Embed" ProgID="ChemDraw.Document.6.0" ShapeID="_x0000_i1032" DrawAspect="Content" ObjectID="_1710067341" r:id="rId19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-5.89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18.3%</w:t>
            </w:r>
          </w:p>
        </w:tc>
      </w:tr>
      <w:tr w:rsidR="00AC6E0A" w:rsidTr="00AC6E0A">
        <w:trPr>
          <w:trHeight w:val="1124"/>
          <w:jc w:val="center"/>
        </w:trPr>
        <w:tc>
          <w:tcPr>
            <w:tcW w:w="104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20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050" w:dyaOrig="1140">
                <v:shape id="_x0000_i1033" type="#_x0000_t75" style="width:52.5pt;height:57pt" o:ole="">
                  <v:imagedata r:id="rId20" o:title=""/>
                </v:shape>
                <o:OLEObject Type="Embed" ProgID="ChemDraw.Document.6.0" ShapeID="_x0000_i1033" DrawAspect="Content" ObjectID="_1710067342" r:id="rId21"/>
              </w:object>
            </w:r>
          </w:p>
        </w:tc>
        <w:tc>
          <w:tcPr>
            <w:tcW w:w="1530" w:type="dxa"/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-5.81</w:t>
            </w:r>
          </w:p>
        </w:tc>
        <w:tc>
          <w:tcPr>
            <w:tcW w:w="3335" w:type="dxa"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20.6%</w:t>
            </w:r>
          </w:p>
        </w:tc>
      </w:tr>
      <w:tr w:rsidR="00AC6E0A" w:rsidTr="00AC6E0A">
        <w:trPr>
          <w:trHeight w:val="270"/>
          <w:jc w:val="center"/>
        </w:trPr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</w:rPr>
              <w:object w:dxaOrig="1275" w:dyaOrig="750">
                <v:shape id="_x0000_i1034" type="#_x0000_t75" style="width:63.75pt;height:37.5pt" o:ole="">
                  <v:imagedata r:id="rId22" o:title=""/>
                </v:shape>
                <o:OLEObject Type="Embed" ProgID="ChemDraw.Document.6.0" ShapeID="_x0000_i1034" DrawAspect="Content" ObjectID="_1710067343" r:id="rId23"/>
              </w:objec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-5.48</w:t>
            </w:r>
          </w:p>
        </w:tc>
        <w:tc>
          <w:tcPr>
            <w:tcW w:w="33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6E0A" w:rsidRDefault="00AC6E0A">
            <w:pPr>
              <w:spacing w:before="6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87.2±9.5</w:t>
            </w:r>
          </w:p>
        </w:tc>
      </w:tr>
    </w:tbl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0A"/>
    <w:rsid w:val="00AC6E0A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D5EE8C-7486-4360-B305-7E93A190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E0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basedOn w:val="DefaultParagraphFont"/>
    <w:link w:val="Caption"/>
    <w:uiPriority w:val="35"/>
    <w:semiHidden/>
    <w:locked/>
    <w:rsid w:val="00AC6E0A"/>
    <w:rPr>
      <w:i/>
      <w:iCs/>
      <w:color w:val="44546A" w:themeColor="text2"/>
      <w:sz w:val="18"/>
      <w:szCs w:val="18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AC6E0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AC6E0A"/>
    <w:pPr>
      <w:spacing w:after="0" w:line="240" w:lineRule="auto"/>
    </w:pPr>
    <w:rPr>
      <w:rFonts w:ascii="New York" w:eastAsia="Times New Roman" w:hAnsi="New York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2022-03-29T08:26:00Z</dcterms:created>
  <dcterms:modified xsi:type="dcterms:W3CDTF">2022-03-29T08:26:00Z</dcterms:modified>
</cp:coreProperties>
</file>