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37AD2" w14:textId="78DE4520" w:rsidR="003D4197" w:rsidRDefault="003D4197" w:rsidP="008B4A7F">
      <w:pPr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44C043E3" wp14:editId="52955EB3">
            <wp:extent cx="5274310" cy="245968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59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6716CF" w14:textId="507EBE29" w:rsidR="003D4197" w:rsidRDefault="007E21F9" w:rsidP="008B4A7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kern w:val="24"/>
        </w:rPr>
        <w:drawing>
          <wp:inline distT="0" distB="0" distL="0" distR="0" wp14:anchorId="2951FFCA" wp14:editId="49CEBA81">
            <wp:extent cx="2076050" cy="3708400"/>
            <wp:effectExtent l="0" t="0" r="63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845" cy="37116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C821A2" w14:textId="5E11CD1E" w:rsidR="003D4197" w:rsidRDefault="007E21F9" w:rsidP="008B4A7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kern w:val="24"/>
        </w:rPr>
        <w:lastRenderedPageBreak/>
        <w:drawing>
          <wp:inline distT="0" distB="0" distL="0" distR="0" wp14:anchorId="5F073D5B" wp14:editId="0A8CFEA6">
            <wp:extent cx="5358938" cy="4549687"/>
            <wp:effectExtent l="0" t="0" r="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6369" cy="45644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F6D52F" w14:textId="77777777" w:rsidR="007E21F9" w:rsidRDefault="007E21F9" w:rsidP="008B4A7F">
      <w:pPr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14:paraId="122A5FA3" w14:textId="34DB7945" w:rsidR="008B4A7F" w:rsidRPr="008B4A7F" w:rsidRDefault="008B4A7F" w:rsidP="008B4A7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B4A7F">
        <w:rPr>
          <w:rFonts w:ascii="Times New Roman" w:hAnsi="Times New Roman" w:cs="Times New Roman"/>
          <w:b/>
          <w:sz w:val="24"/>
          <w:szCs w:val="24"/>
        </w:rPr>
        <w:t>Supplementary Material</w:t>
      </w:r>
    </w:p>
    <w:p w14:paraId="7EA3AB41" w14:textId="77777777" w:rsidR="008B4A7F" w:rsidRPr="008B4A7F" w:rsidRDefault="008B4A7F" w:rsidP="008B4A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4A7F">
        <w:rPr>
          <w:rFonts w:ascii="Times New Roman" w:hAnsi="Times New Roman" w:cs="Times New Roman"/>
          <w:sz w:val="24"/>
          <w:szCs w:val="24"/>
        </w:rPr>
        <w:t>Figure S1. (a) Proliferation of CD19-CAR T cells under different concentrations of NMN CCK8 results showed that NMN (100UM) increased CD19 CAR-T cell proliferation at 72 and 96 h. *p &lt; 0.01. (b) After co-culture with NALM-6 third times. the NMN-treated CD19 CAR-T c</w:t>
      </w:r>
      <w:r w:rsidR="00380501">
        <w:rPr>
          <w:rFonts w:ascii="Times New Roman" w:hAnsi="Times New Roman" w:cs="Times New Roman"/>
          <w:sz w:val="24"/>
          <w:szCs w:val="24"/>
        </w:rPr>
        <w:t>ells still showed high specific</w:t>
      </w:r>
      <w:r w:rsidRPr="008B4A7F">
        <w:rPr>
          <w:rFonts w:ascii="Times New Roman" w:hAnsi="Times New Roman" w:cs="Times New Roman"/>
          <w:sz w:val="24"/>
          <w:szCs w:val="24"/>
        </w:rPr>
        <w:t>lysis. (c) CD19 CAR-T cells still had higher INF-γ secretion after co-culture with NALM-6 third times.</w:t>
      </w:r>
    </w:p>
    <w:p w14:paraId="67EDE1E9" w14:textId="77777777" w:rsidR="008B4A7F" w:rsidRPr="008B4A7F" w:rsidRDefault="008B4A7F" w:rsidP="008B4A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4A7F">
        <w:rPr>
          <w:rFonts w:ascii="Times New Roman" w:hAnsi="Times New Roman" w:cs="Times New Roman"/>
          <w:sz w:val="24"/>
          <w:szCs w:val="24"/>
        </w:rPr>
        <w:t>Figure S2. The telomerase activity was analyzed using denaturing polyacrylamide gel electrophoresis. The gel-based TRAP assay of samples from the CD19 CAR-T cells and CD19 CAR-T cells treated with 100 UM NMN after co-culture with NALM-6 third times. The bottom bands (IC) repre</w:t>
      </w:r>
      <w:r>
        <w:rPr>
          <w:rFonts w:ascii="Times New Roman" w:hAnsi="Times New Roman" w:cs="Times New Roman"/>
          <w:sz w:val="24"/>
          <w:szCs w:val="24"/>
        </w:rPr>
        <w:t xml:space="preserve">sent the internal PCR control. </w:t>
      </w:r>
    </w:p>
    <w:p w14:paraId="2C0086E1" w14:textId="77777777" w:rsidR="008B4A7F" w:rsidRPr="008B4A7F" w:rsidRDefault="008B4A7F" w:rsidP="008B4A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4A7F">
        <w:rPr>
          <w:rFonts w:ascii="Times New Roman" w:hAnsi="Times New Roman" w:cs="Times New Roman"/>
          <w:sz w:val="24"/>
          <w:szCs w:val="24"/>
        </w:rPr>
        <w:t>Figure S3. (a) The downregulated genes between the NMN treated CD19 CAR-T and untreated. (b) The pathway of Sirt1 on the KEGG website.</w:t>
      </w:r>
    </w:p>
    <w:p w14:paraId="2B433A69" w14:textId="77777777" w:rsidR="00725F19" w:rsidRDefault="00725F19"/>
    <w:sectPr w:rsidR="00725F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56787B" w14:textId="77777777" w:rsidR="00762502" w:rsidRDefault="00762502" w:rsidP="008B4A7F">
      <w:r>
        <w:separator/>
      </w:r>
    </w:p>
  </w:endnote>
  <w:endnote w:type="continuationSeparator" w:id="0">
    <w:p w14:paraId="69D974DA" w14:textId="77777777" w:rsidR="00762502" w:rsidRDefault="00762502" w:rsidP="008B4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48B5C" w14:textId="77777777" w:rsidR="00762502" w:rsidRDefault="00762502" w:rsidP="008B4A7F">
      <w:r>
        <w:separator/>
      </w:r>
    </w:p>
  </w:footnote>
  <w:footnote w:type="continuationSeparator" w:id="0">
    <w:p w14:paraId="2B937B80" w14:textId="77777777" w:rsidR="00762502" w:rsidRDefault="00762502" w:rsidP="008B4A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63FA"/>
    <w:rsid w:val="001463FA"/>
    <w:rsid w:val="00380501"/>
    <w:rsid w:val="003D4197"/>
    <w:rsid w:val="00581242"/>
    <w:rsid w:val="00725F19"/>
    <w:rsid w:val="00762502"/>
    <w:rsid w:val="007E21F9"/>
    <w:rsid w:val="008B4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F2194DA"/>
  <w15:docId w15:val="{68A50D2B-F26B-4928-9739-21314DD58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4A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4A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4A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4A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于榛</cp:lastModifiedBy>
  <cp:revision>5</cp:revision>
  <dcterms:created xsi:type="dcterms:W3CDTF">2022-01-28T00:50:00Z</dcterms:created>
  <dcterms:modified xsi:type="dcterms:W3CDTF">2022-03-22T01:41:00Z</dcterms:modified>
</cp:coreProperties>
</file>